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5BB36" w14:textId="33B05457" w:rsidR="00C56D7C" w:rsidRPr="00C56D7C" w:rsidRDefault="00C56D7C" w:rsidP="00C56D7C">
      <w:pPr>
        <w:pStyle w:val="NormalWeb"/>
        <w:jc w:val="both"/>
        <w:rPr>
          <w:rFonts w:ascii="Arial" w:hAnsi="Arial" w:cs="Arial"/>
          <w:sz w:val="20"/>
          <w:szCs w:val="20"/>
        </w:rPr>
      </w:pPr>
      <w:r w:rsidRPr="00C56D7C">
        <w:rPr>
          <w:rStyle w:val="Strong"/>
          <w:rFonts w:ascii="Arial" w:eastAsiaTheme="majorEastAsia" w:hAnsi="Arial" w:cs="Arial"/>
          <w:sz w:val="20"/>
          <w:szCs w:val="20"/>
        </w:rPr>
        <w:t>Introduction:</w:t>
      </w:r>
      <w:r w:rsidRPr="00C56D7C">
        <w:rPr>
          <w:rFonts w:ascii="Arial" w:hAnsi="Arial" w:cs="Arial"/>
          <w:sz w:val="20"/>
          <w:szCs w:val="20"/>
        </w:rPr>
        <w:br/>
        <w:t>Multifocal glioblastomas (</w:t>
      </w:r>
      <w:proofErr w:type="spellStart"/>
      <w:r w:rsidRPr="00C56D7C">
        <w:rPr>
          <w:rFonts w:ascii="Arial" w:hAnsi="Arial" w:cs="Arial"/>
          <w:sz w:val="20"/>
          <w:szCs w:val="20"/>
        </w:rPr>
        <w:t>mGBMs</w:t>
      </w:r>
      <w:proofErr w:type="spellEnd"/>
      <w:r w:rsidRPr="00C56D7C">
        <w:rPr>
          <w:rFonts w:ascii="Arial" w:hAnsi="Arial" w:cs="Arial"/>
          <w:sz w:val="20"/>
          <w:szCs w:val="20"/>
        </w:rPr>
        <w:t xml:space="preserve">) present as multiple contrast-enhancing lesions that are either connected through white-matter or vascular tracts or appear as distinct, unconnected foci (multicentric). Clinically, </w:t>
      </w:r>
      <w:proofErr w:type="spellStart"/>
      <w:r w:rsidRPr="00C56D7C">
        <w:rPr>
          <w:rFonts w:ascii="Arial" w:hAnsi="Arial" w:cs="Arial"/>
          <w:sz w:val="20"/>
          <w:szCs w:val="20"/>
        </w:rPr>
        <w:t>mGBM</w:t>
      </w:r>
      <w:proofErr w:type="spellEnd"/>
      <w:r w:rsidRPr="00C56D7C">
        <w:rPr>
          <w:rFonts w:ascii="Arial" w:hAnsi="Arial" w:cs="Arial"/>
          <w:sz w:val="20"/>
          <w:szCs w:val="20"/>
        </w:rPr>
        <w:t xml:space="preserve"> patients </w:t>
      </w:r>
      <w:r>
        <w:rPr>
          <w:rFonts w:ascii="Arial" w:hAnsi="Arial" w:cs="Arial"/>
          <w:sz w:val="20"/>
          <w:szCs w:val="20"/>
        </w:rPr>
        <w:t>have</w:t>
      </w:r>
      <w:r w:rsidRPr="00C56D7C">
        <w:rPr>
          <w:rFonts w:ascii="Arial" w:hAnsi="Arial" w:cs="Arial"/>
          <w:sz w:val="20"/>
          <w:szCs w:val="20"/>
        </w:rPr>
        <w:t xml:space="preserve"> shorter survival and more limited surgical options than those with unifocal GBM (</w:t>
      </w:r>
      <w:proofErr w:type="spellStart"/>
      <w:r w:rsidRPr="00C56D7C">
        <w:rPr>
          <w:rFonts w:ascii="Arial" w:hAnsi="Arial" w:cs="Arial"/>
          <w:sz w:val="20"/>
          <w:szCs w:val="20"/>
        </w:rPr>
        <w:t>uGBM</w:t>
      </w:r>
      <w:proofErr w:type="spellEnd"/>
      <w:r w:rsidRPr="00C56D7C">
        <w:rPr>
          <w:rFonts w:ascii="Arial" w:hAnsi="Arial" w:cs="Arial"/>
          <w:sz w:val="20"/>
          <w:szCs w:val="20"/>
        </w:rPr>
        <w:t xml:space="preserve">). MRI, particularly contrast-enhanced T1-weighted and T2-FLAIR sequences, remains the </w:t>
      </w:r>
      <w:r>
        <w:rPr>
          <w:rFonts w:ascii="Arial" w:hAnsi="Arial" w:cs="Arial"/>
          <w:sz w:val="20"/>
          <w:szCs w:val="20"/>
        </w:rPr>
        <w:t>primary method</w:t>
      </w:r>
      <w:r w:rsidRPr="00C56D7C">
        <w:rPr>
          <w:rFonts w:ascii="Arial" w:hAnsi="Arial" w:cs="Arial"/>
          <w:sz w:val="20"/>
          <w:szCs w:val="20"/>
        </w:rPr>
        <w:t xml:space="preserve"> for detecting these lesions. However, emerging evidence suggests that some radiologically unifocal GBMs harbor microscopic secondary foci that later merge or become apparent on follow-up imaging, indicating that many </w:t>
      </w:r>
      <w:proofErr w:type="spellStart"/>
      <w:r w:rsidRPr="00C56D7C">
        <w:rPr>
          <w:rFonts w:ascii="Arial" w:hAnsi="Arial" w:cs="Arial"/>
          <w:sz w:val="20"/>
          <w:szCs w:val="20"/>
        </w:rPr>
        <w:t>mGBMs</w:t>
      </w:r>
      <w:proofErr w:type="spellEnd"/>
      <w:r w:rsidRPr="00C56D7C">
        <w:rPr>
          <w:rFonts w:ascii="Arial" w:hAnsi="Arial" w:cs="Arial"/>
          <w:sz w:val="20"/>
          <w:szCs w:val="20"/>
        </w:rPr>
        <w:t xml:space="preserve"> evolve clonally from an initially unifocal tumor.</w:t>
      </w:r>
    </w:p>
    <w:p w14:paraId="2426A508" w14:textId="48783B9A" w:rsidR="00C56D7C" w:rsidRPr="007F04B5" w:rsidRDefault="007F04B5" w:rsidP="00E66720">
      <w:pPr>
        <w:pStyle w:val="NormalWeb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7F04B5">
        <w:rPr>
          <w:rStyle w:val="Strong"/>
          <w:rFonts w:ascii="Arial" w:eastAsiaTheme="majorEastAsia" w:hAnsi="Arial" w:cs="Arial"/>
          <w:sz w:val="20"/>
          <w:szCs w:val="20"/>
        </w:rPr>
        <w:t>Methods:</w:t>
      </w:r>
      <w:r w:rsidRPr="007F04B5">
        <w:rPr>
          <w:rFonts w:ascii="Arial" w:hAnsi="Arial" w:cs="Arial"/>
          <w:sz w:val="20"/>
          <w:szCs w:val="20"/>
        </w:rPr>
        <w:br/>
        <w:t xml:space="preserve">We developed a deep-learning framework to identify imaging biomarkers predictive of multifocal recurrence. A 3D </w:t>
      </w:r>
      <w:proofErr w:type="spellStart"/>
      <w:r w:rsidRPr="007F04B5">
        <w:rPr>
          <w:rFonts w:ascii="Arial" w:hAnsi="Arial" w:cs="Arial"/>
          <w:sz w:val="20"/>
          <w:szCs w:val="20"/>
        </w:rPr>
        <w:t>nnU</w:t>
      </w:r>
      <w:proofErr w:type="spellEnd"/>
      <w:r w:rsidRPr="007F04B5">
        <w:rPr>
          <w:rFonts w:ascii="Arial" w:hAnsi="Arial" w:cs="Arial"/>
          <w:sz w:val="20"/>
          <w:szCs w:val="20"/>
        </w:rPr>
        <w:t xml:space="preserve">-Net segmentation model was first trained on the curated unifocal GBM cohort from the multi-institutional </w:t>
      </w:r>
      <w:proofErr w:type="spellStart"/>
      <w:r w:rsidRPr="007F04B5">
        <w:rPr>
          <w:rFonts w:ascii="Arial" w:hAnsi="Arial" w:cs="Arial"/>
          <w:sz w:val="20"/>
          <w:szCs w:val="20"/>
        </w:rPr>
        <w:t>BraTS</w:t>
      </w:r>
      <w:proofErr w:type="spellEnd"/>
      <w:r w:rsidRPr="007F04B5">
        <w:rPr>
          <w:rFonts w:ascii="Arial" w:hAnsi="Arial" w:cs="Arial"/>
          <w:sz w:val="20"/>
          <w:szCs w:val="20"/>
        </w:rPr>
        <w:t xml:space="preserve"> 2017 dataset and then fine-tuned on Johns Hopkins Hospital (JHH) data containing both unifocal and multifocal GBMs. Using learned feature representations from the </w:t>
      </w:r>
      <w:proofErr w:type="spellStart"/>
      <w:r w:rsidRPr="007F04B5">
        <w:rPr>
          <w:rFonts w:ascii="Arial" w:hAnsi="Arial" w:cs="Arial"/>
          <w:sz w:val="20"/>
          <w:szCs w:val="20"/>
        </w:rPr>
        <w:t>nnU</w:t>
      </w:r>
      <w:proofErr w:type="spellEnd"/>
      <w:r w:rsidRPr="007F04B5">
        <w:rPr>
          <w:rFonts w:ascii="Arial" w:hAnsi="Arial" w:cs="Arial"/>
          <w:sz w:val="20"/>
          <w:szCs w:val="20"/>
        </w:rPr>
        <w:t xml:space="preserve">-Net encoder, a downstream classifier was trained to predict whether a unifocal GBM at diagnosis would recur as unifocal or multifocal. Model interpretability was assessed by visualizing the </w:t>
      </w:r>
      <w:proofErr w:type="spellStart"/>
      <w:r w:rsidRPr="007F04B5">
        <w:rPr>
          <w:rFonts w:ascii="Arial" w:hAnsi="Arial" w:cs="Arial"/>
          <w:sz w:val="20"/>
          <w:szCs w:val="20"/>
        </w:rPr>
        <w:t>nnU</w:t>
      </w:r>
      <w:proofErr w:type="spellEnd"/>
      <w:r w:rsidRPr="007F04B5">
        <w:rPr>
          <w:rFonts w:ascii="Arial" w:hAnsi="Arial" w:cs="Arial"/>
          <w:sz w:val="20"/>
          <w:szCs w:val="20"/>
        </w:rPr>
        <w:t>-Net feature kernels most influential for recurrence prediction.</w:t>
      </w:r>
    </w:p>
    <w:p w14:paraId="51E518DC" w14:textId="77777777" w:rsidR="007F04B5" w:rsidRDefault="007F04B5" w:rsidP="00E66720">
      <w:pPr>
        <w:pStyle w:val="NormalWeb"/>
        <w:spacing w:before="0" w:beforeAutospacing="0" w:after="0" w:afterAutospacing="0"/>
        <w:rPr>
          <w:rStyle w:val="Strong"/>
          <w:rFonts w:ascii="Arial" w:eastAsiaTheme="majorEastAsia" w:hAnsi="Arial" w:cs="Arial"/>
          <w:sz w:val="22"/>
          <w:szCs w:val="22"/>
        </w:rPr>
      </w:pPr>
    </w:p>
    <w:p w14:paraId="04D84F94" w14:textId="08DE3F4B" w:rsidR="007F04B5" w:rsidRPr="007F04B5" w:rsidRDefault="007F04B5" w:rsidP="00E66720">
      <w:pPr>
        <w:pStyle w:val="NormalWeb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7F04B5">
        <w:rPr>
          <w:rStyle w:val="Strong"/>
          <w:rFonts w:ascii="Arial" w:eastAsiaTheme="majorEastAsia" w:hAnsi="Arial" w:cs="Arial"/>
          <w:sz w:val="20"/>
          <w:szCs w:val="20"/>
        </w:rPr>
        <w:t>Results:</w:t>
      </w:r>
      <w:r w:rsidRPr="007F04B5">
        <w:rPr>
          <w:rFonts w:ascii="Arial" w:hAnsi="Arial" w:cs="Arial"/>
          <w:sz w:val="20"/>
          <w:szCs w:val="20"/>
        </w:rPr>
        <w:br/>
        <w:t xml:space="preserve">Preliminary analysis indicates that the model captures texture and intensity patterns characteristic of multifocal morphology, with discriminative features localized </w:t>
      </w:r>
      <w:proofErr w:type="gramStart"/>
      <w:r w:rsidRPr="007F04B5">
        <w:rPr>
          <w:rFonts w:ascii="Arial" w:hAnsi="Arial" w:cs="Arial"/>
          <w:sz w:val="20"/>
          <w:szCs w:val="20"/>
        </w:rPr>
        <w:t xml:space="preserve">to </w:t>
      </w:r>
      <w:r w:rsidRPr="007F04B5">
        <w:rPr>
          <w:rFonts w:ascii="Arial" w:hAnsi="Arial" w:cs="Arial"/>
          <w:sz w:val="20"/>
          <w:szCs w:val="20"/>
        </w:rPr>
        <w:t>?</w:t>
      </w:r>
      <w:proofErr w:type="gramEnd"/>
      <w:r w:rsidRPr="007F04B5">
        <w:rPr>
          <w:rFonts w:ascii="Arial" w:hAnsi="Arial" w:cs="Arial"/>
          <w:sz w:val="20"/>
          <w:szCs w:val="20"/>
        </w:rPr>
        <w:t>. These learned features correspond to regions implicated in early clonal migration and spatial diversification.</w:t>
      </w:r>
    </w:p>
    <w:p w14:paraId="1AA2C8CE" w14:textId="77777777" w:rsidR="007F04B5" w:rsidRDefault="007F04B5" w:rsidP="00E66720">
      <w:pPr>
        <w:pStyle w:val="NormalWeb"/>
        <w:spacing w:before="0" w:beforeAutospacing="0" w:after="0" w:afterAutospacing="0"/>
        <w:rPr>
          <w:rStyle w:val="Strong"/>
          <w:rFonts w:ascii="Arial" w:eastAsiaTheme="majorEastAsia" w:hAnsi="Arial" w:cs="Arial"/>
          <w:sz w:val="22"/>
          <w:szCs w:val="22"/>
        </w:rPr>
      </w:pPr>
    </w:p>
    <w:p w14:paraId="7AE85863" w14:textId="77777777" w:rsidR="006E4B20" w:rsidRPr="002B42A5" w:rsidRDefault="006E4B20" w:rsidP="00E66720">
      <w:pPr>
        <w:pStyle w:val="NormalWeb"/>
        <w:spacing w:before="0" w:beforeAutospacing="0" w:after="0" w:afterAutospacing="0"/>
        <w:rPr>
          <w:rStyle w:val="Strong"/>
          <w:rFonts w:ascii="Arial" w:eastAsiaTheme="majorEastAsia" w:hAnsi="Arial" w:cs="Arial"/>
          <w:sz w:val="20"/>
          <w:szCs w:val="20"/>
        </w:rPr>
      </w:pPr>
      <w:r w:rsidRPr="002B42A5">
        <w:rPr>
          <w:rStyle w:val="Strong"/>
          <w:rFonts w:ascii="Arial" w:eastAsiaTheme="majorEastAsia" w:hAnsi="Arial" w:cs="Arial"/>
          <w:sz w:val="20"/>
          <w:szCs w:val="20"/>
        </w:rPr>
        <w:t>Conclusion</w:t>
      </w:r>
    </w:p>
    <w:p w14:paraId="6DA27301" w14:textId="0966462F" w:rsidR="000E5285" w:rsidRPr="002B42A5" w:rsidRDefault="002B42A5" w:rsidP="002B42A5">
      <w:pPr>
        <w:pStyle w:val="NormalWeb"/>
        <w:spacing w:before="0" w:beforeAutospacing="0" w:after="0" w:afterAutospacing="0"/>
        <w:rPr>
          <w:rFonts w:ascii="Arial" w:hAnsi="Arial" w:cs="Arial"/>
          <w:sz w:val="20"/>
          <w:szCs w:val="20"/>
        </w:rPr>
      </w:pPr>
      <w:r w:rsidRPr="002B42A5">
        <w:rPr>
          <w:rFonts w:ascii="Arial" w:hAnsi="Arial" w:cs="Arial"/>
          <w:sz w:val="20"/>
          <w:szCs w:val="20"/>
        </w:rPr>
        <w:t>Our results demonstrate the feasibility of using deep-learning–derived imaging biomarkers to predict multifocal recurrence in GBM. This interpretable framework could enhance risk stratification, guide post-operative surveillance, and support personalized therapeutic planning for patients with high-grade glioma.</w:t>
      </w:r>
    </w:p>
    <w:sectPr w:rsidR="000E5285" w:rsidRPr="002B42A5" w:rsidSect="009061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C9A"/>
    <w:multiLevelType w:val="hybridMultilevel"/>
    <w:tmpl w:val="5E44DD18"/>
    <w:lvl w:ilvl="0" w:tplc="850A633C">
      <w:start w:val="917"/>
      <w:numFmt w:val="bullet"/>
      <w:lvlText w:val=""/>
      <w:lvlJc w:val="left"/>
      <w:pPr>
        <w:ind w:left="36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8EF03D6"/>
    <w:multiLevelType w:val="hybridMultilevel"/>
    <w:tmpl w:val="9C8637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C0AFD"/>
    <w:multiLevelType w:val="hybridMultilevel"/>
    <w:tmpl w:val="87D0D9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F7E2542"/>
    <w:multiLevelType w:val="hybridMultilevel"/>
    <w:tmpl w:val="4FC80802"/>
    <w:lvl w:ilvl="0" w:tplc="850A633C">
      <w:start w:val="917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3752A2"/>
    <w:multiLevelType w:val="hybridMultilevel"/>
    <w:tmpl w:val="A90A93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BB3715"/>
    <w:multiLevelType w:val="hybridMultilevel"/>
    <w:tmpl w:val="D5C43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1119762">
    <w:abstractNumId w:val="1"/>
  </w:num>
  <w:num w:numId="2" w16cid:durableId="1539665779">
    <w:abstractNumId w:val="5"/>
  </w:num>
  <w:num w:numId="3" w16cid:durableId="1683238930">
    <w:abstractNumId w:val="4"/>
  </w:num>
  <w:num w:numId="4" w16cid:durableId="150100986">
    <w:abstractNumId w:val="2"/>
  </w:num>
  <w:num w:numId="5" w16cid:durableId="1225140134">
    <w:abstractNumId w:val="3"/>
  </w:num>
  <w:num w:numId="6" w16cid:durableId="851339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E75"/>
    <w:rsid w:val="00003941"/>
    <w:rsid w:val="0004267B"/>
    <w:rsid w:val="00074022"/>
    <w:rsid w:val="00076807"/>
    <w:rsid w:val="0008188A"/>
    <w:rsid w:val="000A08BA"/>
    <w:rsid w:val="000D4B70"/>
    <w:rsid w:val="000E4A25"/>
    <w:rsid w:val="000E5285"/>
    <w:rsid w:val="00133914"/>
    <w:rsid w:val="00162E1B"/>
    <w:rsid w:val="001B3179"/>
    <w:rsid w:val="001C08E3"/>
    <w:rsid w:val="001E6AAA"/>
    <w:rsid w:val="001F2086"/>
    <w:rsid w:val="00202ACC"/>
    <w:rsid w:val="00261462"/>
    <w:rsid w:val="0027417A"/>
    <w:rsid w:val="00274525"/>
    <w:rsid w:val="00276ABF"/>
    <w:rsid w:val="00287CDD"/>
    <w:rsid w:val="002A0CE9"/>
    <w:rsid w:val="002B42A5"/>
    <w:rsid w:val="00313086"/>
    <w:rsid w:val="00365B4E"/>
    <w:rsid w:val="00367DCB"/>
    <w:rsid w:val="003771FF"/>
    <w:rsid w:val="003930A2"/>
    <w:rsid w:val="003B21C4"/>
    <w:rsid w:val="003E3469"/>
    <w:rsid w:val="003E5F32"/>
    <w:rsid w:val="00406599"/>
    <w:rsid w:val="00425CBB"/>
    <w:rsid w:val="004D1154"/>
    <w:rsid w:val="004E0776"/>
    <w:rsid w:val="004F4809"/>
    <w:rsid w:val="004F5163"/>
    <w:rsid w:val="005012C2"/>
    <w:rsid w:val="00527F35"/>
    <w:rsid w:val="00533DC7"/>
    <w:rsid w:val="00536611"/>
    <w:rsid w:val="005557C3"/>
    <w:rsid w:val="00590C6C"/>
    <w:rsid w:val="005A34D2"/>
    <w:rsid w:val="005B1BE9"/>
    <w:rsid w:val="005E0ACA"/>
    <w:rsid w:val="005E45B2"/>
    <w:rsid w:val="005E56A5"/>
    <w:rsid w:val="005F1EC6"/>
    <w:rsid w:val="005F5FA0"/>
    <w:rsid w:val="005F6F7D"/>
    <w:rsid w:val="00605155"/>
    <w:rsid w:val="006141A0"/>
    <w:rsid w:val="00627E75"/>
    <w:rsid w:val="00640400"/>
    <w:rsid w:val="006416A7"/>
    <w:rsid w:val="00654AB9"/>
    <w:rsid w:val="00665562"/>
    <w:rsid w:val="006A10ED"/>
    <w:rsid w:val="006A3E8A"/>
    <w:rsid w:val="006B4020"/>
    <w:rsid w:val="006E3B5A"/>
    <w:rsid w:val="006E4B20"/>
    <w:rsid w:val="006F283F"/>
    <w:rsid w:val="006F436D"/>
    <w:rsid w:val="00716A76"/>
    <w:rsid w:val="007435F7"/>
    <w:rsid w:val="007A0B8C"/>
    <w:rsid w:val="007A2BF6"/>
    <w:rsid w:val="007B7BB0"/>
    <w:rsid w:val="007C30FF"/>
    <w:rsid w:val="007E2AD9"/>
    <w:rsid w:val="007E541A"/>
    <w:rsid w:val="007E6B70"/>
    <w:rsid w:val="007F04B5"/>
    <w:rsid w:val="008227E0"/>
    <w:rsid w:val="0083215C"/>
    <w:rsid w:val="00836C72"/>
    <w:rsid w:val="00885F71"/>
    <w:rsid w:val="008B2777"/>
    <w:rsid w:val="0090616C"/>
    <w:rsid w:val="00914538"/>
    <w:rsid w:val="00962012"/>
    <w:rsid w:val="009A1290"/>
    <w:rsid w:val="009B48D6"/>
    <w:rsid w:val="009C5BF5"/>
    <w:rsid w:val="009F5567"/>
    <w:rsid w:val="00A259DE"/>
    <w:rsid w:val="00A43BD9"/>
    <w:rsid w:val="00A548BC"/>
    <w:rsid w:val="00A63E60"/>
    <w:rsid w:val="00A84984"/>
    <w:rsid w:val="00A9058E"/>
    <w:rsid w:val="00AA3E06"/>
    <w:rsid w:val="00AC0F4F"/>
    <w:rsid w:val="00AD29D8"/>
    <w:rsid w:val="00AE6DE8"/>
    <w:rsid w:val="00B3599F"/>
    <w:rsid w:val="00B44235"/>
    <w:rsid w:val="00B54050"/>
    <w:rsid w:val="00B54C87"/>
    <w:rsid w:val="00B607D3"/>
    <w:rsid w:val="00B61E7C"/>
    <w:rsid w:val="00B6627E"/>
    <w:rsid w:val="00B87CBD"/>
    <w:rsid w:val="00B9407A"/>
    <w:rsid w:val="00BA15B1"/>
    <w:rsid w:val="00C0539B"/>
    <w:rsid w:val="00C56D7C"/>
    <w:rsid w:val="00C94D1E"/>
    <w:rsid w:val="00CC6435"/>
    <w:rsid w:val="00CD4DD2"/>
    <w:rsid w:val="00CE246B"/>
    <w:rsid w:val="00D00CE2"/>
    <w:rsid w:val="00D2777F"/>
    <w:rsid w:val="00D467A2"/>
    <w:rsid w:val="00D73BC8"/>
    <w:rsid w:val="00D82374"/>
    <w:rsid w:val="00DE2565"/>
    <w:rsid w:val="00E10911"/>
    <w:rsid w:val="00E212A6"/>
    <w:rsid w:val="00E33490"/>
    <w:rsid w:val="00E34FF0"/>
    <w:rsid w:val="00E4532F"/>
    <w:rsid w:val="00E47AF8"/>
    <w:rsid w:val="00E625B3"/>
    <w:rsid w:val="00E63ED5"/>
    <w:rsid w:val="00E66720"/>
    <w:rsid w:val="00E746AD"/>
    <w:rsid w:val="00E8062B"/>
    <w:rsid w:val="00EB0482"/>
    <w:rsid w:val="00EC5911"/>
    <w:rsid w:val="00EC7992"/>
    <w:rsid w:val="00EC7E74"/>
    <w:rsid w:val="00EE4DFE"/>
    <w:rsid w:val="00F0398E"/>
    <w:rsid w:val="00F041BE"/>
    <w:rsid w:val="00F16580"/>
    <w:rsid w:val="00F21C1B"/>
    <w:rsid w:val="00F27502"/>
    <w:rsid w:val="00F40CD6"/>
    <w:rsid w:val="00F6448F"/>
    <w:rsid w:val="00F66A51"/>
    <w:rsid w:val="00F73C5C"/>
    <w:rsid w:val="00F946C0"/>
    <w:rsid w:val="00FF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D752E"/>
  <w15:chartTrackingRefBased/>
  <w15:docId w15:val="{63DA338E-5FE5-C641-93FE-5CBD5EB9B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E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7E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E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E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E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E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E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E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E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E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7E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E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E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E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E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E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E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E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E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E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E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E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E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E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E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E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E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E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E75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27E75"/>
    <w:pPr>
      <w:spacing w:after="0" w:line="240" w:lineRule="auto"/>
    </w:pPr>
    <w:rPr>
      <w:rFonts w:ascii="Arial" w:eastAsia="Times New Roman" w:hAnsi="Arial" w:cs="Arial"/>
      <w:color w:val="6D6D6D"/>
      <w:kern w:val="0"/>
      <w:sz w:val="13"/>
      <w:szCs w:val="13"/>
      <w14:ligatures w14:val="none"/>
    </w:rPr>
  </w:style>
  <w:style w:type="character" w:styleId="Hyperlink">
    <w:name w:val="Hyperlink"/>
    <w:basedOn w:val="DefaultParagraphFont"/>
    <w:uiPriority w:val="99"/>
    <w:unhideWhenUsed/>
    <w:rsid w:val="00E109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0911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A63E6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6E4B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E4B20"/>
    <w:rPr>
      <w:b/>
      <w:bCs/>
    </w:rPr>
  </w:style>
  <w:style w:type="character" w:styleId="Emphasis">
    <w:name w:val="Emphasis"/>
    <w:basedOn w:val="DefaultParagraphFont"/>
    <w:uiPriority w:val="20"/>
    <w:qFormat/>
    <w:rsid w:val="000E5285"/>
    <w:rPr>
      <w:i/>
      <w:iCs/>
    </w:rPr>
  </w:style>
  <w:style w:type="character" w:customStyle="1" w:styleId="highwire-citation-authors">
    <w:name w:val="highwire-citation-authors"/>
    <w:basedOn w:val="DefaultParagraphFont"/>
    <w:rsid w:val="00EC7E74"/>
  </w:style>
  <w:style w:type="character" w:customStyle="1" w:styleId="highwire-citation-author">
    <w:name w:val="highwire-citation-author"/>
    <w:basedOn w:val="DefaultParagraphFont"/>
    <w:rsid w:val="00EC7E74"/>
  </w:style>
  <w:style w:type="character" w:customStyle="1" w:styleId="nlm-given-names">
    <w:name w:val="nlm-given-names"/>
    <w:basedOn w:val="DefaultParagraphFont"/>
    <w:rsid w:val="00EC7E74"/>
  </w:style>
  <w:style w:type="character" w:customStyle="1" w:styleId="nlm-surname">
    <w:name w:val="nlm-surname"/>
    <w:basedOn w:val="DefaultParagraphFont"/>
    <w:rsid w:val="00EC7E74"/>
  </w:style>
  <w:style w:type="character" w:customStyle="1" w:styleId="highwire-cite-metadata-journal">
    <w:name w:val="highwire-cite-metadata-journal"/>
    <w:basedOn w:val="DefaultParagraphFont"/>
    <w:rsid w:val="00EC7E74"/>
  </w:style>
  <w:style w:type="character" w:customStyle="1" w:styleId="highwire-cite-metadata-date">
    <w:name w:val="highwire-cite-metadata-date"/>
    <w:basedOn w:val="DefaultParagraphFont"/>
    <w:rsid w:val="00EC7E74"/>
  </w:style>
  <w:style w:type="character" w:customStyle="1" w:styleId="highwire-cite-metadata-doi">
    <w:name w:val="highwire-cite-metadata-doi"/>
    <w:basedOn w:val="DefaultParagraphFont"/>
    <w:rsid w:val="00EC7E74"/>
  </w:style>
  <w:style w:type="character" w:customStyle="1" w:styleId="label">
    <w:name w:val="label"/>
    <w:basedOn w:val="DefaultParagraphFont"/>
    <w:rsid w:val="00EC7E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296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Yves Greatti</dc:creator>
  <cp:keywords/>
  <dc:description/>
  <cp:lastModifiedBy>Yves Greatti</cp:lastModifiedBy>
  <cp:revision>8</cp:revision>
  <dcterms:created xsi:type="dcterms:W3CDTF">2025-10-21T18:25:00Z</dcterms:created>
  <dcterms:modified xsi:type="dcterms:W3CDTF">2025-11-02T16:47:00Z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fb2c15b12a1f3af1b20a8fd6b0cef1e0e9847508de330fccc3f9270cceb29734</vt:lpwstr>
  </property>
</Properties>
</file>