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4A2A5" w14:textId="62CE8FD9" w:rsidR="00711F6B" w:rsidRDefault="00711F6B">
      <w:pPr>
        <w:rPr>
          <w:rFonts w:ascii="Arial" w:hAnsi="Arial" w:cs="Arial"/>
          <w:sz w:val="22"/>
          <w:szCs w:val="22"/>
        </w:rPr>
      </w:pPr>
      <w:r w:rsidRPr="00711F6B">
        <w:rPr>
          <w:rFonts w:ascii="Arial" w:hAnsi="Arial" w:cs="Arial"/>
          <w:sz w:val="22"/>
          <w:szCs w:val="22"/>
        </w:rPr>
        <w:t xml:space="preserve">Craniopharyngiomas (CPs) are rare (incidence of 0.5-2 cases per million people annually), benign yet locally aggressive tumors of the </w:t>
      </w:r>
      <w:proofErr w:type="spellStart"/>
      <w:r w:rsidRPr="00711F6B">
        <w:rPr>
          <w:rFonts w:ascii="Arial" w:hAnsi="Arial" w:cs="Arial"/>
          <w:sz w:val="22"/>
          <w:szCs w:val="22"/>
        </w:rPr>
        <w:t>sellar</w:t>
      </w:r>
      <w:proofErr w:type="spellEnd"/>
      <w:r w:rsidRPr="00711F6B">
        <w:rPr>
          <w:rFonts w:ascii="Arial" w:hAnsi="Arial" w:cs="Arial"/>
          <w:sz w:val="22"/>
          <w:szCs w:val="22"/>
        </w:rPr>
        <w:t xml:space="preserve"> and </w:t>
      </w:r>
      <w:proofErr w:type="spellStart"/>
      <w:r w:rsidRPr="00711F6B">
        <w:rPr>
          <w:rFonts w:ascii="Arial" w:hAnsi="Arial" w:cs="Arial"/>
          <w:sz w:val="22"/>
          <w:szCs w:val="22"/>
        </w:rPr>
        <w:t>parasellar</w:t>
      </w:r>
      <w:proofErr w:type="spellEnd"/>
      <w:r w:rsidRPr="00711F6B">
        <w:rPr>
          <w:rFonts w:ascii="Arial" w:hAnsi="Arial" w:cs="Arial"/>
          <w:sz w:val="22"/>
          <w:szCs w:val="22"/>
        </w:rPr>
        <w:t xml:space="preserve"> regions, with a low histological grade, located near the optic chiasm, hypothalamus, and third ventricle. They primarily affect children aged 5-14 years, with 30%–50% of all cases occurring during childhood and </w:t>
      </w:r>
      <w:r w:rsidR="00203AE9" w:rsidRPr="00711F6B">
        <w:rPr>
          <w:rFonts w:ascii="Arial" w:hAnsi="Arial" w:cs="Arial"/>
          <w:sz w:val="22"/>
          <w:szCs w:val="22"/>
        </w:rPr>
        <w:t>adolescence and</w:t>
      </w:r>
      <w:r w:rsidRPr="00711F6B">
        <w:rPr>
          <w:rFonts w:ascii="Arial" w:hAnsi="Arial" w:cs="Arial"/>
          <w:sz w:val="22"/>
          <w:szCs w:val="22"/>
        </w:rPr>
        <w:t xml:space="preserve"> are also found in adults aged 50-74 years ([1])</w:t>
      </w:r>
      <w:r>
        <w:rPr>
          <w:rFonts w:ascii="Arial" w:hAnsi="Arial" w:cs="Arial"/>
          <w:sz w:val="22"/>
          <w:szCs w:val="22"/>
        </w:rPr>
        <w:t>.</w:t>
      </w:r>
    </w:p>
    <w:p w14:paraId="0E1BD8F4" w14:textId="55059369" w:rsidR="007D07FB" w:rsidRDefault="006324FF" w:rsidP="007D07FB">
      <w:pPr>
        <w:rPr>
          <w:rFonts w:ascii="Arial" w:hAnsi="Arial" w:cs="Arial"/>
          <w:sz w:val="22"/>
          <w:szCs w:val="22"/>
        </w:rPr>
      </w:pPr>
      <w:r w:rsidRPr="00454D73">
        <w:rPr>
          <w:rFonts w:ascii="Arial" w:hAnsi="Arial" w:cs="Arial"/>
          <w:sz w:val="22"/>
          <w:szCs w:val="22"/>
        </w:rPr>
        <w:t>There are two histologic subtypes</w:t>
      </w:r>
      <w:r w:rsidR="00B37C2E">
        <w:rPr>
          <w:rFonts w:ascii="Arial" w:hAnsi="Arial" w:cs="Arial"/>
          <w:sz w:val="22"/>
          <w:szCs w:val="22"/>
        </w:rPr>
        <w:t>-</w:t>
      </w:r>
      <w:proofErr w:type="spellStart"/>
      <w:r w:rsidRPr="00454D73">
        <w:rPr>
          <w:rFonts w:ascii="Arial" w:hAnsi="Arial" w:cs="Arial"/>
          <w:sz w:val="22"/>
          <w:szCs w:val="22"/>
        </w:rPr>
        <w:t>adamantinomatous</w:t>
      </w:r>
      <w:proofErr w:type="spellEnd"/>
      <w:r w:rsidRPr="00454D73">
        <w:rPr>
          <w:rFonts w:ascii="Arial" w:hAnsi="Arial" w:cs="Arial"/>
          <w:sz w:val="22"/>
          <w:szCs w:val="22"/>
        </w:rPr>
        <w:t xml:space="preserve"> (ACP) and papillary (PCP). Distinguishing them is clinically important: ACP typically has higher recurrence and worse prognosis, reflecting more infiltrative growth that can compromise vision and hypothalamic–pituitary function, leading </w:t>
      </w:r>
      <w:r w:rsidR="007D07FB" w:rsidRPr="007D07FB">
        <w:rPr>
          <w:rFonts w:ascii="Arial" w:hAnsi="Arial" w:cs="Arial"/>
          <w:sz w:val="22"/>
          <w:szCs w:val="22"/>
        </w:rPr>
        <w:t>to endocrine deficits and cognitive complications</w:t>
      </w:r>
      <w:r w:rsidR="007D07FB">
        <w:rPr>
          <w:rFonts w:ascii="Arial" w:hAnsi="Arial" w:cs="Arial"/>
          <w:sz w:val="22"/>
          <w:szCs w:val="22"/>
        </w:rPr>
        <w:t xml:space="preserve"> ([2])</w:t>
      </w:r>
      <w:r w:rsidR="007D07FB" w:rsidRPr="007D07FB">
        <w:rPr>
          <w:rFonts w:ascii="Arial" w:hAnsi="Arial" w:cs="Arial"/>
          <w:sz w:val="22"/>
          <w:szCs w:val="22"/>
        </w:rPr>
        <w:t xml:space="preserve">. </w:t>
      </w:r>
    </w:p>
    <w:p w14:paraId="5AC9B3B1" w14:textId="2F03ED4F" w:rsidR="007D07FB" w:rsidRDefault="007D07FB" w:rsidP="007D07FB">
      <w:pPr>
        <w:rPr>
          <w:rFonts w:ascii="Arial" w:hAnsi="Arial" w:cs="Arial"/>
          <w:sz w:val="22"/>
          <w:szCs w:val="22"/>
        </w:rPr>
      </w:pPr>
      <w:r w:rsidRPr="007D07FB">
        <w:rPr>
          <w:rFonts w:ascii="Arial" w:hAnsi="Arial" w:cs="Arial"/>
          <w:sz w:val="22"/>
          <w:szCs w:val="22"/>
        </w:rPr>
        <w:t xml:space="preserve">The diagnosis of CP is often delayed for years, with </w:t>
      </w:r>
      <w:r>
        <w:rPr>
          <w:rFonts w:ascii="Arial" w:hAnsi="Arial" w:cs="Arial"/>
          <w:sz w:val="22"/>
          <w:szCs w:val="22"/>
        </w:rPr>
        <w:t xml:space="preserve">the </w:t>
      </w:r>
      <w:r w:rsidRPr="007D07FB">
        <w:rPr>
          <w:rFonts w:ascii="Arial" w:hAnsi="Arial" w:cs="Arial"/>
          <w:sz w:val="22"/>
          <w:szCs w:val="22"/>
        </w:rPr>
        <w:t xml:space="preserve">initial </w:t>
      </w:r>
      <w:proofErr w:type="gramStart"/>
      <w:r w:rsidRPr="007D07FB">
        <w:rPr>
          <w:rFonts w:ascii="Arial" w:hAnsi="Arial" w:cs="Arial"/>
          <w:sz w:val="22"/>
          <w:szCs w:val="22"/>
        </w:rPr>
        <w:t>symptoms</w:t>
      </w:r>
      <w:proofErr w:type="gramEnd"/>
      <w:r w:rsidRPr="007D07FB">
        <w:rPr>
          <w:rFonts w:ascii="Arial" w:hAnsi="Arial" w:cs="Arial"/>
          <w:sz w:val="22"/>
          <w:szCs w:val="22"/>
        </w:rPr>
        <w:t xml:space="preserve"> signs of intracranial pressure.</w:t>
      </w:r>
      <w:r>
        <w:rPr>
          <w:rFonts w:ascii="Arial" w:hAnsi="Arial" w:cs="Arial"/>
          <w:sz w:val="22"/>
          <w:szCs w:val="22"/>
        </w:rPr>
        <w:t xml:space="preserve"> In addition, </w:t>
      </w:r>
      <w:r w:rsidRPr="007D07FB">
        <w:rPr>
          <w:rFonts w:ascii="Arial" w:hAnsi="Arial" w:cs="Arial"/>
          <w:sz w:val="22"/>
          <w:szCs w:val="22"/>
        </w:rPr>
        <w:t xml:space="preserve">visual impairment (62%–84%) and endocrine deficits (52%–87%) are common. Endocrine dysfunction </w:t>
      </w:r>
      <w:r>
        <w:rPr>
          <w:rFonts w:ascii="Arial" w:hAnsi="Arial" w:cs="Arial"/>
          <w:sz w:val="22"/>
          <w:szCs w:val="22"/>
        </w:rPr>
        <w:t>results</w:t>
      </w:r>
      <w:r w:rsidRPr="007D07FB">
        <w:rPr>
          <w:rFonts w:ascii="Arial" w:hAnsi="Arial" w:cs="Arial"/>
          <w:sz w:val="22"/>
          <w:szCs w:val="22"/>
        </w:rPr>
        <w:t xml:space="preserve"> from </w:t>
      </w:r>
      <w:r>
        <w:rPr>
          <w:rFonts w:ascii="Arial" w:hAnsi="Arial" w:cs="Arial"/>
          <w:sz w:val="22"/>
          <w:szCs w:val="22"/>
        </w:rPr>
        <w:t xml:space="preserve">the disruption of the </w:t>
      </w:r>
      <w:r w:rsidRPr="007D07FB">
        <w:rPr>
          <w:rFonts w:ascii="Arial" w:hAnsi="Arial" w:cs="Arial"/>
          <w:sz w:val="22"/>
          <w:szCs w:val="22"/>
        </w:rPr>
        <w:t>hypothalamic–pituitary axis, affecting growth hormone (75%), gonadotropins (40%), ACTH (25%), and TSH (25%); overall, 40%–87% of patients have at least one hormonal deficiency at diagnosis</w:t>
      </w:r>
      <w:r>
        <w:rPr>
          <w:rFonts w:ascii="Arial" w:hAnsi="Arial" w:cs="Arial"/>
          <w:sz w:val="22"/>
          <w:szCs w:val="22"/>
        </w:rPr>
        <w:t xml:space="preserve"> ([3], [4])</w:t>
      </w:r>
      <w:r w:rsidRPr="007D07FB">
        <w:rPr>
          <w:rFonts w:ascii="Arial" w:hAnsi="Arial" w:cs="Arial"/>
          <w:sz w:val="22"/>
          <w:szCs w:val="22"/>
        </w:rPr>
        <w:t>.</w:t>
      </w:r>
    </w:p>
    <w:p w14:paraId="588CF617" w14:textId="342D93B4" w:rsidR="004707C9" w:rsidRDefault="00A37C86">
      <w:pPr>
        <w:rPr>
          <w:rFonts w:ascii="Arial" w:hAnsi="Arial" w:cs="Arial"/>
          <w:kern w:val="0"/>
          <w:sz w:val="22"/>
          <w:szCs w:val="22"/>
          <w14:ligatures w14:val="none"/>
        </w:rPr>
      </w:pPr>
      <w:r>
        <w:rPr>
          <w:rFonts w:ascii="Arial" w:hAnsi="Arial" w:cs="Arial"/>
          <w:kern w:val="0"/>
          <w:sz w:val="22"/>
          <w:szCs w:val="22"/>
          <w14:ligatures w14:val="none"/>
        </w:rPr>
        <w:t>Because of the tendency of the CP to adhere to the nearby optic pathway and surrounding tissues, excision becomes difficult and raises the risk of morbidity and mortality. Some surgeons then prefer partial resection followed by adjuvant postoperative irradiation.</w:t>
      </w:r>
      <w:r w:rsidR="00502002">
        <w:rPr>
          <w:rFonts w:ascii="Arial" w:hAnsi="Arial" w:cs="Arial"/>
          <w:kern w:val="0"/>
          <w:sz w:val="22"/>
          <w:szCs w:val="22"/>
          <w14:ligatures w14:val="none"/>
        </w:rPr>
        <w:t xml:space="preserve"> </w:t>
      </w:r>
    </w:p>
    <w:p w14:paraId="1450DADD" w14:textId="76783ECC" w:rsidR="00502002" w:rsidRPr="00AF3367" w:rsidRDefault="00502002">
      <w:pPr>
        <w:rPr>
          <w:rFonts w:ascii="Arial" w:hAnsi="Arial" w:cs="Arial"/>
          <w:color w:val="1B1B1B"/>
          <w:sz w:val="22"/>
          <w:szCs w:val="22"/>
          <w:shd w:val="clear" w:color="auto" w:fill="FFFFFF"/>
        </w:rPr>
      </w:pPr>
      <w:r>
        <w:rPr>
          <w:rFonts w:ascii="Arial" w:hAnsi="Arial" w:cs="Arial"/>
          <w:color w:val="1B1B1B"/>
          <w:kern w:val="0"/>
          <w:sz w:val="22"/>
          <w:szCs w:val="22"/>
          <w:shd w:val="clear" w:color="auto" w:fill="FFFFFF"/>
          <w14:ligatures w14:val="none"/>
        </w:rPr>
        <w:t>Even though overall survival rates are high (92%), recurrences after complete resection and progressions after incomplete resection can be expected in the range of 71-90%, with radiotherapy reducing it to 21%</w:t>
      </w:r>
      <w:r w:rsidR="007D07FB">
        <w:rPr>
          <w:rFonts w:ascii="Arial" w:hAnsi="Arial" w:cs="Arial"/>
          <w:color w:val="1B1B1B"/>
          <w:kern w:val="0"/>
          <w:sz w:val="22"/>
          <w:szCs w:val="22"/>
          <w:shd w:val="clear" w:color="auto" w:fill="FFFFFF"/>
          <w14:ligatures w14:val="none"/>
        </w:rPr>
        <w:t xml:space="preserve"> ([5])</w:t>
      </w:r>
      <w:r>
        <w:rPr>
          <w:rFonts w:ascii="Arial" w:hAnsi="Arial" w:cs="Arial"/>
          <w:color w:val="1B1B1B"/>
          <w:kern w:val="0"/>
          <w:sz w:val="22"/>
          <w:szCs w:val="22"/>
          <w:shd w:val="clear" w:color="auto" w:fill="FFFFFF"/>
          <w14:ligatures w14:val="none"/>
        </w:rPr>
        <w:t>.</w:t>
      </w:r>
    </w:p>
    <w:p w14:paraId="3897B743" w14:textId="45157716" w:rsidR="00EB1EF9" w:rsidRPr="00F41AC6" w:rsidRDefault="006C6B46">
      <w:pPr>
        <w:rPr>
          <w:rFonts w:ascii="Arial" w:hAnsi="Arial" w:cs="Arial"/>
          <w:sz w:val="22"/>
          <w:szCs w:val="22"/>
        </w:rPr>
      </w:pPr>
      <w:r w:rsidRPr="00F41AC6">
        <w:rPr>
          <w:rFonts w:ascii="Arial" w:hAnsi="Arial" w:cs="Arial"/>
          <w:kern w:val="0"/>
          <w:sz w:val="22"/>
          <w:szCs w:val="22"/>
          <w14:ligatures w14:val="none"/>
        </w:rPr>
        <w:t>For surgical planning, various grading systems have been developed based on MRI images and the location of anatomical structures involved with or surrounding the tumors. Due to the anatomical differences among tumors, there is no single preferred approach</w:t>
      </w:r>
      <w:r w:rsidR="002549CD">
        <w:rPr>
          <w:rFonts w:ascii="Arial" w:hAnsi="Arial" w:cs="Arial"/>
          <w:kern w:val="0"/>
          <w:sz w:val="22"/>
          <w:szCs w:val="22"/>
          <w14:ligatures w14:val="none"/>
        </w:rPr>
        <w:t xml:space="preserve"> ([</w:t>
      </w:r>
      <w:r w:rsidR="004A7645">
        <w:rPr>
          <w:rFonts w:ascii="Arial" w:hAnsi="Arial" w:cs="Arial"/>
          <w:kern w:val="0"/>
          <w:sz w:val="22"/>
          <w:szCs w:val="22"/>
          <w14:ligatures w14:val="none"/>
        </w:rPr>
        <w:t>6</w:t>
      </w:r>
      <w:r w:rsidR="002549CD">
        <w:rPr>
          <w:rFonts w:ascii="Arial" w:hAnsi="Arial" w:cs="Arial"/>
          <w:kern w:val="0"/>
          <w:sz w:val="22"/>
          <w:szCs w:val="22"/>
          <w14:ligatures w14:val="none"/>
        </w:rPr>
        <w:t>])</w:t>
      </w:r>
      <w:r w:rsidRPr="00F41AC6">
        <w:rPr>
          <w:rFonts w:ascii="Arial" w:hAnsi="Arial" w:cs="Arial"/>
          <w:kern w:val="0"/>
          <w:sz w:val="22"/>
          <w:szCs w:val="22"/>
          <w14:ligatures w14:val="none"/>
        </w:rPr>
        <w:t>. As an example, one recent classification system is the quantitative sensory testing (QST</w:t>
      </w:r>
      <w:proofErr w:type="gramStart"/>
      <w:r w:rsidRPr="00F41AC6">
        <w:rPr>
          <w:rFonts w:ascii="Arial" w:hAnsi="Arial" w:cs="Arial"/>
          <w:kern w:val="0"/>
          <w:sz w:val="22"/>
          <w:szCs w:val="22"/>
          <w14:ligatures w14:val="none"/>
        </w:rPr>
        <w:t>)</w:t>
      </w:r>
      <w:r w:rsidR="002549CD">
        <w:rPr>
          <w:rFonts w:ascii="Arial" w:hAnsi="Arial" w:cs="Arial"/>
          <w:kern w:val="0"/>
          <w:sz w:val="22"/>
          <w:szCs w:val="22"/>
          <w14:ligatures w14:val="none"/>
        </w:rPr>
        <w:t>(</w:t>
      </w:r>
      <w:proofErr w:type="gramEnd"/>
      <w:r w:rsidR="002549CD">
        <w:rPr>
          <w:rFonts w:ascii="Arial" w:hAnsi="Arial" w:cs="Arial"/>
          <w:kern w:val="0"/>
          <w:sz w:val="22"/>
          <w:szCs w:val="22"/>
          <w14:ligatures w14:val="none"/>
        </w:rPr>
        <w:t>[</w:t>
      </w:r>
      <w:r w:rsidR="004A7645">
        <w:rPr>
          <w:rFonts w:ascii="Arial" w:hAnsi="Arial" w:cs="Arial"/>
          <w:kern w:val="0"/>
          <w:sz w:val="22"/>
          <w:szCs w:val="22"/>
          <w14:ligatures w14:val="none"/>
        </w:rPr>
        <w:t>7</w:t>
      </w:r>
      <w:r w:rsidR="002549CD">
        <w:rPr>
          <w:rFonts w:ascii="Arial" w:hAnsi="Arial" w:cs="Arial"/>
          <w:kern w:val="0"/>
          <w:sz w:val="22"/>
          <w:szCs w:val="22"/>
          <w14:ligatures w14:val="none"/>
        </w:rPr>
        <w:t>])</w:t>
      </w:r>
      <w:r w:rsidRPr="00F41AC6">
        <w:rPr>
          <w:rFonts w:ascii="Arial" w:hAnsi="Arial" w:cs="Arial"/>
          <w:kern w:val="0"/>
          <w:sz w:val="22"/>
          <w:szCs w:val="22"/>
          <w14:ligatures w14:val="none"/>
        </w:rPr>
        <w:t>, which classifies which CPs into:</w:t>
      </w:r>
    </w:p>
    <w:p w14:paraId="4F636066" w14:textId="1E6EEA69" w:rsidR="00EB1EF9" w:rsidRPr="00F41AC6" w:rsidRDefault="00EB1EF9" w:rsidP="007C3014">
      <w:pPr>
        <w:pStyle w:val="ListParagraph"/>
        <w:numPr>
          <w:ilvl w:val="0"/>
          <w:numId w:val="1"/>
        </w:numPr>
        <w:rPr>
          <w:rFonts w:ascii="Arial" w:hAnsi="Arial" w:cs="Arial"/>
          <w:sz w:val="22"/>
          <w:szCs w:val="22"/>
        </w:rPr>
      </w:pPr>
      <w:r w:rsidRPr="00D90050">
        <w:rPr>
          <w:rFonts w:ascii="Arial" w:hAnsi="Arial" w:cs="Arial"/>
          <w:b/>
          <w:bCs/>
          <w:sz w:val="22"/>
          <w:szCs w:val="22"/>
        </w:rPr>
        <w:t>Type Q</w:t>
      </w:r>
      <w:r w:rsidR="00D90050">
        <w:rPr>
          <w:rFonts w:ascii="Arial" w:hAnsi="Arial" w:cs="Arial"/>
          <w:b/>
          <w:bCs/>
          <w:sz w:val="22"/>
          <w:szCs w:val="22"/>
        </w:rPr>
        <w:t>:</w:t>
      </w:r>
      <w:r w:rsidRPr="00F41AC6">
        <w:rPr>
          <w:rFonts w:ascii="Arial" w:hAnsi="Arial" w:cs="Arial"/>
          <w:sz w:val="22"/>
          <w:szCs w:val="22"/>
        </w:rPr>
        <w:t xml:space="preserve"> for CPs that originate from the space below the diaphragm, with an enlarged pituitary fossa</w:t>
      </w:r>
    </w:p>
    <w:p w14:paraId="1D0253AD" w14:textId="656039AD" w:rsidR="00EB1EF9" w:rsidRPr="00F41AC6" w:rsidRDefault="00EB1EF9" w:rsidP="007C3014">
      <w:pPr>
        <w:pStyle w:val="ListParagraph"/>
        <w:numPr>
          <w:ilvl w:val="0"/>
          <w:numId w:val="1"/>
        </w:numPr>
        <w:rPr>
          <w:rFonts w:ascii="Arial" w:hAnsi="Arial" w:cs="Arial"/>
          <w:sz w:val="22"/>
          <w:szCs w:val="22"/>
        </w:rPr>
      </w:pPr>
      <w:r w:rsidRPr="00D90050">
        <w:rPr>
          <w:rFonts w:ascii="Arial" w:hAnsi="Arial" w:cs="Arial"/>
          <w:b/>
          <w:bCs/>
          <w:sz w:val="22"/>
          <w:szCs w:val="22"/>
        </w:rPr>
        <w:t>Type S:</w:t>
      </w:r>
      <w:r w:rsidRPr="00F41AC6">
        <w:rPr>
          <w:rFonts w:ascii="Arial" w:hAnsi="Arial" w:cs="Arial"/>
          <w:sz w:val="22"/>
          <w:szCs w:val="22"/>
        </w:rPr>
        <w:t xml:space="preserve"> for CPs that arise from the pituitary stalk</w:t>
      </w:r>
      <w:r w:rsidR="00D46230" w:rsidRPr="00F41AC6">
        <w:rPr>
          <w:rFonts w:ascii="Arial" w:hAnsi="Arial" w:cs="Arial"/>
          <w:sz w:val="22"/>
          <w:szCs w:val="22"/>
        </w:rPr>
        <w:t xml:space="preserve">, tend to spread through </w:t>
      </w:r>
      <w:proofErr w:type="spellStart"/>
      <w:r w:rsidR="00D46230" w:rsidRPr="00F41AC6">
        <w:rPr>
          <w:rFonts w:ascii="Arial" w:hAnsi="Arial" w:cs="Arial"/>
          <w:sz w:val="22"/>
          <w:szCs w:val="22"/>
        </w:rPr>
        <w:t>cisterms</w:t>
      </w:r>
      <w:proofErr w:type="spellEnd"/>
    </w:p>
    <w:p w14:paraId="66705C02" w14:textId="4502EEFB" w:rsidR="00D46230" w:rsidRPr="00F41AC6" w:rsidRDefault="00D46230" w:rsidP="007C3014">
      <w:pPr>
        <w:pStyle w:val="ListParagraph"/>
        <w:numPr>
          <w:ilvl w:val="0"/>
          <w:numId w:val="1"/>
        </w:numPr>
        <w:rPr>
          <w:rFonts w:ascii="Arial" w:hAnsi="Arial" w:cs="Arial"/>
          <w:sz w:val="22"/>
          <w:szCs w:val="22"/>
        </w:rPr>
      </w:pPr>
      <w:r w:rsidRPr="00D90050">
        <w:rPr>
          <w:rFonts w:ascii="Arial" w:hAnsi="Arial" w:cs="Arial"/>
          <w:b/>
          <w:bCs/>
          <w:sz w:val="22"/>
          <w:szCs w:val="22"/>
        </w:rPr>
        <w:t>Type T:</w:t>
      </w:r>
      <w:r w:rsidRPr="00F41AC6">
        <w:rPr>
          <w:rFonts w:ascii="Arial" w:hAnsi="Arial" w:cs="Arial"/>
          <w:sz w:val="22"/>
          <w:szCs w:val="22"/>
        </w:rPr>
        <w:t xml:space="preserve"> for CPs that originate in the top of the pars </w:t>
      </w:r>
      <w:proofErr w:type="spellStart"/>
      <w:r w:rsidRPr="00F41AC6">
        <w:rPr>
          <w:rFonts w:ascii="Arial" w:hAnsi="Arial" w:cs="Arial"/>
          <w:sz w:val="22"/>
          <w:szCs w:val="22"/>
        </w:rPr>
        <w:t>tuberalis</w:t>
      </w:r>
      <w:proofErr w:type="spellEnd"/>
      <w:r w:rsidRPr="00F41AC6">
        <w:rPr>
          <w:rFonts w:ascii="Arial" w:hAnsi="Arial" w:cs="Arial"/>
          <w:sz w:val="22"/>
          <w:szCs w:val="22"/>
        </w:rPr>
        <w:t>, extending upward to occupy the third ventricle</w:t>
      </w:r>
    </w:p>
    <w:p w14:paraId="6FE7B735" w14:textId="77777777" w:rsidR="00791BF1" w:rsidRDefault="00791BF1" w:rsidP="00ED52E4">
      <w:pPr>
        <w:rPr>
          <w:rFonts w:ascii="Arial" w:hAnsi="Arial" w:cs="Arial"/>
          <w:sz w:val="22"/>
          <w:szCs w:val="22"/>
        </w:rPr>
      </w:pPr>
    </w:p>
    <w:p w14:paraId="00F4CB05" w14:textId="77777777" w:rsidR="00791BF1" w:rsidRDefault="00791BF1" w:rsidP="00ED52E4">
      <w:pPr>
        <w:rPr>
          <w:rFonts w:ascii="Arial" w:hAnsi="Arial" w:cs="Arial"/>
          <w:sz w:val="22"/>
          <w:szCs w:val="22"/>
        </w:rPr>
      </w:pPr>
    </w:p>
    <w:p w14:paraId="5D1C590C" w14:textId="77777777" w:rsidR="00791BF1" w:rsidRDefault="00791BF1" w:rsidP="00ED52E4">
      <w:pPr>
        <w:rPr>
          <w:rFonts w:ascii="Arial" w:hAnsi="Arial" w:cs="Arial"/>
          <w:sz w:val="22"/>
          <w:szCs w:val="22"/>
        </w:rPr>
      </w:pPr>
    </w:p>
    <w:p w14:paraId="0E464B14" w14:textId="77777777" w:rsidR="00791BF1" w:rsidRDefault="00791BF1" w:rsidP="00ED52E4">
      <w:pPr>
        <w:rPr>
          <w:rFonts w:ascii="Arial" w:hAnsi="Arial" w:cs="Arial"/>
          <w:sz w:val="22"/>
          <w:szCs w:val="22"/>
        </w:rPr>
      </w:pPr>
    </w:p>
    <w:p w14:paraId="5582448E" w14:textId="77777777" w:rsidR="00791BF1" w:rsidRDefault="00791BF1" w:rsidP="00ED52E4">
      <w:pPr>
        <w:rPr>
          <w:rFonts w:ascii="Arial" w:hAnsi="Arial" w:cs="Arial"/>
          <w:sz w:val="22"/>
          <w:szCs w:val="22"/>
        </w:rPr>
      </w:pPr>
    </w:p>
    <w:p w14:paraId="1368C253" w14:textId="77777777" w:rsidR="00791BF1" w:rsidRDefault="00791BF1" w:rsidP="00ED52E4">
      <w:pPr>
        <w:rPr>
          <w:rFonts w:ascii="Arial" w:hAnsi="Arial" w:cs="Arial"/>
          <w:sz w:val="22"/>
          <w:szCs w:val="22"/>
        </w:rPr>
      </w:pPr>
    </w:p>
    <w:p w14:paraId="01380390" w14:textId="77777777" w:rsidR="00791BF1" w:rsidRDefault="00791BF1" w:rsidP="00ED52E4">
      <w:pPr>
        <w:rPr>
          <w:rFonts w:ascii="Arial" w:hAnsi="Arial" w:cs="Arial"/>
          <w:sz w:val="22"/>
          <w:szCs w:val="22"/>
        </w:rPr>
      </w:pPr>
    </w:p>
    <w:p w14:paraId="18281AD5" w14:textId="77777777" w:rsidR="00791BF1" w:rsidRDefault="00791BF1" w:rsidP="00ED52E4">
      <w:pPr>
        <w:rPr>
          <w:rFonts w:ascii="Arial" w:hAnsi="Arial" w:cs="Arial"/>
          <w:sz w:val="22"/>
          <w:szCs w:val="22"/>
        </w:rPr>
      </w:pPr>
    </w:p>
    <w:p w14:paraId="13D5C41A" w14:textId="77777777" w:rsidR="00791BF1" w:rsidRDefault="00791BF1" w:rsidP="00ED52E4">
      <w:pPr>
        <w:rPr>
          <w:rFonts w:ascii="Arial" w:hAnsi="Arial" w:cs="Arial"/>
          <w:sz w:val="22"/>
          <w:szCs w:val="22"/>
        </w:rPr>
      </w:pPr>
    </w:p>
    <w:p w14:paraId="09BC4F9B" w14:textId="77777777" w:rsidR="00791BF1" w:rsidRDefault="00791BF1" w:rsidP="00ED52E4">
      <w:pPr>
        <w:rPr>
          <w:rFonts w:ascii="Arial" w:hAnsi="Arial" w:cs="Arial"/>
          <w:sz w:val="22"/>
          <w:szCs w:val="22"/>
        </w:rPr>
      </w:pPr>
    </w:p>
    <w:p w14:paraId="67F4F7CD" w14:textId="77777777" w:rsidR="00791BF1" w:rsidRDefault="00791BF1" w:rsidP="00ED52E4">
      <w:pPr>
        <w:rPr>
          <w:rFonts w:ascii="Arial" w:hAnsi="Arial" w:cs="Arial"/>
          <w:sz w:val="22"/>
          <w:szCs w:val="22"/>
        </w:rPr>
      </w:pPr>
    </w:p>
    <w:p w14:paraId="39712C60" w14:textId="77777777" w:rsidR="00791BF1" w:rsidRDefault="00791BF1" w:rsidP="00ED52E4">
      <w:pPr>
        <w:rPr>
          <w:rFonts w:ascii="Arial" w:hAnsi="Arial" w:cs="Arial"/>
          <w:sz w:val="22"/>
          <w:szCs w:val="22"/>
        </w:rPr>
      </w:pPr>
    </w:p>
    <w:p w14:paraId="5695CA20" w14:textId="3BD36FB4" w:rsidR="00ED52E4" w:rsidRPr="00ED52E4" w:rsidRDefault="00ED52E4" w:rsidP="00ED52E4">
      <w:pPr>
        <w:rPr>
          <w:rFonts w:ascii="Arial" w:hAnsi="Arial" w:cs="Arial"/>
          <w:sz w:val="22"/>
          <w:szCs w:val="22"/>
        </w:rPr>
      </w:pPr>
      <w:r w:rsidRPr="00ED52E4">
        <w:rPr>
          <w:rFonts w:ascii="Arial" w:hAnsi="Arial" w:cs="Arial"/>
          <w:sz w:val="22"/>
          <w:szCs w:val="22"/>
        </w:rPr>
        <w:t xml:space="preserve">Automatic segmentation of craniopharyngiomas is challenging because of the high variability in anatomy and appearance. CPs contain different proportions of cystic and solid components; the cyst signal varies with protein levels, and the solid parts and cyst walls are often T1-isointense with only slight heterogeneity, causing them to blend into surrounding tissue. </w:t>
      </w:r>
      <w:r>
        <w:rPr>
          <w:rFonts w:ascii="Arial" w:hAnsi="Arial" w:cs="Arial"/>
          <w:sz w:val="22"/>
          <w:szCs w:val="22"/>
        </w:rPr>
        <w:t xml:space="preserve">In </w:t>
      </w:r>
      <w:proofErr w:type="spellStart"/>
      <w:r>
        <w:rPr>
          <w:rFonts w:ascii="Arial" w:hAnsi="Arial" w:cs="Arial"/>
          <w:sz w:val="22"/>
          <w:szCs w:val="22"/>
        </w:rPr>
        <w:t>addtion</w:t>
      </w:r>
      <w:proofErr w:type="spellEnd"/>
      <w:r w:rsidRPr="00ED52E4">
        <w:rPr>
          <w:rFonts w:ascii="Arial" w:hAnsi="Arial" w:cs="Arial"/>
          <w:sz w:val="22"/>
          <w:szCs w:val="22"/>
        </w:rPr>
        <w:t xml:space="preserve">, they </w:t>
      </w:r>
      <w:proofErr w:type="gramStart"/>
      <w:r w:rsidRPr="00ED52E4">
        <w:rPr>
          <w:rFonts w:ascii="Arial" w:hAnsi="Arial" w:cs="Arial"/>
          <w:sz w:val="22"/>
          <w:szCs w:val="22"/>
        </w:rPr>
        <w:t>are located in</w:t>
      </w:r>
      <w:proofErr w:type="gramEnd"/>
      <w:r w:rsidRPr="00ED52E4">
        <w:rPr>
          <w:rFonts w:ascii="Arial" w:hAnsi="Arial" w:cs="Arial"/>
          <w:sz w:val="22"/>
          <w:szCs w:val="22"/>
        </w:rPr>
        <w:t xml:space="preserve"> the crowded </w:t>
      </w:r>
      <w:proofErr w:type="spellStart"/>
      <w:r w:rsidRPr="00ED52E4">
        <w:rPr>
          <w:rFonts w:ascii="Arial" w:hAnsi="Arial" w:cs="Arial"/>
          <w:sz w:val="22"/>
          <w:szCs w:val="22"/>
        </w:rPr>
        <w:t>sellar</w:t>
      </w:r>
      <w:proofErr w:type="spellEnd"/>
      <w:r w:rsidRPr="00ED52E4">
        <w:rPr>
          <w:rFonts w:ascii="Arial" w:hAnsi="Arial" w:cs="Arial"/>
          <w:sz w:val="22"/>
          <w:szCs w:val="22"/>
        </w:rPr>
        <w:t xml:space="preserve"> and </w:t>
      </w:r>
      <w:proofErr w:type="spellStart"/>
      <w:r w:rsidRPr="00ED52E4">
        <w:rPr>
          <w:rFonts w:ascii="Arial" w:hAnsi="Arial" w:cs="Arial"/>
          <w:sz w:val="22"/>
          <w:szCs w:val="22"/>
        </w:rPr>
        <w:t>parasellar</w:t>
      </w:r>
      <w:proofErr w:type="spellEnd"/>
      <w:r w:rsidRPr="00ED52E4">
        <w:rPr>
          <w:rFonts w:ascii="Arial" w:hAnsi="Arial" w:cs="Arial"/>
          <w:sz w:val="22"/>
          <w:szCs w:val="22"/>
        </w:rPr>
        <w:t xml:space="preserve"> regions near the optic chiasm, hypothalamus, and third ventricle, where partial volume effects and mass impact blur their margins. These factors collectively hinder AI or deep learning approaches.</w:t>
      </w:r>
    </w:p>
    <w:p w14:paraId="4B780704" w14:textId="77777777" w:rsidR="00ED52E4" w:rsidRPr="00ED52E4" w:rsidRDefault="00ED52E4" w:rsidP="00ED52E4">
      <w:pPr>
        <w:rPr>
          <w:rFonts w:ascii="Arial" w:hAnsi="Arial" w:cs="Arial"/>
          <w:sz w:val="22"/>
          <w:szCs w:val="22"/>
        </w:rPr>
      </w:pPr>
      <w:r w:rsidRPr="00ED52E4">
        <w:rPr>
          <w:rFonts w:ascii="Arial" w:hAnsi="Arial" w:cs="Arial"/>
          <w:sz w:val="22"/>
          <w:szCs w:val="22"/>
        </w:rPr>
        <w:t>However, automated segmentation and image-derived phenotypes, combined with association analyses against clinical endpoints (e.g., hypothyroidism, hydrocephalus, central diabetes insipidus), can aid preoperative risk stratification, inform surgical planning, and enhance overall outcomes.</w:t>
      </w:r>
    </w:p>
    <w:p w14:paraId="65C2FD47" w14:textId="56B1F2AD" w:rsidR="007C4F8D" w:rsidRDefault="00ED52E4" w:rsidP="00ED52E4">
      <w:pPr>
        <w:rPr>
          <w:kern w:val="0"/>
          <w14:ligatures w14:val="none"/>
        </w:rPr>
      </w:pPr>
      <w:r w:rsidRPr="00ED52E4">
        <w:rPr>
          <w:rFonts w:ascii="Arial" w:hAnsi="Arial" w:cs="Arial"/>
          <w:sz w:val="22"/>
          <w:szCs w:val="22"/>
        </w:rPr>
        <w:t>Additionally, foundational auto-segmentation models could unify various preoperative systems by providing metrics for each classification system.</w:t>
      </w:r>
    </w:p>
    <w:p w14:paraId="2CB82DC9" w14:textId="77777777" w:rsidR="006309FB" w:rsidRDefault="006309FB">
      <w:pPr>
        <w:rPr>
          <w:kern w:val="0"/>
          <w14:ligatures w14:val="none"/>
        </w:rPr>
      </w:pPr>
    </w:p>
    <w:p w14:paraId="7FE1DF75" w14:textId="77777777" w:rsidR="006309FB" w:rsidRDefault="006309FB">
      <w:pPr>
        <w:rPr>
          <w:kern w:val="0"/>
          <w14:ligatures w14:val="none"/>
        </w:rPr>
      </w:pPr>
    </w:p>
    <w:p w14:paraId="0808B4E7" w14:textId="77777777" w:rsidR="006309FB" w:rsidRDefault="006309FB">
      <w:pPr>
        <w:rPr>
          <w:kern w:val="0"/>
          <w14:ligatures w14:val="none"/>
        </w:rPr>
      </w:pPr>
    </w:p>
    <w:p w14:paraId="08062123" w14:textId="77777777" w:rsidR="006309FB" w:rsidRDefault="006309FB">
      <w:pPr>
        <w:rPr>
          <w:kern w:val="0"/>
          <w14:ligatures w14:val="none"/>
        </w:rPr>
      </w:pPr>
    </w:p>
    <w:p w14:paraId="3790196E" w14:textId="41A8B205" w:rsidR="007C4F8D" w:rsidRPr="007C4F8D" w:rsidRDefault="007C4F8D" w:rsidP="007C4F8D">
      <w:pPr>
        <w:rPr>
          <w:rFonts w:ascii="Arial" w:eastAsia="Times New Roman" w:hAnsi="Arial" w:cs="Arial"/>
          <w:color w:val="000000"/>
          <w:kern w:val="0"/>
          <w:sz w:val="22"/>
          <w:szCs w:val="22"/>
          <w14:ligatures w14:val="none"/>
        </w:rPr>
      </w:pPr>
      <w:r w:rsidRPr="007C4F8D">
        <w:rPr>
          <w:rFonts w:ascii="Arial" w:eastAsia="Times New Roman" w:hAnsi="Arial" w:cs="Arial"/>
          <w:color w:val="000000"/>
          <w:kern w:val="0"/>
          <w:sz w:val="22"/>
          <w:szCs w:val="22"/>
          <w14:ligatures w14:val="none"/>
        </w:rPr>
        <w:t xml:space="preserve">The Segment Anything Model (SAM) (Kirillov et al., 2023) was introduced as the first large model specifically designed for segmentation tasks. SAM uses a prompt-based training approach, aiming to generate segmentation masks for target objects in response to user prompts, such as points or bounding boxes. It has shown comparable or even better zero-shot performance than fully supervised models when processing natural images. However, SAM's performance is less impressive when it is applied directly to medical images. </w:t>
      </w:r>
    </w:p>
    <w:p w14:paraId="6B826890" w14:textId="2BC4405C" w:rsidR="007C4F8D" w:rsidRDefault="007C4F8D" w:rsidP="007C4F8D">
      <w:pPr>
        <w:rPr>
          <w:rFonts w:ascii="Arial" w:eastAsia="Times New Roman" w:hAnsi="Arial" w:cs="Arial"/>
          <w:color w:val="000000"/>
          <w:kern w:val="0"/>
          <w:sz w:val="22"/>
          <w:szCs w:val="22"/>
          <w14:ligatures w14:val="none"/>
        </w:rPr>
      </w:pPr>
      <w:r w:rsidRPr="007C4F8D">
        <w:rPr>
          <w:rFonts w:ascii="Arial" w:eastAsia="Times New Roman" w:hAnsi="Arial" w:cs="Arial"/>
          <w:color w:val="000000"/>
          <w:kern w:val="0"/>
          <w:sz w:val="22"/>
          <w:szCs w:val="22"/>
          <w14:ligatures w14:val="none"/>
        </w:rPr>
        <w:t>In [2], the researchers use masked autoencoding technique as prompts for SAM.</w:t>
      </w:r>
    </w:p>
    <w:p w14:paraId="71726D9D" w14:textId="77777777" w:rsidR="00110555" w:rsidRPr="00A222D2" w:rsidRDefault="00110555" w:rsidP="00110555">
      <w:r w:rsidRPr="00454D73">
        <w:rPr>
          <w:rFonts w:ascii="Arial" w:hAnsi="Arial" w:cs="Arial"/>
          <w:sz w:val="22"/>
          <w:szCs w:val="22"/>
        </w:rPr>
        <w:t>Automated segmentation and image-derived phenotypes, coupled with association analyses against clinical endpoints (e.g., hypothyroidism, hydrocephalus, central diabetes insipidus), can support preoperative risk stratification, guide surgical planning, and improve overall outcomes.</w:t>
      </w:r>
    </w:p>
    <w:p w14:paraId="4DE41599" w14:textId="77777777" w:rsidR="00110555" w:rsidRPr="00454D73" w:rsidRDefault="00110555" w:rsidP="00110555">
      <w:pPr>
        <w:rPr>
          <w:rFonts w:ascii="Arial" w:hAnsi="Arial" w:cs="Arial"/>
          <w:sz w:val="22"/>
          <w:szCs w:val="22"/>
        </w:rPr>
      </w:pPr>
    </w:p>
    <w:p w14:paraId="3E4829A5" w14:textId="77777777" w:rsidR="00110555" w:rsidRPr="007C4F8D" w:rsidRDefault="00110555" w:rsidP="007C4F8D">
      <w:pPr>
        <w:rPr>
          <w:rFonts w:ascii="Arial" w:eastAsia="Times New Roman" w:hAnsi="Arial" w:cs="Arial"/>
          <w:color w:val="000000"/>
          <w:kern w:val="0"/>
          <w:sz w:val="22"/>
          <w:szCs w:val="22"/>
          <w14:ligatures w14:val="none"/>
        </w:rPr>
      </w:pPr>
    </w:p>
    <w:p w14:paraId="2E2C5D17" w14:textId="77777777" w:rsidR="007C4F8D" w:rsidRPr="007C4F8D" w:rsidRDefault="007C4F8D" w:rsidP="007C4F8D">
      <w:pPr>
        <w:rPr>
          <w:rFonts w:ascii="Helvetica" w:eastAsia="Times New Roman" w:hAnsi="Helvetica" w:cs="Times New Roman"/>
          <w:color w:val="000000"/>
          <w:kern w:val="0"/>
          <w:sz w:val="16"/>
          <w:szCs w:val="16"/>
          <w14:ligatures w14:val="none"/>
        </w:rPr>
      </w:pPr>
    </w:p>
    <w:p w14:paraId="1C1A953B" w14:textId="51F4FAF6" w:rsidR="007D07FB" w:rsidRPr="007D07FB" w:rsidRDefault="00A222D2" w:rsidP="007D07FB">
      <w:r>
        <w:t xml:space="preserve">[1] </w:t>
      </w:r>
      <w:r w:rsidR="006408FF" w:rsidRPr="002549CD">
        <w:rPr>
          <w:rFonts w:ascii="Arial" w:hAnsi="Arial" w:cs="Arial"/>
          <w:sz w:val="22"/>
          <w:szCs w:val="22"/>
        </w:rPr>
        <w:t xml:space="preserve">Walker, D.A., </w:t>
      </w:r>
      <w:proofErr w:type="spellStart"/>
      <w:r w:rsidR="006408FF" w:rsidRPr="002549CD">
        <w:rPr>
          <w:rFonts w:ascii="Arial" w:hAnsi="Arial" w:cs="Arial"/>
          <w:sz w:val="22"/>
          <w:szCs w:val="22"/>
        </w:rPr>
        <w:t>Perilongo</w:t>
      </w:r>
      <w:proofErr w:type="spellEnd"/>
      <w:r w:rsidR="006408FF" w:rsidRPr="002549CD">
        <w:rPr>
          <w:rFonts w:ascii="Arial" w:hAnsi="Arial" w:cs="Arial"/>
          <w:sz w:val="22"/>
          <w:szCs w:val="22"/>
        </w:rPr>
        <w:t xml:space="preserve">, G., Taylor, R.E., &amp; Pollack, I.F. (Eds.). (2020). Brain and Spinal Tumors of Childhood (2nd ed.). CRC Press. </w:t>
      </w:r>
      <w:hyperlink r:id="rId5" w:history="1">
        <w:r w:rsidR="00805D62" w:rsidRPr="002549CD">
          <w:rPr>
            <w:rStyle w:val="Hyperlink"/>
            <w:rFonts w:ascii="Arial" w:hAnsi="Arial" w:cs="Arial"/>
            <w:sz w:val="22"/>
            <w:szCs w:val="22"/>
          </w:rPr>
          <w:t>https://doi.org/10.1201/9781003090120</w:t>
        </w:r>
      </w:hyperlink>
    </w:p>
    <w:p w14:paraId="44CDE5C5" w14:textId="188C0FB0" w:rsidR="007D07FB" w:rsidRDefault="007D07FB" w:rsidP="007D07FB">
      <w:pPr>
        <w:rPr>
          <w:rFonts w:ascii="Arial" w:hAnsi="Arial" w:cs="Arial"/>
          <w:color w:val="1B1B1B"/>
          <w:sz w:val="22"/>
          <w:szCs w:val="22"/>
          <w:shd w:val="clear" w:color="auto" w:fill="FFFFFF"/>
        </w:rPr>
      </w:pPr>
      <w:r w:rsidRPr="002549CD">
        <w:rPr>
          <w:rFonts w:ascii="Arial" w:hAnsi="Arial" w:cs="Arial"/>
          <w:color w:val="212121"/>
          <w:sz w:val="22"/>
          <w:szCs w:val="22"/>
          <w:shd w:val="clear" w:color="auto" w:fill="FFFFFF"/>
        </w:rPr>
        <w:t>[</w:t>
      </w:r>
      <w:r>
        <w:rPr>
          <w:rFonts w:ascii="Arial" w:hAnsi="Arial" w:cs="Arial"/>
          <w:color w:val="212121"/>
          <w:sz w:val="22"/>
          <w:szCs w:val="22"/>
          <w:shd w:val="clear" w:color="auto" w:fill="FFFFFF"/>
        </w:rPr>
        <w:t>2</w:t>
      </w:r>
      <w:r w:rsidRPr="002549CD">
        <w:rPr>
          <w:rFonts w:ascii="Arial" w:hAnsi="Arial" w:cs="Arial"/>
          <w:color w:val="212121"/>
          <w:sz w:val="22"/>
          <w:szCs w:val="22"/>
          <w:shd w:val="clear" w:color="auto" w:fill="FFFFFF"/>
        </w:rPr>
        <w:t xml:space="preserve">] </w:t>
      </w:r>
      <w:proofErr w:type="spellStart"/>
      <w:r w:rsidRPr="002549CD">
        <w:rPr>
          <w:rFonts w:ascii="Arial" w:hAnsi="Arial" w:cs="Arial"/>
          <w:color w:val="212121"/>
          <w:sz w:val="22"/>
          <w:szCs w:val="22"/>
          <w:shd w:val="clear" w:color="auto" w:fill="FFFFFF"/>
        </w:rPr>
        <w:t>Garrè</w:t>
      </w:r>
      <w:proofErr w:type="spellEnd"/>
      <w:r w:rsidRPr="002549CD">
        <w:rPr>
          <w:rFonts w:ascii="Arial" w:hAnsi="Arial" w:cs="Arial"/>
          <w:color w:val="212121"/>
          <w:sz w:val="22"/>
          <w:szCs w:val="22"/>
          <w:shd w:val="clear" w:color="auto" w:fill="FFFFFF"/>
        </w:rPr>
        <w:t>, M. L., &amp; Cama, A. (2007). Craniopharyngioma: modern concepts in pathogenesis and treatment. </w:t>
      </w:r>
      <w:r w:rsidRPr="002549CD">
        <w:rPr>
          <w:rFonts w:ascii="Arial" w:hAnsi="Arial" w:cs="Arial"/>
          <w:i/>
          <w:iCs/>
          <w:color w:val="212121"/>
          <w:sz w:val="22"/>
          <w:szCs w:val="22"/>
          <w:shd w:val="clear" w:color="auto" w:fill="FFFFFF"/>
        </w:rPr>
        <w:t>Current opinion in pediatrics</w:t>
      </w:r>
      <w:r w:rsidRPr="002549CD">
        <w:rPr>
          <w:rFonts w:ascii="Arial" w:hAnsi="Arial" w:cs="Arial"/>
          <w:color w:val="212121"/>
          <w:sz w:val="22"/>
          <w:szCs w:val="22"/>
          <w:shd w:val="clear" w:color="auto" w:fill="FFFFFF"/>
        </w:rPr>
        <w:t>, </w:t>
      </w:r>
      <w:r w:rsidRPr="002549CD">
        <w:rPr>
          <w:rFonts w:ascii="Arial" w:hAnsi="Arial" w:cs="Arial"/>
          <w:i/>
          <w:iCs/>
          <w:color w:val="212121"/>
          <w:sz w:val="22"/>
          <w:szCs w:val="22"/>
          <w:shd w:val="clear" w:color="auto" w:fill="FFFFFF"/>
        </w:rPr>
        <w:t>19</w:t>
      </w:r>
      <w:r w:rsidRPr="002549CD">
        <w:rPr>
          <w:rFonts w:ascii="Arial" w:hAnsi="Arial" w:cs="Arial"/>
          <w:color w:val="212121"/>
          <w:sz w:val="22"/>
          <w:szCs w:val="22"/>
          <w:shd w:val="clear" w:color="auto" w:fill="FFFFFF"/>
        </w:rPr>
        <w:t xml:space="preserve">(4), 471–479. </w:t>
      </w:r>
      <w:hyperlink r:id="rId6" w:history="1">
        <w:r w:rsidRPr="002549CD">
          <w:rPr>
            <w:rStyle w:val="Hyperlink"/>
            <w:rFonts w:ascii="Arial" w:hAnsi="Arial" w:cs="Arial"/>
            <w:sz w:val="22"/>
            <w:szCs w:val="22"/>
            <w:shd w:val="clear" w:color="auto" w:fill="FFFFFF"/>
          </w:rPr>
          <w:t>https://doi.org/10.1097/MOP.0b013e3282495a22</w:t>
        </w:r>
      </w:hyperlink>
      <w:r>
        <w:rPr>
          <w:rFonts w:ascii="Arial" w:hAnsi="Arial" w:cs="Arial"/>
          <w:color w:val="1B1B1B"/>
          <w:sz w:val="22"/>
          <w:szCs w:val="22"/>
          <w:shd w:val="clear" w:color="auto" w:fill="FFFFFF"/>
        </w:rPr>
        <w:t xml:space="preserve"> </w:t>
      </w:r>
    </w:p>
    <w:p w14:paraId="56089A53" w14:textId="25A98579" w:rsidR="007D07FB" w:rsidRPr="007D07FB" w:rsidRDefault="007D07FB" w:rsidP="007D07FB">
      <w:pPr>
        <w:rPr>
          <w:rFonts w:ascii="Arial" w:hAnsi="Arial" w:cs="Arial"/>
          <w:color w:val="1B1B1B"/>
          <w:sz w:val="22"/>
          <w:szCs w:val="22"/>
          <w:shd w:val="clear" w:color="auto" w:fill="FFFFFF"/>
        </w:rPr>
      </w:pPr>
      <w:r>
        <w:rPr>
          <w:rFonts w:ascii="Arial" w:hAnsi="Arial" w:cs="Arial"/>
          <w:color w:val="1B1B1B"/>
          <w:sz w:val="22"/>
          <w:szCs w:val="22"/>
          <w:shd w:val="clear" w:color="auto" w:fill="FFFFFF"/>
        </w:rPr>
        <w:t>[</w:t>
      </w:r>
      <w:r>
        <w:rPr>
          <w:rFonts w:ascii="Arial" w:hAnsi="Arial" w:cs="Arial"/>
          <w:color w:val="1B1B1B"/>
          <w:sz w:val="22"/>
          <w:szCs w:val="22"/>
          <w:shd w:val="clear" w:color="auto" w:fill="FFFFFF"/>
        </w:rPr>
        <w:t>3</w:t>
      </w:r>
      <w:r>
        <w:rPr>
          <w:rFonts w:ascii="Arial" w:hAnsi="Arial" w:cs="Arial"/>
          <w:color w:val="1B1B1B"/>
          <w:sz w:val="22"/>
          <w:szCs w:val="22"/>
          <w:shd w:val="clear" w:color="auto" w:fill="FFFFFF"/>
        </w:rPr>
        <w:t xml:space="preserve">] </w:t>
      </w:r>
      <w:proofErr w:type="spellStart"/>
      <w:r w:rsidRPr="007D07FB">
        <w:rPr>
          <w:rFonts w:ascii="Arial" w:hAnsi="Arial" w:cs="Arial"/>
          <w:color w:val="1B1B1B"/>
          <w:sz w:val="22"/>
          <w:szCs w:val="22"/>
          <w:shd w:val="clear" w:color="auto" w:fill="FFFFFF"/>
        </w:rPr>
        <w:t>Daubenbüchel</w:t>
      </w:r>
      <w:proofErr w:type="spellEnd"/>
      <w:r w:rsidRPr="007D07FB">
        <w:rPr>
          <w:rFonts w:ascii="Arial" w:hAnsi="Arial" w:cs="Arial"/>
          <w:color w:val="1B1B1B"/>
          <w:sz w:val="22"/>
          <w:szCs w:val="22"/>
          <w:shd w:val="clear" w:color="auto" w:fill="FFFFFF"/>
        </w:rPr>
        <w:t>, A. M., &amp; Müller, H. L. (2015). Neuroendocrine Disorders in Pediatric Craniopharyngioma Patients. </w:t>
      </w:r>
      <w:r w:rsidRPr="007D07FB">
        <w:rPr>
          <w:rFonts w:ascii="Arial" w:hAnsi="Arial" w:cs="Arial"/>
          <w:i/>
          <w:iCs/>
          <w:color w:val="1B1B1B"/>
          <w:sz w:val="22"/>
          <w:szCs w:val="22"/>
          <w:shd w:val="clear" w:color="auto" w:fill="FFFFFF"/>
        </w:rPr>
        <w:t>Journal of clinical medicine</w:t>
      </w:r>
      <w:r w:rsidRPr="007D07FB">
        <w:rPr>
          <w:rFonts w:ascii="Arial" w:hAnsi="Arial" w:cs="Arial"/>
          <w:color w:val="1B1B1B"/>
          <w:sz w:val="22"/>
          <w:szCs w:val="22"/>
          <w:shd w:val="clear" w:color="auto" w:fill="FFFFFF"/>
        </w:rPr>
        <w:t>, </w:t>
      </w:r>
      <w:r w:rsidRPr="007D07FB">
        <w:rPr>
          <w:rFonts w:ascii="Arial" w:hAnsi="Arial" w:cs="Arial"/>
          <w:i/>
          <w:iCs/>
          <w:color w:val="1B1B1B"/>
          <w:sz w:val="22"/>
          <w:szCs w:val="22"/>
          <w:shd w:val="clear" w:color="auto" w:fill="FFFFFF"/>
        </w:rPr>
        <w:t>4</w:t>
      </w:r>
      <w:r w:rsidRPr="007D07FB">
        <w:rPr>
          <w:rFonts w:ascii="Arial" w:hAnsi="Arial" w:cs="Arial"/>
          <w:color w:val="1B1B1B"/>
          <w:sz w:val="22"/>
          <w:szCs w:val="22"/>
          <w:shd w:val="clear" w:color="auto" w:fill="FFFFFF"/>
        </w:rPr>
        <w:t xml:space="preserve">(3), 389–413. </w:t>
      </w:r>
      <w:hyperlink r:id="rId7" w:history="1">
        <w:r w:rsidRPr="007D07FB">
          <w:rPr>
            <w:rStyle w:val="Hyperlink"/>
            <w:rFonts w:ascii="Arial" w:hAnsi="Arial" w:cs="Arial"/>
            <w:sz w:val="22"/>
            <w:szCs w:val="22"/>
            <w:shd w:val="clear" w:color="auto" w:fill="FFFFFF"/>
          </w:rPr>
          <w:t>https://doi.org/10.3390/jcm4030389</w:t>
        </w:r>
      </w:hyperlink>
    </w:p>
    <w:p w14:paraId="75289E89" w14:textId="77777777" w:rsidR="007D07FB" w:rsidRPr="002549CD" w:rsidRDefault="007D07FB" w:rsidP="007D07FB">
      <w:pPr>
        <w:rPr>
          <w:rFonts w:ascii="Arial" w:hAnsi="Arial" w:cs="Arial"/>
          <w:color w:val="212121"/>
          <w:sz w:val="22"/>
          <w:szCs w:val="22"/>
          <w:shd w:val="clear" w:color="auto" w:fill="FFFFFF"/>
        </w:rPr>
      </w:pPr>
      <w:r w:rsidRPr="002549CD">
        <w:rPr>
          <w:rFonts w:ascii="Arial" w:hAnsi="Arial" w:cs="Arial"/>
          <w:color w:val="212121"/>
          <w:sz w:val="22"/>
          <w:szCs w:val="22"/>
          <w:shd w:val="clear" w:color="auto" w:fill="FFFFFF"/>
        </w:rPr>
        <w:t>[4] Kawamata, T., Kubo, O., &amp; Hori, T. (2005). Histological findings at the boundary of craniopharyngiomas. </w:t>
      </w:r>
      <w:r w:rsidRPr="002549CD">
        <w:rPr>
          <w:rFonts w:ascii="Arial" w:hAnsi="Arial" w:cs="Arial"/>
          <w:i/>
          <w:iCs/>
          <w:color w:val="212121"/>
          <w:sz w:val="22"/>
          <w:szCs w:val="22"/>
          <w:shd w:val="clear" w:color="auto" w:fill="FFFFFF"/>
        </w:rPr>
        <w:t>Brain tumor pathology</w:t>
      </w:r>
      <w:r w:rsidRPr="002549CD">
        <w:rPr>
          <w:rFonts w:ascii="Arial" w:hAnsi="Arial" w:cs="Arial"/>
          <w:color w:val="212121"/>
          <w:sz w:val="22"/>
          <w:szCs w:val="22"/>
          <w:shd w:val="clear" w:color="auto" w:fill="FFFFFF"/>
        </w:rPr>
        <w:t>, </w:t>
      </w:r>
      <w:r w:rsidRPr="002549CD">
        <w:rPr>
          <w:rFonts w:ascii="Arial" w:hAnsi="Arial" w:cs="Arial"/>
          <w:i/>
          <w:iCs/>
          <w:color w:val="212121"/>
          <w:sz w:val="22"/>
          <w:szCs w:val="22"/>
          <w:shd w:val="clear" w:color="auto" w:fill="FFFFFF"/>
        </w:rPr>
        <w:t>22</w:t>
      </w:r>
      <w:r w:rsidRPr="002549CD">
        <w:rPr>
          <w:rFonts w:ascii="Arial" w:hAnsi="Arial" w:cs="Arial"/>
          <w:color w:val="212121"/>
          <w:sz w:val="22"/>
          <w:szCs w:val="22"/>
          <w:shd w:val="clear" w:color="auto" w:fill="FFFFFF"/>
        </w:rPr>
        <w:t xml:space="preserve">(2), 75–78. </w:t>
      </w:r>
      <w:hyperlink r:id="rId8" w:history="1">
        <w:r w:rsidRPr="002549CD">
          <w:rPr>
            <w:rStyle w:val="Hyperlink"/>
            <w:rFonts w:ascii="Arial" w:hAnsi="Arial" w:cs="Arial"/>
            <w:sz w:val="22"/>
            <w:szCs w:val="22"/>
            <w:shd w:val="clear" w:color="auto" w:fill="FFFFFF"/>
          </w:rPr>
          <w:t>https://doi.org/10.1007/s10014-005-0191-4</w:t>
        </w:r>
      </w:hyperlink>
    </w:p>
    <w:p w14:paraId="362C5A42" w14:textId="3B9CFB91" w:rsidR="00C102DF" w:rsidRPr="00C102DF" w:rsidRDefault="0041537F" w:rsidP="00C102DF">
      <w:pPr>
        <w:rPr>
          <w:rFonts w:ascii="Arial" w:hAnsi="Arial" w:cs="Arial"/>
          <w:color w:val="1B1B1B"/>
          <w:sz w:val="22"/>
          <w:szCs w:val="22"/>
          <w:shd w:val="clear" w:color="auto" w:fill="FFFFFF"/>
        </w:rPr>
      </w:pPr>
      <w:r>
        <w:rPr>
          <w:rFonts w:ascii="Arial" w:hAnsi="Arial" w:cs="Arial"/>
          <w:color w:val="1B1B1B"/>
          <w:sz w:val="22"/>
          <w:szCs w:val="22"/>
          <w:shd w:val="clear" w:color="auto" w:fill="FFFFFF"/>
        </w:rPr>
        <w:t xml:space="preserve">[5] </w:t>
      </w:r>
      <w:r w:rsidR="007D07FB" w:rsidRPr="007D07FB">
        <w:rPr>
          <w:rFonts w:ascii="Arial" w:hAnsi="Arial" w:cs="Arial"/>
          <w:color w:val="1B1B1B"/>
          <w:sz w:val="22"/>
          <w:szCs w:val="22"/>
          <w:shd w:val="clear" w:color="auto" w:fill="FFFFFF"/>
        </w:rPr>
        <w:t>Müller H. L. (2011). Diagnostics, treatment, and follow-up in craniopharyngioma. </w:t>
      </w:r>
      <w:r w:rsidR="007D07FB" w:rsidRPr="007D07FB">
        <w:rPr>
          <w:rFonts w:ascii="Arial" w:hAnsi="Arial" w:cs="Arial"/>
          <w:i/>
          <w:iCs/>
          <w:color w:val="1B1B1B"/>
          <w:sz w:val="22"/>
          <w:szCs w:val="22"/>
          <w:shd w:val="clear" w:color="auto" w:fill="FFFFFF"/>
        </w:rPr>
        <w:t>Frontiers in endocrinology</w:t>
      </w:r>
      <w:r w:rsidR="007D07FB" w:rsidRPr="007D07FB">
        <w:rPr>
          <w:rFonts w:ascii="Arial" w:hAnsi="Arial" w:cs="Arial"/>
          <w:color w:val="1B1B1B"/>
          <w:sz w:val="22"/>
          <w:szCs w:val="22"/>
          <w:shd w:val="clear" w:color="auto" w:fill="FFFFFF"/>
        </w:rPr>
        <w:t>, </w:t>
      </w:r>
      <w:r w:rsidR="007D07FB" w:rsidRPr="007D07FB">
        <w:rPr>
          <w:rFonts w:ascii="Arial" w:hAnsi="Arial" w:cs="Arial"/>
          <w:i/>
          <w:iCs/>
          <w:color w:val="1B1B1B"/>
          <w:sz w:val="22"/>
          <w:szCs w:val="22"/>
          <w:shd w:val="clear" w:color="auto" w:fill="FFFFFF"/>
        </w:rPr>
        <w:t>2</w:t>
      </w:r>
      <w:r w:rsidR="007D07FB" w:rsidRPr="007D07FB">
        <w:rPr>
          <w:rFonts w:ascii="Arial" w:hAnsi="Arial" w:cs="Arial"/>
          <w:color w:val="1B1B1B"/>
          <w:sz w:val="22"/>
          <w:szCs w:val="22"/>
          <w:shd w:val="clear" w:color="auto" w:fill="FFFFFF"/>
        </w:rPr>
        <w:t xml:space="preserve">, 70. </w:t>
      </w:r>
      <w:hyperlink r:id="rId9" w:history="1">
        <w:r w:rsidR="007D07FB" w:rsidRPr="007D07FB">
          <w:rPr>
            <w:rStyle w:val="Hyperlink"/>
            <w:rFonts w:ascii="Arial" w:hAnsi="Arial" w:cs="Arial"/>
            <w:sz w:val="22"/>
            <w:szCs w:val="22"/>
            <w:shd w:val="clear" w:color="auto" w:fill="FFFFFF"/>
          </w:rPr>
          <w:t>https://doi.org/10.3389/fendo.2011.00070</w:t>
        </w:r>
      </w:hyperlink>
    </w:p>
    <w:p w14:paraId="60947D6F" w14:textId="53BAD751" w:rsidR="00C102DF" w:rsidRPr="00C102DF" w:rsidRDefault="00C102DF">
      <w:pPr>
        <w:rPr>
          <w:rFonts w:ascii="Arial" w:hAnsi="Arial" w:cs="Arial"/>
          <w:color w:val="1B1B1B"/>
          <w:sz w:val="22"/>
          <w:szCs w:val="22"/>
          <w:shd w:val="clear" w:color="auto" w:fill="FFFFFF"/>
        </w:rPr>
      </w:pPr>
      <w:r w:rsidRPr="002549CD">
        <w:rPr>
          <w:rFonts w:ascii="Arial" w:hAnsi="Arial" w:cs="Arial"/>
          <w:color w:val="212121"/>
          <w:sz w:val="22"/>
          <w:szCs w:val="22"/>
          <w:shd w:val="clear" w:color="auto" w:fill="FFFFFF"/>
        </w:rPr>
        <w:t>[</w:t>
      </w:r>
      <w:r>
        <w:rPr>
          <w:rFonts w:ascii="Arial" w:hAnsi="Arial" w:cs="Arial"/>
          <w:color w:val="212121"/>
          <w:sz w:val="22"/>
          <w:szCs w:val="22"/>
          <w:shd w:val="clear" w:color="auto" w:fill="FFFFFF"/>
        </w:rPr>
        <w:t>6</w:t>
      </w:r>
      <w:r w:rsidRPr="002549CD">
        <w:rPr>
          <w:rFonts w:ascii="Arial" w:hAnsi="Arial" w:cs="Arial"/>
          <w:color w:val="212121"/>
          <w:sz w:val="22"/>
          <w:szCs w:val="22"/>
          <w:shd w:val="clear" w:color="auto" w:fill="FFFFFF"/>
        </w:rPr>
        <w:t>]</w:t>
      </w:r>
      <w:r w:rsidRPr="002549CD">
        <w:rPr>
          <w:rFonts w:ascii="Arial" w:hAnsi="Arial" w:cs="Arial"/>
          <w:color w:val="1B1B1B"/>
          <w:sz w:val="22"/>
          <w:szCs w:val="22"/>
          <w:shd w:val="clear" w:color="auto" w:fill="FFFFFF"/>
        </w:rPr>
        <w:t xml:space="preserve"> </w:t>
      </w:r>
      <w:proofErr w:type="spellStart"/>
      <w:r w:rsidRPr="002549CD">
        <w:rPr>
          <w:rFonts w:ascii="Arial" w:hAnsi="Arial" w:cs="Arial"/>
          <w:color w:val="1B1B1B"/>
          <w:sz w:val="22"/>
          <w:szCs w:val="22"/>
          <w:shd w:val="clear" w:color="auto" w:fill="FFFFFF"/>
        </w:rPr>
        <w:t>Lubuulwa</w:t>
      </w:r>
      <w:proofErr w:type="spellEnd"/>
      <w:r w:rsidRPr="002549CD">
        <w:rPr>
          <w:rFonts w:ascii="Arial" w:hAnsi="Arial" w:cs="Arial"/>
          <w:color w:val="1B1B1B"/>
          <w:sz w:val="22"/>
          <w:szCs w:val="22"/>
          <w:shd w:val="clear" w:color="auto" w:fill="FFFFFF"/>
        </w:rPr>
        <w:t xml:space="preserve">, J., &amp; Lei, T. (2016). Pathological and Topographical Classification of </w:t>
      </w:r>
      <w:r>
        <w:rPr>
          <w:rFonts w:ascii="Arial" w:hAnsi="Arial" w:cs="Arial"/>
          <w:color w:val="1B1B1B"/>
          <w:sz w:val="22"/>
          <w:szCs w:val="22"/>
          <w:shd w:val="clear" w:color="auto" w:fill="FFFFFF"/>
        </w:rPr>
        <w:t>6</w:t>
      </w:r>
      <w:r w:rsidRPr="002549CD">
        <w:rPr>
          <w:rFonts w:ascii="Arial" w:hAnsi="Arial" w:cs="Arial"/>
          <w:color w:val="1B1B1B"/>
          <w:sz w:val="22"/>
          <w:szCs w:val="22"/>
          <w:shd w:val="clear" w:color="auto" w:fill="FFFFFF"/>
        </w:rPr>
        <w:t>Craniopharyngiomas: A Literature Review. </w:t>
      </w:r>
      <w:r w:rsidRPr="002549CD">
        <w:rPr>
          <w:rFonts w:ascii="Arial" w:hAnsi="Arial" w:cs="Arial"/>
          <w:i/>
          <w:iCs/>
          <w:color w:val="1B1B1B"/>
          <w:sz w:val="22"/>
          <w:szCs w:val="22"/>
          <w:shd w:val="clear" w:color="auto" w:fill="FFFFFF"/>
        </w:rPr>
        <w:t>Journal of neurological surgery reports</w:t>
      </w:r>
      <w:r w:rsidRPr="002549CD">
        <w:rPr>
          <w:rFonts w:ascii="Arial" w:hAnsi="Arial" w:cs="Arial"/>
          <w:color w:val="1B1B1B"/>
          <w:sz w:val="22"/>
          <w:szCs w:val="22"/>
          <w:shd w:val="clear" w:color="auto" w:fill="FFFFFF"/>
        </w:rPr>
        <w:t>, </w:t>
      </w:r>
      <w:r w:rsidRPr="002549CD">
        <w:rPr>
          <w:rFonts w:ascii="Arial" w:hAnsi="Arial" w:cs="Arial"/>
          <w:i/>
          <w:iCs/>
          <w:color w:val="1B1B1B"/>
          <w:sz w:val="22"/>
          <w:szCs w:val="22"/>
          <w:shd w:val="clear" w:color="auto" w:fill="FFFFFF"/>
        </w:rPr>
        <w:t>77</w:t>
      </w:r>
      <w:r w:rsidRPr="002549CD">
        <w:rPr>
          <w:rFonts w:ascii="Arial" w:hAnsi="Arial" w:cs="Arial"/>
          <w:color w:val="1B1B1B"/>
          <w:sz w:val="22"/>
          <w:szCs w:val="22"/>
          <w:shd w:val="clear" w:color="auto" w:fill="FFFFFF"/>
        </w:rPr>
        <w:t xml:space="preserve">(3), e121–e127. </w:t>
      </w:r>
      <w:hyperlink r:id="rId10" w:history="1">
        <w:r w:rsidRPr="002549CD">
          <w:rPr>
            <w:rStyle w:val="Hyperlink"/>
            <w:rFonts w:ascii="Arial" w:hAnsi="Arial" w:cs="Arial"/>
            <w:sz w:val="22"/>
            <w:szCs w:val="22"/>
            <w:shd w:val="clear" w:color="auto" w:fill="FFFFFF"/>
          </w:rPr>
          <w:t>https://doi.org/10.1055/s-0036-1588060</w:t>
        </w:r>
      </w:hyperlink>
    </w:p>
    <w:p w14:paraId="53169214" w14:textId="4065F788" w:rsidR="00805D62" w:rsidRDefault="00805D62">
      <w:r w:rsidRPr="002549CD">
        <w:rPr>
          <w:rFonts w:ascii="Arial" w:hAnsi="Arial" w:cs="Arial"/>
          <w:sz w:val="22"/>
          <w:szCs w:val="22"/>
        </w:rPr>
        <w:t>[</w:t>
      </w:r>
      <w:r w:rsidR="00C102DF">
        <w:rPr>
          <w:rFonts w:ascii="Arial" w:hAnsi="Arial" w:cs="Arial"/>
          <w:sz w:val="22"/>
          <w:szCs w:val="22"/>
        </w:rPr>
        <w:t>7</w:t>
      </w:r>
      <w:r w:rsidRPr="002549CD">
        <w:rPr>
          <w:rFonts w:ascii="Arial" w:hAnsi="Arial" w:cs="Arial"/>
          <w:sz w:val="22"/>
          <w:szCs w:val="22"/>
        </w:rPr>
        <w:t xml:space="preserve">] </w:t>
      </w:r>
      <w:r w:rsidRPr="002549CD">
        <w:rPr>
          <w:rFonts w:ascii="Arial" w:hAnsi="Arial" w:cs="Arial"/>
          <w:color w:val="212121"/>
          <w:sz w:val="22"/>
          <w:szCs w:val="22"/>
          <w:shd w:val="clear" w:color="auto" w:fill="FFFFFF"/>
        </w:rPr>
        <w:t xml:space="preserve">Bunin, G. R., </w:t>
      </w:r>
      <w:proofErr w:type="spellStart"/>
      <w:r w:rsidRPr="002549CD">
        <w:rPr>
          <w:rFonts w:ascii="Arial" w:hAnsi="Arial" w:cs="Arial"/>
          <w:color w:val="212121"/>
          <w:sz w:val="22"/>
          <w:szCs w:val="22"/>
          <w:shd w:val="clear" w:color="auto" w:fill="FFFFFF"/>
        </w:rPr>
        <w:t>Surawicz</w:t>
      </w:r>
      <w:proofErr w:type="spellEnd"/>
      <w:r w:rsidRPr="002549CD">
        <w:rPr>
          <w:rFonts w:ascii="Arial" w:hAnsi="Arial" w:cs="Arial"/>
          <w:color w:val="212121"/>
          <w:sz w:val="22"/>
          <w:szCs w:val="22"/>
          <w:shd w:val="clear" w:color="auto" w:fill="FFFFFF"/>
        </w:rPr>
        <w:t>, T. S., Witman, P. A., Preston-Martin, S., Davis, F., &amp; Bruner, J. M. (1998). The descriptive epidemiology of craniopharyngioma. </w:t>
      </w:r>
      <w:r w:rsidRPr="002549CD">
        <w:rPr>
          <w:rFonts w:ascii="Arial" w:hAnsi="Arial" w:cs="Arial"/>
          <w:i/>
          <w:iCs/>
          <w:color w:val="212121"/>
          <w:sz w:val="22"/>
          <w:szCs w:val="22"/>
          <w:shd w:val="clear" w:color="auto" w:fill="FFFFFF"/>
        </w:rPr>
        <w:t>Journal of neurosurgery</w:t>
      </w:r>
      <w:r w:rsidRPr="002549CD">
        <w:rPr>
          <w:rFonts w:ascii="Arial" w:hAnsi="Arial" w:cs="Arial"/>
          <w:color w:val="212121"/>
          <w:sz w:val="22"/>
          <w:szCs w:val="22"/>
          <w:shd w:val="clear" w:color="auto" w:fill="FFFFFF"/>
        </w:rPr>
        <w:t>, </w:t>
      </w:r>
      <w:r w:rsidRPr="002549CD">
        <w:rPr>
          <w:rFonts w:ascii="Arial" w:hAnsi="Arial" w:cs="Arial"/>
          <w:i/>
          <w:iCs/>
          <w:color w:val="212121"/>
          <w:sz w:val="22"/>
          <w:szCs w:val="22"/>
          <w:shd w:val="clear" w:color="auto" w:fill="FFFFFF"/>
        </w:rPr>
        <w:t>89</w:t>
      </w:r>
      <w:r w:rsidRPr="002549CD">
        <w:rPr>
          <w:rFonts w:ascii="Arial" w:hAnsi="Arial" w:cs="Arial"/>
          <w:color w:val="212121"/>
          <w:sz w:val="22"/>
          <w:szCs w:val="22"/>
          <w:shd w:val="clear" w:color="auto" w:fill="FFFFFF"/>
        </w:rPr>
        <w:t xml:space="preserve">(4), 547–551. </w:t>
      </w:r>
      <w:hyperlink r:id="rId11" w:history="1">
        <w:r w:rsidR="00914638" w:rsidRPr="002549CD">
          <w:rPr>
            <w:rStyle w:val="Hyperlink"/>
            <w:rFonts w:ascii="Arial" w:hAnsi="Arial" w:cs="Arial"/>
            <w:sz w:val="22"/>
            <w:szCs w:val="22"/>
            <w:shd w:val="clear" w:color="auto" w:fill="FFFFFF"/>
          </w:rPr>
          <w:t>https://doi.org/10.3171/jns.1998.89.4.0547</w:t>
        </w:r>
      </w:hyperlink>
    </w:p>
    <w:p w14:paraId="5C6CF8ED" w14:textId="1D6D1BE7" w:rsidR="002549CD" w:rsidRDefault="002549CD">
      <w:pPr>
        <w:rPr>
          <w:rFonts w:ascii="Arial" w:hAnsi="Arial" w:cs="Arial"/>
          <w:color w:val="212121"/>
          <w:sz w:val="22"/>
          <w:szCs w:val="22"/>
          <w:shd w:val="clear" w:color="auto" w:fill="FFFFFF"/>
        </w:rPr>
      </w:pPr>
      <w:r w:rsidRPr="002549CD">
        <w:rPr>
          <w:rFonts w:ascii="Arial" w:hAnsi="Arial" w:cs="Arial"/>
          <w:color w:val="1B1B1B"/>
          <w:sz w:val="22"/>
          <w:szCs w:val="22"/>
          <w:shd w:val="clear" w:color="auto" w:fill="FFFFFF"/>
        </w:rPr>
        <w:t>[</w:t>
      </w:r>
      <w:r w:rsidR="00C102DF">
        <w:rPr>
          <w:rFonts w:ascii="Arial" w:hAnsi="Arial" w:cs="Arial"/>
          <w:color w:val="1B1B1B"/>
          <w:sz w:val="22"/>
          <w:szCs w:val="22"/>
          <w:shd w:val="clear" w:color="auto" w:fill="FFFFFF"/>
        </w:rPr>
        <w:t>8</w:t>
      </w:r>
      <w:r w:rsidRPr="002549CD">
        <w:rPr>
          <w:rFonts w:ascii="Arial" w:hAnsi="Arial" w:cs="Arial"/>
          <w:color w:val="1B1B1B"/>
          <w:sz w:val="22"/>
          <w:szCs w:val="22"/>
          <w:shd w:val="clear" w:color="auto" w:fill="FFFFFF"/>
        </w:rPr>
        <w:t xml:space="preserve">] </w:t>
      </w:r>
      <w:r w:rsidRPr="002549CD">
        <w:rPr>
          <w:rFonts w:ascii="Arial" w:hAnsi="Arial" w:cs="Arial"/>
          <w:color w:val="212121"/>
          <w:sz w:val="22"/>
          <w:szCs w:val="22"/>
          <w:shd w:val="clear" w:color="auto" w:fill="FFFFFF"/>
        </w:rPr>
        <w:t>Pan, J., Qi, S., Liu, Y., Lu, Y., Peng, J., Zhang, X., Xu, Y., Huang, G. L., &amp; Fan, J. (2016). Growth patterns of craniopharyngiomas: clinical analysis of 226 patients. </w:t>
      </w:r>
      <w:r w:rsidRPr="002549CD">
        <w:rPr>
          <w:rFonts w:ascii="Arial" w:hAnsi="Arial" w:cs="Arial"/>
          <w:i/>
          <w:iCs/>
          <w:color w:val="212121"/>
          <w:sz w:val="22"/>
          <w:szCs w:val="22"/>
          <w:shd w:val="clear" w:color="auto" w:fill="FFFFFF"/>
        </w:rPr>
        <w:t>Journal of neurosurgery. Pediatrics</w:t>
      </w:r>
      <w:r w:rsidRPr="002549CD">
        <w:rPr>
          <w:rFonts w:ascii="Arial" w:hAnsi="Arial" w:cs="Arial"/>
          <w:color w:val="212121"/>
          <w:sz w:val="22"/>
          <w:szCs w:val="22"/>
          <w:shd w:val="clear" w:color="auto" w:fill="FFFFFF"/>
        </w:rPr>
        <w:t>, </w:t>
      </w:r>
      <w:r w:rsidRPr="002549CD">
        <w:rPr>
          <w:rFonts w:ascii="Arial" w:hAnsi="Arial" w:cs="Arial"/>
          <w:i/>
          <w:iCs/>
          <w:color w:val="212121"/>
          <w:sz w:val="22"/>
          <w:szCs w:val="22"/>
          <w:shd w:val="clear" w:color="auto" w:fill="FFFFFF"/>
        </w:rPr>
        <w:t>17</w:t>
      </w:r>
      <w:r w:rsidRPr="002549CD">
        <w:rPr>
          <w:rFonts w:ascii="Arial" w:hAnsi="Arial" w:cs="Arial"/>
          <w:color w:val="212121"/>
          <w:sz w:val="22"/>
          <w:szCs w:val="22"/>
          <w:shd w:val="clear" w:color="auto" w:fill="FFFFFF"/>
        </w:rPr>
        <w:t xml:space="preserve">(4), 418–433. </w:t>
      </w:r>
      <w:hyperlink r:id="rId12" w:history="1">
        <w:r w:rsidR="005C4B53" w:rsidRPr="003613DB">
          <w:rPr>
            <w:rStyle w:val="Hyperlink"/>
            <w:rFonts w:ascii="Arial" w:hAnsi="Arial" w:cs="Arial"/>
            <w:sz w:val="22"/>
            <w:szCs w:val="22"/>
            <w:shd w:val="clear" w:color="auto" w:fill="FFFFFF"/>
          </w:rPr>
          <w:t>https://doi.org/10.3171/2</w:t>
        </w:r>
        <w:r w:rsidR="005C4B53" w:rsidRPr="003613DB">
          <w:rPr>
            <w:rStyle w:val="Hyperlink"/>
            <w:rFonts w:ascii="Arial" w:hAnsi="Arial" w:cs="Arial"/>
            <w:sz w:val="22"/>
            <w:szCs w:val="22"/>
            <w:shd w:val="clear" w:color="auto" w:fill="FFFFFF"/>
          </w:rPr>
          <w:t>0</w:t>
        </w:r>
        <w:r w:rsidR="005C4B53" w:rsidRPr="003613DB">
          <w:rPr>
            <w:rStyle w:val="Hyperlink"/>
            <w:rFonts w:ascii="Arial" w:hAnsi="Arial" w:cs="Arial"/>
            <w:sz w:val="22"/>
            <w:szCs w:val="22"/>
            <w:shd w:val="clear" w:color="auto" w:fill="FFFFFF"/>
          </w:rPr>
          <w:t>15.7.PEDS14449</w:t>
        </w:r>
      </w:hyperlink>
    </w:p>
    <w:p w14:paraId="4111E809" w14:textId="77777777" w:rsidR="005C4B53" w:rsidRDefault="005C4B53"/>
    <w:sectPr w:rsidR="005C4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E13A9"/>
    <w:multiLevelType w:val="hybridMultilevel"/>
    <w:tmpl w:val="DCD6C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8060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76"/>
    <w:rsid w:val="00076807"/>
    <w:rsid w:val="00110555"/>
    <w:rsid w:val="0012006F"/>
    <w:rsid w:val="0020257A"/>
    <w:rsid w:val="00203AE9"/>
    <w:rsid w:val="002157C2"/>
    <w:rsid w:val="002549CD"/>
    <w:rsid w:val="002A1D7B"/>
    <w:rsid w:val="002A796D"/>
    <w:rsid w:val="00346718"/>
    <w:rsid w:val="0041537F"/>
    <w:rsid w:val="00454D73"/>
    <w:rsid w:val="004707C9"/>
    <w:rsid w:val="0049621A"/>
    <w:rsid w:val="004A7645"/>
    <w:rsid w:val="00502002"/>
    <w:rsid w:val="00533F88"/>
    <w:rsid w:val="005B1BE9"/>
    <w:rsid w:val="005C4B53"/>
    <w:rsid w:val="005D6FA5"/>
    <w:rsid w:val="005F1FEE"/>
    <w:rsid w:val="006309FB"/>
    <w:rsid w:val="006324FF"/>
    <w:rsid w:val="006408FF"/>
    <w:rsid w:val="006C6B46"/>
    <w:rsid w:val="00711F6B"/>
    <w:rsid w:val="007435F7"/>
    <w:rsid w:val="00765E5F"/>
    <w:rsid w:val="00770F8C"/>
    <w:rsid w:val="0077774F"/>
    <w:rsid w:val="00791BF1"/>
    <w:rsid w:val="007A0B8C"/>
    <w:rsid w:val="007C3014"/>
    <w:rsid w:val="007C4F8D"/>
    <w:rsid w:val="007D07FB"/>
    <w:rsid w:val="00805D62"/>
    <w:rsid w:val="00820AF8"/>
    <w:rsid w:val="008A4F76"/>
    <w:rsid w:val="00914538"/>
    <w:rsid w:val="00914638"/>
    <w:rsid w:val="00943B26"/>
    <w:rsid w:val="00977ED0"/>
    <w:rsid w:val="009E252D"/>
    <w:rsid w:val="009F544B"/>
    <w:rsid w:val="00A222D2"/>
    <w:rsid w:val="00A37C86"/>
    <w:rsid w:val="00A94124"/>
    <w:rsid w:val="00AF3367"/>
    <w:rsid w:val="00B3599F"/>
    <w:rsid w:val="00B37C2E"/>
    <w:rsid w:val="00BC5FEF"/>
    <w:rsid w:val="00C055BC"/>
    <w:rsid w:val="00C102DF"/>
    <w:rsid w:val="00CC6435"/>
    <w:rsid w:val="00D46230"/>
    <w:rsid w:val="00D90050"/>
    <w:rsid w:val="00E34FF0"/>
    <w:rsid w:val="00E8143E"/>
    <w:rsid w:val="00E928FF"/>
    <w:rsid w:val="00EB1EF9"/>
    <w:rsid w:val="00EC1DD6"/>
    <w:rsid w:val="00ED52E4"/>
    <w:rsid w:val="00F261CB"/>
    <w:rsid w:val="00F41AC6"/>
    <w:rsid w:val="00F66A51"/>
    <w:rsid w:val="00F765E5"/>
    <w:rsid w:val="00FC0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9CCCCF"/>
  <w15:chartTrackingRefBased/>
  <w15:docId w15:val="{45740434-70E6-CF46-8EF4-326ADC6AD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F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F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F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F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F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F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F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F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F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F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F76"/>
    <w:rPr>
      <w:rFonts w:eastAsiaTheme="majorEastAsia" w:cstheme="majorBidi"/>
      <w:color w:val="272727" w:themeColor="text1" w:themeTint="D8"/>
    </w:rPr>
  </w:style>
  <w:style w:type="paragraph" w:styleId="Title">
    <w:name w:val="Title"/>
    <w:basedOn w:val="Normal"/>
    <w:next w:val="Normal"/>
    <w:link w:val="TitleChar"/>
    <w:uiPriority w:val="10"/>
    <w:qFormat/>
    <w:rsid w:val="008A4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F76"/>
    <w:pPr>
      <w:spacing w:before="160"/>
      <w:jc w:val="center"/>
    </w:pPr>
    <w:rPr>
      <w:i/>
      <w:iCs/>
      <w:color w:val="404040" w:themeColor="text1" w:themeTint="BF"/>
    </w:rPr>
  </w:style>
  <w:style w:type="character" w:customStyle="1" w:styleId="QuoteChar">
    <w:name w:val="Quote Char"/>
    <w:basedOn w:val="DefaultParagraphFont"/>
    <w:link w:val="Quote"/>
    <w:uiPriority w:val="29"/>
    <w:rsid w:val="008A4F76"/>
    <w:rPr>
      <w:i/>
      <w:iCs/>
      <w:color w:val="404040" w:themeColor="text1" w:themeTint="BF"/>
    </w:rPr>
  </w:style>
  <w:style w:type="paragraph" w:styleId="ListParagraph">
    <w:name w:val="List Paragraph"/>
    <w:basedOn w:val="Normal"/>
    <w:uiPriority w:val="34"/>
    <w:qFormat/>
    <w:rsid w:val="008A4F76"/>
    <w:pPr>
      <w:ind w:left="720"/>
      <w:contextualSpacing/>
    </w:pPr>
  </w:style>
  <w:style w:type="character" w:styleId="IntenseEmphasis">
    <w:name w:val="Intense Emphasis"/>
    <w:basedOn w:val="DefaultParagraphFont"/>
    <w:uiPriority w:val="21"/>
    <w:qFormat/>
    <w:rsid w:val="008A4F76"/>
    <w:rPr>
      <w:i/>
      <w:iCs/>
      <w:color w:val="0F4761" w:themeColor="accent1" w:themeShade="BF"/>
    </w:rPr>
  </w:style>
  <w:style w:type="paragraph" w:styleId="IntenseQuote">
    <w:name w:val="Intense Quote"/>
    <w:basedOn w:val="Normal"/>
    <w:next w:val="Normal"/>
    <w:link w:val="IntenseQuoteChar"/>
    <w:uiPriority w:val="30"/>
    <w:qFormat/>
    <w:rsid w:val="008A4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F76"/>
    <w:rPr>
      <w:i/>
      <w:iCs/>
      <w:color w:val="0F4761" w:themeColor="accent1" w:themeShade="BF"/>
    </w:rPr>
  </w:style>
  <w:style w:type="character" w:styleId="IntenseReference">
    <w:name w:val="Intense Reference"/>
    <w:basedOn w:val="DefaultParagraphFont"/>
    <w:uiPriority w:val="32"/>
    <w:qFormat/>
    <w:rsid w:val="008A4F76"/>
    <w:rPr>
      <w:b/>
      <w:bCs/>
      <w:smallCaps/>
      <w:color w:val="0F4761" w:themeColor="accent1" w:themeShade="BF"/>
      <w:spacing w:val="5"/>
    </w:rPr>
  </w:style>
  <w:style w:type="paragraph" w:customStyle="1" w:styleId="p1">
    <w:name w:val="p1"/>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paragraph" w:customStyle="1" w:styleId="p2">
    <w:name w:val="p2"/>
    <w:basedOn w:val="Normal"/>
    <w:rsid w:val="007C4F8D"/>
    <w:pPr>
      <w:spacing w:after="0" w:line="240" w:lineRule="auto"/>
    </w:pPr>
    <w:rPr>
      <w:rFonts w:ascii="Helvetica" w:eastAsia="Times New Roman" w:hAnsi="Helvetica" w:cs="Times New Roman"/>
      <w:color w:val="000000"/>
      <w:kern w:val="0"/>
      <w:sz w:val="17"/>
      <w:szCs w:val="17"/>
      <w14:ligatures w14:val="none"/>
    </w:rPr>
  </w:style>
  <w:style w:type="paragraph" w:customStyle="1" w:styleId="p3">
    <w:name w:val="p3"/>
    <w:basedOn w:val="Normal"/>
    <w:rsid w:val="007C4F8D"/>
    <w:pPr>
      <w:spacing w:after="0" w:line="240" w:lineRule="auto"/>
    </w:pPr>
    <w:rPr>
      <w:rFonts w:ascii="Helvetica" w:eastAsia="Times New Roman" w:hAnsi="Helvetica" w:cs="Times New Roman"/>
      <w:color w:val="000000"/>
      <w:kern w:val="0"/>
      <w:sz w:val="16"/>
      <w:szCs w:val="16"/>
      <w14:ligatures w14:val="none"/>
    </w:rPr>
  </w:style>
  <w:style w:type="character" w:customStyle="1" w:styleId="s1">
    <w:name w:val="s1"/>
    <w:basedOn w:val="DefaultParagraphFont"/>
    <w:rsid w:val="007C4F8D"/>
    <w:rPr>
      <w:rFonts w:ascii="Helvetica" w:hAnsi="Helvetica" w:hint="default"/>
      <w:sz w:val="16"/>
      <w:szCs w:val="16"/>
    </w:rPr>
  </w:style>
  <w:style w:type="character" w:customStyle="1" w:styleId="s2">
    <w:name w:val="s2"/>
    <w:basedOn w:val="DefaultParagraphFont"/>
    <w:rsid w:val="007C4F8D"/>
    <w:rPr>
      <w:rFonts w:ascii="Helvetica" w:hAnsi="Helvetica" w:hint="default"/>
      <w:sz w:val="17"/>
      <w:szCs w:val="17"/>
    </w:rPr>
  </w:style>
  <w:style w:type="character" w:styleId="Hyperlink">
    <w:name w:val="Hyperlink"/>
    <w:basedOn w:val="DefaultParagraphFont"/>
    <w:uiPriority w:val="99"/>
    <w:unhideWhenUsed/>
    <w:rsid w:val="00805D62"/>
    <w:rPr>
      <w:color w:val="467886" w:themeColor="hyperlink"/>
      <w:u w:val="single"/>
    </w:rPr>
  </w:style>
  <w:style w:type="character" w:styleId="UnresolvedMention">
    <w:name w:val="Unresolved Mention"/>
    <w:basedOn w:val="DefaultParagraphFont"/>
    <w:uiPriority w:val="99"/>
    <w:semiHidden/>
    <w:unhideWhenUsed/>
    <w:rsid w:val="00805D62"/>
    <w:rPr>
      <w:color w:val="605E5C"/>
      <w:shd w:val="clear" w:color="auto" w:fill="E1DFDD"/>
    </w:rPr>
  </w:style>
  <w:style w:type="character" w:styleId="FollowedHyperlink">
    <w:name w:val="FollowedHyperlink"/>
    <w:basedOn w:val="DefaultParagraphFont"/>
    <w:uiPriority w:val="99"/>
    <w:semiHidden/>
    <w:unhideWhenUsed/>
    <w:rsid w:val="004A76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014-005-0191-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jcm4030389" TargetMode="External"/><Relationship Id="rId12" Type="http://schemas.openxmlformats.org/officeDocument/2006/relationships/hyperlink" Target="https://doi.org/10.3171/2015.7.PEDS144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7/MOP.0b013e3282495a22" TargetMode="External"/><Relationship Id="rId11" Type="http://schemas.openxmlformats.org/officeDocument/2006/relationships/hyperlink" Target="https://doi.org/10.3171/jns.1998.89.4.0547" TargetMode="External"/><Relationship Id="rId5" Type="http://schemas.openxmlformats.org/officeDocument/2006/relationships/hyperlink" Target="https://doi.org/10.1201/9781003090120" TargetMode="External"/><Relationship Id="rId10" Type="http://schemas.openxmlformats.org/officeDocument/2006/relationships/hyperlink" Target="https://doi.org/10.1055/s-0036-1588060" TargetMode="External"/><Relationship Id="rId4" Type="http://schemas.openxmlformats.org/officeDocument/2006/relationships/webSettings" Target="webSettings.xml"/><Relationship Id="rId9" Type="http://schemas.openxmlformats.org/officeDocument/2006/relationships/hyperlink" Target="https://doi.org/10.3389/fendo.2011.0007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963</Words>
  <Characters>5490</Characters>
  <Application>Microsoft Office Word</Application>
  <DocSecurity>0</DocSecurity>
  <Lines>45</Lines>
  <Paragraphs>12</Paragraphs>
  <ScaleCrop>false</ScaleCrop>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Greatti</dc:creator>
  <cp:keywords/>
  <dc:description/>
  <cp:lastModifiedBy>Yves Greatti</cp:lastModifiedBy>
  <cp:revision>3</cp:revision>
  <dcterms:created xsi:type="dcterms:W3CDTF">2025-09-22T19:16:00Z</dcterms:created>
  <dcterms:modified xsi:type="dcterms:W3CDTF">2025-09-22T19:17:00Z</dcterms:modified>
</cp:coreProperties>
</file>