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EFE48" w14:textId="43066271" w:rsidR="00D02587" w:rsidRPr="008C2605" w:rsidRDefault="00336C07" w:rsidP="008C2605">
      <w:pPr>
        <w:pStyle w:val="Heading2"/>
      </w:pPr>
      <w:r>
        <w:t>Innovation</w:t>
      </w:r>
    </w:p>
    <w:p w14:paraId="25E7D816" w14:textId="77777777" w:rsidR="008C2605" w:rsidRPr="00EB37FC" w:rsidRDefault="008C2605" w:rsidP="008C2605">
      <w:pPr>
        <w:pStyle w:val="NormalWeb"/>
        <w:rPr>
          <w:rFonts w:ascii="Arial" w:hAnsi="Arial" w:cs="Arial"/>
          <w:sz w:val="22"/>
          <w:szCs w:val="22"/>
        </w:rPr>
      </w:pPr>
      <w:r w:rsidRPr="00EB37FC">
        <w:rPr>
          <w:rFonts w:ascii="Arial" w:hAnsi="Arial" w:cs="Arial"/>
          <w:sz w:val="22"/>
          <w:szCs w:val="22"/>
        </w:rPr>
        <w:t>Magnetic Resonance Imaging (MRI) is the standard modality for evaluating craniopharyngiomas (CPs) and their relationship to adjacent hypothalamic and optic structures. Precise delineation of both the tumor and surrounding anatomy enables quantitative assessments that guide diagnosis, surgical planning, and longitudinal monitoring. However, manual segmentation remains labor-intensive and subject to high inter-observer variability, limiting reproducibility and scalability in both research and clinical workflows.</w:t>
      </w:r>
    </w:p>
    <w:p w14:paraId="4A597838" w14:textId="77777777" w:rsidR="008C2605" w:rsidRPr="00EB37FC" w:rsidRDefault="008C2605" w:rsidP="008C2605">
      <w:pPr>
        <w:pStyle w:val="NormalWeb"/>
        <w:rPr>
          <w:rFonts w:ascii="Arial" w:hAnsi="Arial" w:cs="Arial"/>
          <w:sz w:val="22"/>
          <w:szCs w:val="22"/>
        </w:rPr>
      </w:pPr>
      <w:r w:rsidRPr="00EB37FC">
        <w:rPr>
          <w:rFonts w:ascii="Arial" w:hAnsi="Arial" w:cs="Arial"/>
          <w:sz w:val="22"/>
          <w:szCs w:val="22"/>
        </w:rPr>
        <w:t>Automated segmentation enables population-level imaging analyses by supporting the construction of standardized atlases and radiomic databases. This scalability increases statistical power in clinical studies and accelerates the development of evidence-based surgical guidelines, ultimately improving our understanding of hypothalamic involvement in both healthy and disease states.</w:t>
      </w:r>
    </w:p>
    <w:p w14:paraId="6565C6F8" w14:textId="77777777" w:rsidR="008C2605" w:rsidRPr="00EB37FC" w:rsidRDefault="008C2605" w:rsidP="008C2605">
      <w:pPr>
        <w:pStyle w:val="NormalWeb"/>
        <w:rPr>
          <w:rFonts w:ascii="Arial" w:hAnsi="Arial" w:cs="Arial"/>
          <w:sz w:val="22"/>
          <w:szCs w:val="22"/>
        </w:rPr>
      </w:pPr>
      <w:r w:rsidRPr="00EB37FC">
        <w:rPr>
          <w:rFonts w:ascii="Arial" w:hAnsi="Arial" w:cs="Arial"/>
          <w:sz w:val="22"/>
          <w:szCs w:val="22"/>
        </w:rPr>
        <w:t xml:space="preserve">Deep learning approaches—especially convolutional and transformer-based architectures—have achieved expert-level accuracy in medical image segmentation across diverse datasets. Yet, few models address the unique challenges of the </w:t>
      </w:r>
      <w:proofErr w:type="spellStart"/>
      <w:r w:rsidRPr="00EB37FC">
        <w:rPr>
          <w:rFonts w:ascii="Arial" w:hAnsi="Arial" w:cs="Arial"/>
          <w:sz w:val="22"/>
          <w:szCs w:val="22"/>
        </w:rPr>
        <w:t>sellar</w:t>
      </w:r>
      <w:proofErr w:type="spellEnd"/>
      <w:r w:rsidRPr="00EB37FC">
        <w:rPr>
          <w:rFonts w:ascii="Arial" w:hAnsi="Arial" w:cs="Arial"/>
          <w:sz w:val="22"/>
          <w:szCs w:val="22"/>
        </w:rPr>
        <w:t>–suprasellar region, where small structures, heterogeneous contrast, and mass effect complicate delineation. Our project extends these advances to craniopharyngiomas, leveraging data augmentation and multi-contrast MRI to enhance model generalization despite limited sample sizes.</w:t>
      </w:r>
    </w:p>
    <w:p w14:paraId="639EE7B9" w14:textId="3872C798" w:rsidR="00A0594F" w:rsidRDefault="008C2605" w:rsidP="00EB37FC">
      <w:pPr>
        <w:pStyle w:val="NormalWeb"/>
      </w:pPr>
      <w:r w:rsidRPr="00EB37FC">
        <w:rPr>
          <w:rFonts w:ascii="Arial" w:hAnsi="Arial" w:cs="Arial"/>
          <w:sz w:val="22"/>
          <w:szCs w:val="22"/>
        </w:rPr>
        <w:t>By linking automated imaging biomarkers to operative and endocrine outcomes, our work bridges radiology and clinical decision-making. The resulting segmentation framework will enable hypothalamus-sparing surgical planning, improve prediction of postoperative endocrine dysfunction, and establish a reproducible foundation for longitudinal outcome studies</w:t>
      </w:r>
      <w:r>
        <w:t>.</w:t>
      </w:r>
    </w:p>
    <w:p w14:paraId="105BEF62" w14:textId="77777777" w:rsidR="00A0594F" w:rsidRDefault="00A0594F" w:rsidP="00A0594F">
      <w:pPr>
        <w:rPr>
          <w:rFonts w:ascii="Arial" w:eastAsia="Times New Roman" w:hAnsi="Arial" w:cs="Arial"/>
          <w:b/>
          <w:bCs/>
          <w:color w:val="000000"/>
          <w:kern w:val="0"/>
          <w:sz w:val="22"/>
          <w:szCs w:val="22"/>
          <w14:ligatures w14:val="none"/>
        </w:rPr>
      </w:pPr>
      <w:r w:rsidRPr="0033021C">
        <w:rPr>
          <w:rFonts w:ascii="Arial" w:eastAsia="Times New Roman" w:hAnsi="Arial" w:cs="Arial"/>
          <w:b/>
          <w:bCs/>
          <w:color w:val="000000"/>
          <w:kern w:val="0"/>
          <w:sz w:val="22"/>
          <w:szCs w:val="22"/>
          <w14:ligatures w14:val="none"/>
        </w:rPr>
        <w:t>References</w:t>
      </w:r>
    </w:p>
    <w:p w14:paraId="2601A616" w14:textId="77777777" w:rsidR="00EA7B8B" w:rsidRPr="00EA7B8B" w:rsidRDefault="00EA7B8B" w:rsidP="00EA7B8B">
      <w:pPr>
        <w:pStyle w:val="NormalWeb"/>
        <w:numPr>
          <w:ilvl w:val="0"/>
          <w:numId w:val="3"/>
        </w:numPr>
        <w:rPr>
          <w:rFonts w:ascii="Arial" w:hAnsi="Arial" w:cs="Arial"/>
          <w:sz w:val="22"/>
          <w:szCs w:val="22"/>
        </w:rPr>
      </w:pPr>
      <w:r w:rsidRPr="00EA7B8B">
        <w:rPr>
          <w:rFonts w:ascii="Arial" w:hAnsi="Arial" w:cs="Arial"/>
          <w:sz w:val="22"/>
          <w:szCs w:val="22"/>
        </w:rPr>
        <w:t xml:space="preserve">Calvanese, F., Matarazzo, P., Massimi, L., Di Rocco, C., &amp; </w:t>
      </w:r>
      <w:proofErr w:type="spellStart"/>
      <w:r w:rsidRPr="00EA7B8B">
        <w:rPr>
          <w:rFonts w:ascii="Arial" w:hAnsi="Arial" w:cs="Arial"/>
          <w:sz w:val="22"/>
          <w:szCs w:val="22"/>
        </w:rPr>
        <w:t>Frassanito</w:t>
      </w:r>
      <w:proofErr w:type="spellEnd"/>
      <w:r w:rsidRPr="00EA7B8B">
        <w:rPr>
          <w:rFonts w:ascii="Arial" w:hAnsi="Arial" w:cs="Arial"/>
          <w:sz w:val="22"/>
          <w:szCs w:val="22"/>
        </w:rPr>
        <w:t xml:space="preserve">, P. (2022). </w:t>
      </w:r>
      <w:r w:rsidRPr="00EA7B8B">
        <w:rPr>
          <w:rStyle w:val="Emphasis"/>
          <w:rFonts w:ascii="Arial" w:eastAsiaTheme="majorEastAsia" w:hAnsi="Arial" w:cs="Arial"/>
          <w:sz w:val="22"/>
          <w:szCs w:val="22"/>
        </w:rPr>
        <w:t>Neoadjuvant BRAF and MEK inhibitor targeted therapy in craniopharyngiomas: Experience and review of the literature.</w:t>
      </w:r>
      <w:r w:rsidRPr="00EA7B8B">
        <w:rPr>
          <w:rFonts w:ascii="Arial" w:hAnsi="Arial" w:cs="Arial"/>
          <w:sz w:val="22"/>
          <w:szCs w:val="22"/>
        </w:rPr>
        <w:t xml:space="preserve"> </w:t>
      </w:r>
      <w:r w:rsidRPr="00EA7B8B">
        <w:rPr>
          <w:rStyle w:val="Emphasis"/>
          <w:rFonts w:ascii="Arial" w:eastAsiaTheme="majorEastAsia" w:hAnsi="Arial" w:cs="Arial"/>
          <w:sz w:val="22"/>
          <w:szCs w:val="22"/>
        </w:rPr>
        <w:t>Frontiers in Oncology, 12,</w:t>
      </w:r>
      <w:r w:rsidRPr="00EA7B8B">
        <w:rPr>
          <w:rFonts w:ascii="Arial" w:hAnsi="Arial" w:cs="Arial"/>
          <w:sz w:val="22"/>
          <w:szCs w:val="22"/>
        </w:rPr>
        <w:t xml:space="preserve"> 907301. https://doi.org/10.3389/fonc.2022.907301</w:t>
      </w:r>
    </w:p>
    <w:p w14:paraId="284D65AC" w14:textId="77777777" w:rsidR="00EA7B8B" w:rsidRPr="00EA7B8B" w:rsidRDefault="00EA7B8B" w:rsidP="00EA7B8B">
      <w:pPr>
        <w:pStyle w:val="NormalWeb"/>
        <w:numPr>
          <w:ilvl w:val="0"/>
          <w:numId w:val="3"/>
        </w:numPr>
        <w:rPr>
          <w:rFonts w:ascii="Arial" w:hAnsi="Arial" w:cs="Arial"/>
          <w:sz w:val="22"/>
          <w:szCs w:val="22"/>
        </w:rPr>
      </w:pPr>
      <w:proofErr w:type="spellStart"/>
      <w:r w:rsidRPr="00EA7B8B">
        <w:rPr>
          <w:rFonts w:ascii="Arial" w:hAnsi="Arial" w:cs="Arial"/>
          <w:sz w:val="22"/>
          <w:szCs w:val="22"/>
        </w:rPr>
        <w:t>Javidialsaadi</w:t>
      </w:r>
      <w:proofErr w:type="spellEnd"/>
      <w:r w:rsidRPr="00EA7B8B">
        <w:rPr>
          <w:rFonts w:ascii="Arial" w:hAnsi="Arial" w:cs="Arial"/>
          <w:sz w:val="22"/>
          <w:szCs w:val="22"/>
        </w:rPr>
        <w:t xml:space="preserve">, M., Nikouei, F., Rezaei, S., &amp; </w:t>
      </w:r>
      <w:proofErr w:type="spellStart"/>
      <w:r w:rsidRPr="00EA7B8B">
        <w:rPr>
          <w:rFonts w:ascii="Arial" w:hAnsi="Arial" w:cs="Arial"/>
          <w:sz w:val="22"/>
          <w:szCs w:val="22"/>
        </w:rPr>
        <w:t>Omidvari</w:t>
      </w:r>
      <w:proofErr w:type="spellEnd"/>
      <w:r w:rsidRPr="00EA7B8B">
        <w:rPr>
          <w:rFonts w:ascii="Arial" w:hAnsi="Arial" w:cs="Arial"/>
          <w:sz w:val="22"/>
          <w:szCs w:val="22"/>
        </w:rPr>
        <w:t xml:space="preserve">, S. (2025). </w:t>
      </w:r>
      <w:r w:rsidRPr="00EA7B8B">
        <w:rPr>
          <w:rStyle w:val="Emphasis"/>
          <w:rFonts w:ascii="Arial" w:eastAsiaTheme="majorEastAsia" w:hAnsi="Arial" w:cs="Arial"/>
          <w:sz w:val="22"/>
          <w:szCs w:val="22"/>
        </w:rPr>
        <w:t>Advances in the management of craniopharyngioma: A comprehensive review.</w:t>
      </w:r>
      <w:r w:rsidRPr="00EA7B8B">
        <w:rPr>
          <w:rFonts w:ascii="Arial" w:hAnsi="Arial" w:cs="Arial"/>
          <w:sz w:val="22"/>
          <w:szCs w:val="22"/>
        </w:rPr>
        <w:t xml:space="preserve"> </w:t>
      </w:r>
      <w:r w:rsidRPr="00EA7B8B">
        <w:rPr>
          <w:rStyle w:val="Emphasis"/>
          <w:rFonts w:ascii="Arial" w:eastAsiaTheme="majorEastAsia" w:hAnsi="Arial" w:cs="Arial"/>
          <w:sz w:val="22"/>
          <w:szCs w:val="22"/>
        </w:rPr>
        <w:t>Journal of Clinical Medicine, 14</w:t>
      </w:r>
      <w:r w:rsidRPr="00EA7B8B">
        <w:rPr>
          <w:rFonts w:ascii="Arial" w:hAnsi="Arial" w:cs="Arial"/>
          <w:sz w:val="22"/>
          <w:szCs w:val="22"/>
        </w:rPr>
        <w:t>(4), 1101. https://doi.org/10.3390/jcm14041101</w:t>
      </w:r>
    </w:p>
    <w:p w14:paraId="3C423C7E" w14:textId="77777777" w:rsidR="00EA7B8B" w:rsidRPr="00EA7B8B" w:rsidRDefault="00EA7B8B" w:rsidP="00EA7B8B">
      <w:pPr>
        <w:pStyle w:val="NormalWeb"/>
        <w:numPr>
          <w:ilvl w:val="0"/>
          <w:numId w:val="3"/>
        </w:numPr>
        <w:rPr>
          <w:rFonts w:ascii="Arial" w:hAnsi="Arial" w:cs="Arial"/>
          <w:sz w:val="22"/>
          <w:szCs w:val="22"/>
        </w:rPr>
      </w:pPr>
      <w:r w:rsidRPr="00EA7B8B">
        <w:rPr>
          <w:rFonts w:ascii="Arial" w:hAnsi="Arial" w:cs="Arial"/>
          <w:sz w:val="22"/>
          <w:szCs w:val="22"/>
        </w:rPr>
        <w:t xml:space="preserve">Jiang, C., Zhang, W., Wang, H., Jiao, Y., Fang, Y., Feng, F., Feng, M., &amp; Wang, R. (2023). </w:t>
      </w:r>
      <w:r w:rsidRPr="00EA7B8B">
        <w:rPr>
          <w:rStyle w:val="Emphasis"/>
          <w:rFonts w:ascii="Arial" w:eastAsiaTheme="majorEastAsia" w:hAnsi="Arial" w:cs="Arial"/>
          <w:sz w:val="22"/>
          <w:szCs w:val="22"/>
        </w:rPr>
        <w:t xml:space="preserve">Machine learning approaches to differentiate </w:t>
      </w:r>
      <w:proofErr w:type="spellStart"/>
      <w:r w:rsidRPr="00EA7B8B">
        <w:rPr>
          <w:rStyle w:val="Emphasis"/>
          <w:rFonts w:ascii="Arial" w:eastAsiaTheme="majorEastAsia" w:hAnsi="Arial" w:cs="Arial"/>
          <w:sz w:val="22"/>
          <w:szCs w:val="22"/>
        </w:rPr>
        <w:t>sellar</w:t>
      </w:r>
      <w:proofErr w:type="spellEnd"/>
      <w:r w:rsidRPr="00EA7B8B">
        <w:rPr>
          <w:rStyle w:val="Emphasis"/>
          <w:rFonts w:ascii="Arial" w:eastAsiaTheme="majorEastAsia" w:hAnsi="Arial" w:cs="Arial"/>
          <w:sz w:val="22"/>
          <w:szCs w:val="22"/>
        </w:rPr>
        <w:t>-suprasellar cystic lesions on magnetic resonance imaging.</w:t>
      </w:r>
      <w:r w:rsidRPr="00EA7B8B">
        <w:rPr>
          <w:rFonts w:ascii="Arial" w:hAnsi="Arial" w:cs="Arial"/>
          <w:sz w:val="22"/>
          <w:szCs w:val="22"/>
        </w:rPr>
        <w:t xml:space="preserve"> </w:t>
      </w:r>
      <w:r w:rsidRPr="00EA7B8B">
        <w:rPr>
          <w:rStyle w:val="Emphasis"/>
          <w:rFonts w:ascii="Arial" w:eastAsiaTheme="majorEastAsia" w:hAnsi="Arial" w:cs="Arial"/>
          <w:sz w:val="22"/>
          <w:szCs w:val="22"/>
        </w:rPr>
        <w:t>Bioengineering, 10</w:t>
      </w:r>
      <w:r w:rsidRPr="00EA7B8B">
        <w:rPr>
          <w:rFonts w:ascii="Arial" w:hAnsi="Arial" w:cs="Arial"/>
          <w:sz w:val="22"/>
          <w:szCs w:val="22"/>
        </w:rPr>
        <w:t>(11), 1295. https://doi.org/10.3390/bioengineering10111295</w:t>
      </w:r>
    </w:p>
    <w:p w14:paraId="541792C7" w14:textId="77777777" w:rsidR="00EA7B8B" w:rsidRPr="00EA7B8B" w:rsidRDefault="00EA7B8B" w:rsidP="00EA7B8B">
      <w:pPr>
        <w:pStyle w:val="NormalWeb"/>
        <w:numPr>
          <w:ilvl w:val="0"/>
          <w:numId w:val="3"/>
        </w:numPr>
        <w:rPr>
          <w:rFonts w:ascii="Arial" w:hAnsi="Arial" w:cs="Arial"/>
          <w:sz w:val="22"/>
          <w:szCs w:val="22"/>
        </w:rPr>
      </w:pPr>
      <w:r w:rsidRPr="00EA7B8B">
        <w:rPr>
          <w:rFonts w:ascii="Arial" w:hAnsi="Arial" w:cs="Arial"/>
          <w:sz w:val="22"/>
          <w:szCs w:val="22"/>
        </w:rPr>
        <w:t xml:space="preserve">Khan, D. Z., Lindner, T., Bander, E. D., et al. (2024). </w:t>
      </w:r>
      <w:r w:rsidRPr="00EA7B8B">
        <w:rPr>
          <w:rStyle w:val="Emphasis"/>
          <w:rFonts w:ascii="Arial" w:eastAsiaTheme="majorEastAsia" w:hAnsi="Arial" w:cs="Arial"/>
          <w:sz w:val="22"/>
          <w:szCs w:val="22"/>
        </w:rPr>
        <w:t xml:space="preserve">Artificial-intelligence-assisted operative anatomy recognition in </w:t>
      </w:r>
      <w:proofErr w:type="spellStart"/>
      <w:r w:rsidRPr="00EA7B8B">
        <w:rPr>
          <w:rStyle w:val="Emphasis"/>
          <w:rFonts w:ascii="Arial" w:eastAsiaTheme="majorEastAsia" w:hAnsi="Arial" w:cs="Arial"/>
          <w:sz w:val="22"/>
          <w:szCs w:val="22"/>
        </w:rPr>
        <w:t>sellar</w:t>
      </w:r>
      <w:proofErr w:type="spellEnd"/>
      <w:r w:rsidRPr="00EA7B8B">
        <w:rPr>
          <w:rStyle w:val="Emphasis"/>
          <w:rFonts w:ascii="Arial" w:eastAsiaTheme="majorEastAsia" w:hAnsi="Arial" w:cs="Arial"/>
          <w:sz w:val="22"/>
          <w:szCs w:val="22"/>
        </w:rPr>
        <w:t xml:space="preserve"> region surgery.</w:t>
      </w:r>
      <w:r w:rsidRPr="00EA7B8B">
        <w:rPr>
          <w:rFonts w:ascii="Arial" w:hAnsi="Arial" w:cs="Arial"/>
          <w:sz w:val="22"/>
          <w:szCs w:val="22"/>
        </w:rPr>
        <w:t xml:space="preserve"> </w:t>
      </w:r>
      <w:r w:rsidRPr="00EA7B8B">
        <w:rPr>
          <w:rStyle w:val="Emphasis"/>
          <w:rFonts w:ascii="Arial" w:eastAsiaTheme="majorEastAsia" w:hAnsi="Arial" w:cs="Arial"/>
          <w:sz w:val="22"/>
          <w:szCs w:val="22"/>
        </w:rPr>
        <w:t>NPJ Digital Medicine, 7</w:t>
      </w:r>
      <w:r w:rsidRPr="00EA7B8B">
        <w:rPr>
          <w:rFonts w:ascii="Arial" w:hAnsi="Arial" w:cs="Arial"/>
          <w:sz w:val="22"/>
          <w:szCs w:val="22"/>
        </w:rPr>
        <w:t>(1), 104. https://doi.org/10.1038/s41746-024-01273-8</w:t>
      </w:r>
    </w:p>
    <w:p w14:paraId="2766B070" w14:textId="77777777" w:rsidR="00EA7B8B" w:rsidRPr="00EA7B8B" w:rsidRDefault="00EA7B8B" w:rsidP="00EA7B8B">
      <w:pPr>
        <w:pStyle w:val="NormalWeb"/>
        <w:numPr>
          <w:ilvl w:val="0"/>
          <w:numId w:val="3"/>
        </w:numPr>
        <w:rPr>
          <w:rFonts w:ascii="Arial" w:hAnsi="Arial" w:cs="Arial"/>
          <w:sz w:val="22"/>
          <w:szCs w:val="22"/>
        </w:rPr>
      </w:pPr>
      <w:r w:rsidRPr="00EA7B8B">
        <w:rPr>
          <w:rFonts w:ascii="Arial" w:hAnsi="Arial" w:cs="Arial"/>
          <w:sz w:val="22"/>
          <w:szCs w:val="22"/>
        </w:rPr>
        <w:t xml:space="preserve">Lohkamp, L. N., De Cloet, F., Kehler, U., &amp; Merchant, T. E. (2023). </w:t>
      </w:r>
      <w:r w:rsidRPr="00EA7B8B">
        <w:rPr>
          <w:rStyle w:val="Emphasis"/>
          <w:rFonts w:ascii="Arial" w:eastAsiaTheme="majorEastAsia" w:hAnsi="Arial" w:cs="Arial"/>
          <w:sz w:val="22"/>
          <w:szCs w:val="22"/>
        </w:rPr>
        <w:t>An update on multimodal management of pediatric craniopharyngioma: Recent advances and knowledge gains.</w:t>
      </w:r>
      <w:r w:rsidRPr="00EA7B8B">
        <w:rPr>
          <w:rFonts w:ascii="Arial" w:hAnsi="Arial" w:cs="Arial"/>
          <w:sz w:val="22"/>
          <w:szCs w:val="22"/>
        </w:rPr>
        <w:t xml:space="preserve"> </w:t>
      </w:r>
      <w:r w:rsidRPr="00EA7B8B">
        <w:rPr>
          <w:rStyle w:val="Emphasis"/>
          <w:rFonts w:ascii="Arial" w:eastAsiaTheme="majorEastAsia" w:hAnsi="Arial" w:cs="Arial"/>
          <w:sz w:val="22"/>
          <w:szCs w:val="22"/>
        </w:rPr>
        <w:t>Frontiers in Oncology, 13,</w:t>
      </w:r>
      <w:r w:rsidRPr="00EA7B8B">
        <w:rPr>
          <w:rFonts w:ascii="Arial" w:hAnsi="Arial" w:cs="Arial"/>
          <w:sz w:val="22"/>
          <w:szCs w:val="22"/>
        </w:rPr>
        <w:t xml:space="preserve"> 1101652. https://doi.org/10.3389/fonc.2023.1101652</w:t>
      </w:r>
    </w:p>
    <w:p w14:paraId="298B91DB" w14:textId="77777777" w:rsidR="00EA7B8B" w:rsidRPr="00EA7B8B" w:rsidRDefault="00EA7B8B" w:rsidP="00EA7B8B">
      <w:pPr>
        <w:pStyle w:val="NormalWeb"/>
        <w:numPr>
          <w:ilvl w:val="0"/>
          <w:numId w:val="3"/>
        </w:numPr>
        <w:rPr>
          <w:rFonts w:ascii="Arial" w:hAnsi="Arial" w:cs="Arial"/>
          <w:sz w:val="22"/>
          <w:szCs w:val="22"/>
        </w:rPr>
      </w:pPr>
      <w:r w:rsidRPr="00EA7B8B">
        <w:rPr>
          <w:rFonts w:ascii="Arial" w:hAnsi="Arial" w:cs="Arial"/>
          <w:sz w:val="22"/>
          <w:szCs w:val="22"/>
        </w:rPr>
        <w:lastRenderedPageBreak/>
        <w:t xml:space="preserve">Qu, H., Ban, Q., Zhou, L., Duan, H., Wang, W., &amp; Peng, A. (2025). </w:t>
      </w:r>
      <w:r w:rsidRPr="00EA7B8B">
        <w:rPr>
          <w:rStyle w:val="Emphasis"/>
          <w:rFonts w:ascii="Arial" w:eastAsiaTheme="majorEastAsia" w:hAnsi="Arial" w:cs="Arial"/>
          <w:sz w:val="22"/>
          <w:szCs w:val="22"/>
        </w:rPr>
        <w:t xml:space="preserve">Radiomic study of common </w:t>
      </w:r>
      <w:proofErr w:type="spellStart"/>
      <w:r w:rsidRPr="00EA7B8B">
        <w:rPr>
          <w:rStyle w:val="Emphasis"/>
          <w:rFonts w:ascii="Arial" w:eastAsiaTheme="majorEastAsia" w:hAnsi="Arial" w:cs="Arial"/>
          <w:sz w:val="22"/>
          <w:szCs w:val="22"/>
        </w:rPr>
        <w:t>sellar</w:t>
      </w:r>
      <w:proofErr w:type="spellEnd"/>
      <w:r w:rsidRPr="00EA7B8B">
        <w:rPr>
          <w:rStyle w:val="Emphasis"/>
          <w:rFonts w:ascii="Arial" w:eastAsiaTheme="majorEastAsia" w:hAnsi="Arial" w:cs="Arial"/>
          <w:sz w:val="22"/>
          <w:szCs w:val="22"/>
        </w:rPr>
        <w:t xml:space="preserve"> region lesion differentiation in MRI based on a multi-classification machine-learning model.</w:t>
      </w:r>
      <w:r w:rsidRPr="00EA7B8B">
        <w:rPr>
          <w:rFonts w:ascii="Arial" w:hAnsi="Arial" w:cs="Arial"/>
          <w:sz w:val="22"/>
          <w:szCs w:val="22"/>
        </w:rPr>
        <w:t xml:space="preserve"> </w:t>
      </w:r>
      <w:r w:rsidRPr="00EA7B8B">
        <w:rPr>
          <w:rStyle w:val="Emphasis"/>
          <w:rFonts w:ascii="Arial" w:eastAsiaTheme="majorEastAsia" w:hAnsi="Arial" w:cs="Arial"/>
          <w:sz w:val="22"/>
          <w:szCs w:val="22"/>
        </w:rPr>
        <w:t>BMC Medical Imaging, 25,</w:t>
      </w:r>
      <w:r w:rsidRPr="00EA7B8B">
        <w:rPr>
          <w:rFonts w:ascii="Arial" w:hAnsi="Arial" w:cs="Arial"/>
          <w:sz w:val="22"/>
          <w:szCs w:val="22"/>
        </w:rPr>
        <w:t xml:space="preserve"> 147. https://doi.org/10.1186/s12880-025-01690-5</w:t>
      </w:r>
    </w:p>
    <w:p w14:paraId="6A6737E0" w14:textId="77777777" w:rsidR="00EA7B8B" w:rsidRPr="00EA7B8B" w:rsidRDefault="00EA7B8B" w:rsidP="00EA7B8B">
      <w:pPr>
        <w:pStyle w:val="NormalWeb"/>
        <w:numPr>
          <w:ilvl w:val="0"/>
          <w:numId w:val="3"/>
        </w:numPr>
        <w:rPr>
          <w:rFonts w:ascii="Arial" w:hAnsi="Arial" w:cs="Arial"/>
          <w:sz w:val="22"/>
          <w:szCs w:val="22"/>
        </w:rPr>
      </w:pPr>
      <w:r w:rsidRPr="00EA7B8B">
        <w:rPr>
          <w:rFonts w:ascii="Arial" w:hAnsi="Arial" w:cs="Arial"/>
          <w:sz w:val="22"/>
          <w:szCs w:val="22"/>
        </w:rPr>
        <w:t xml:space="preserve">Shu, X., Zhou, Y., Li, F., Zhou, T., Meng, X., Wang, F., Zhang, Z., Pu, J., &amp; Xu, B. (2021). </w:t>
      </w:r>
      <w:r w:rsidRPr="00EA7B8B">
        <w:rPr>
          <w:rStyle w:val="Emphasis"/>
          <w:rFonts w:ascii="Arial" w:eastAsiaTheme="majorEastAsia" w:hAnsi="Arial" w:cs="Arial"/>
          <w:sz w:val="22"/>
          <w:szCs w:val="22"/>
        </w:rPr>
        <w:t xml:space="preserve">Three-dimensional semantic segmentation of pituitary adenomas based on the deep learning framework </w:t>
      </w:r>
      <w:proofErr w:type="spellStart"/>
      <w:r w:rsidRPr="00EA7B8B">
        <w:rPr>
          <w:rStyle w:val="Emphasis"/>
          <w:rFonts w:ascii="Arial" w:eastAsiaTheme="majorEastAsia" w:hAnsi="Arial" w:cs="Arial"/>
          <w:sz w:val="22"/>
          <w:szCs w:val="22"/>
        </w:rPr>
        <w:t>nnU</w:t>
      </w:r>
      <w:proofErr w:type="spellEnd"/>
      <w:r w:rsidRPr="00EA7B8B">
        <w:rPr>
          <w:rStyle w:val="Emphasis"/>
          <w:rFonts w:ascii="Arial" w:eastAsiaTheme="majorEastAsia" w:hAnsi="Arial" w:cs="Arial"/>
          <w:sz w:val="22"/>
          <w:szCs w:val="22"/>
        </w:rPr>
        <w:t>-Net: A clinical perspective.</w:t>
      </w:r>
      <w:r w:rsidRPr="00EA7B8B">
        <w:rPr>
          <w:rFonts w:ascii="Arial" w:hAnsi="Arial" w:cs="Arial"/>
          <w:sz w:val="22"/>
          <w:szCs w:val="22"/>
        </w:rPr>
        <w:t xml:space="preserve"> </w:t>
      </w:r>
      <w:r w:rsidRPr="00EA7B8B">
        <w:rPr>
          <w:rStyle w:val="Emphasis"/>
          <w:rFonts w:ascii="Arial" w:eastAsiaTheme="majorEastAsia" w:hAnsi="Arial" w:cs="Arial"/>
          <w:sz w:val="22"/>
          <w:szCs w:val="22"/>
        </w:rPr>
        <w:t>Micromachines, 12</w:t>
      </w:r>
      <w:r w:rsidRPr="00EA7B8B">
        <w:rPr>
          <w:rFonts w:ascii="Arial" w:hAnsi="Arial" w:cs="Arial"/>
          <w:sz w:val="22"/>
          <w:szCs w:val="22"/>
        </w:rPr>
        <w:t>(12), 1473. https://doi.org/10.3390/mi12121473</w:t>
      </w:r>
    </w:p>
    <w:p w14:paraId="14D78ADB" w14:textId="77777777" w:rsidR="00EA7B8B" w:rsidRPr="00EA7B8B" w:rsidRDefault="00EA7B8B" w:rsidP="00EA7B8B">
      <w:pPr>
        <w:pStyle w:val="NormalWeb"/>
        <w:numPr>
          <w:ilvl w:val="0"/>
          <w:numId w:val="3"/>
        </w:numPr>
        <w:rPr>
          <w:rFonts w:ascii="Arial" w:hAnsi="Arial" w:cs="Arial"/>
          <w:sz w:val="22"/>
          <w:szCs w:val="22"/>
        </w:rPr>
      </w:pPr>
      <w:r w:rsidRPr="00EA7B8B">
        <w:rPr>
          <w:rFonts w:ascii="Arial" w:hAnsi="Arial" w:cs="Arial"/>
          <w:sz w:val="22"/>
          <w:szCs w:val="22"/>
        </w:rPr>
        <w:t xml:space="preserve">Wang, H., Feng, M., Zhang, Y., Jiao, Y., Wang, R., &amp; Feng, F. (2021). </w:t>
      </w:r>
      <w:r w:rsidRPr="00EA7B8B">
        <w:rPr>
          <w:rStyle w:val="Emphasis"/>
          <w:rFonts w:ascii="Arial" w:eastAsiaTheme="majorEastAsia" w:hAnsi="Arial" w:cs="Arial"/>
          <w:sz w:val="22"/>
          <w:szCs w:val="22"/>
        </w:rPr>
        <w:t xml:space="preserve">Development and evaluation of deep-learning-based automatic segmentation of the </w:t>
      </w:r>
      <w:proofErr w:type="spellStart"/>
      <w:r w:rsidRPr="00EA7B8B">
        <w:rPr>
          <w:rStyle w:val="Emphasis"/>
          <w:rFonts w:ascii="Arial" w:eastAsiaTheme="majorEastAsia" w:hAnsi="Arial" w:cs="Arial"/>
          <w:sz w:val="22"/>
          <w:szCs w:val="22"/>
        </w:rPr>
        <w:t>sellar</w:t>
      </w:r>
      <w:proofErr w:type="spellEnd"/>
      <w:r w:rsidRPr="00EA7B8B">
        <w:rPr>
          <w:rStyle w:val="Emphasis"/>
          <w:rFonts w:ascii="Arial" w:eastAsiaTheme="majorEastAsia" w:hAnsi="Arial" w:cs="Arial"/>
          <w:sz w:val="22"/>
          <w:szCs w:val="22"/>
        </w:rPr>
        <w:t xml:space="preserve"> region in MRI and its clinical usefulness.</w:t>
      </w:r>
      <w:r w:rsidRPr="00EA7B8B">
        <w:rPr>
          <w:rFonts w:ascii="Arial" w:hAnsi="Arial" w:cs="Arial"/>
          <w:sz w:val="22"/>
          <w:szCs w:val="22"/>
        </w:rPr>
        <w:t xml:space="preserve"> </w:t>
      </w:r>
      <w:r w:rsidRPr="00EA7B8B">
        <w:rPr>
          <w:rStyle w:val="Emphasis"/>
          <w:rFonts w:ascii="Arial" w:eastAsiaTheme="majorEastAsia" w:hAnsi="Arial" w:cs="Arial"/>
          <w:sz w:val="22"/>
          <w:szCs w:val="22"/>
        </w:rPr>
        <w:t>Frontiers in Endocrinology, 12,</w:t>
      </w:r>
      <w:r w:rsidRPr="00EA7B8B">
        <w:rPr>
          <w:rFonts w:ascii="Arial" w:hAnsi="Arial" w:cs="Arial"/>
          <w:sz w:val="22"/>
          <w:szCs w:val="22"/>
        </w:rPr>
        <w:t xml:space="preserve"> 693607. https://doi.org/10.3389/fendo.2021.693607</w:t>
      </w:r>
    </w:p>
    <w:p w14:paraId="2BF6BE6A" w14:textId="77777777" w:rsidR="00EA7B8B" w:rsidRPr="00EA7B8B" w:rsidRDefault="00EA7B8B" w:rsidP="00EA7B8B">
      <w:pPr>
        <w:pStyle w:val="NormalWeb"/>
        <w:numPr>
          <w:ilvl w:val="0"/>
          <w:numId w:val="3"/>
        </w:numPr>
        <w:rPr>
          <w:rFonts w:ascii="Arial" w:hAnsi="Arial" w:cs="Arial"/>
          <w:sz w:val="22"/>
          <w:szCs w:val="22"/>
        </w:rPr>
      </w:pPr>
      <w:r w:rsidRPr="00EA7B8B">
        <w:rPr>
          <w:rFonts w:ascii="Arial" w:hAnsi="Arial" w:cs="Arial"/>
          <w:sz w:val="22"/>
          <w:szCs w:val="22"/>
        </w:rPr>
        <w:t xml:space="preserve">Yan, X., Liu, Z., &amp; Wang, F. (2023). </w:t>
      </w:r>
      <w:r w:rsidRPr="00EA7B8B">
        <w:rPr>
          <w:rStyle w:val="Emphasis"/>
          <w:rFonts w:ascii="Arial" w:eastAsiaTheme="majorEastAsia" w:hAnsi="Arial" w:cs="Arial"/>
          <w:sz w:val="22"/>
          <w:szCs w:val="22"/>
        </w:rPr>
        <w:t>Deep-learning-based automatic segmentation and detection of craniopharyngiomas and surrounding structures in MRI.</w:t>
      </w:r>
      <w:r w:rsidRPr="00EA7B8B">
        <w:rPr>
          <w:rFonts w:ascii="Arial" w:hAnsi="Arial" w:cs="Arial"/>
          <w:sz w:val="22"/>
          <w:szCs w:val="22"/>
        </w:rPr>
        <w:t xml:space="preserve"> </w:t>
      </w:r>
      <w:r w:rsidRPr="00EA7B8B">
        <w:rPr>
          <w:rStyle w:val="Emphasis"/>
          <w:rFonts w:ascii="Arial" w:eastAsiaTheme="majorEastAsia" w:hAnsi="Arial" w:cs="Arial"/>
          <w:sz w:val="22"/>
          <w:szCs w:val="22"/>
        </w:rPr>
        <w:t>Frontiers in Oncology, 13,</w:t>
      </w:r>
      <w:r w:rsidRPr="00EA7B8B">
        <w:rPr>
          <w:rFonts w:ascii="Arial" w:hAnsi="Arial" w:cs="Arial"/>
          <w:sz w:val="22"/>
          <w:szCs w:val="22"/>
        </w:rPr>
        <w:t xml:space="preserve"> 1164305. https://doi.org/10.3389/fonc.2023.1164305</w:t>
      </w:r>
    </w:p>
    <w:p w14:paraId="64CDC78A" w14:textId="77777777" w:rsidR="00EA7B8B" w:rsidRDefault="00EA7B8B" w:rsidP="00A0594F">
      <w:pPr>
        <w:rPr>
          <w:rFonts w:ascii="Arial" w:eastAsia="Times New Roman" w:hAnsi="Arial" w:cs="Arial"/>
          <w:b/>
          <w:bCs/>
          <w:color w:val="000000"/>
          <w:kern w:val="0"/>
          <w:sz w:val="22"/>
          <w:szCs w:val="22"/>
          <w14:ligatures w14:val="none"/>
        </w:rPr>
      </w:pPr>
    </w:p>
    <w:p w14:paraId="61DDADA8" w14:textId="77777777" w:rsidR="00A0594F" w:rsidRPr="00B720C7" w:rsidRDefault="00A0594F">
      <w:pPr>
        <w:rPr>
          <w:rFonts w:ascii="Arial" w:hAnsi="Arial" w:cs="Arial"/>
          <w:sz w:val="22"/>
          <w:szCs w:val="22"/>
        </w:rPr>
      </w:pPr>
    </w:p>
    <w:sectPr w:rsidR="00A0594F" w:rsidRPr="00B720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E13A9"/>
    <w:multiLevelType w:val="hybridMultilevel"/>
    <w:tmpl w:val="DCD6C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AD4230A"/>
    <w:multiLevelType w:val="hybridMultilevel"/>
    <w:tmpl w:val="B8E6CE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E512E87"/>
    <w:multiLevelType w:val="multilevel"/>
    <w:tmpl w:val="7A7ED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8060406">
    <w:abstractNumId w:val="0"/>
  </w:num>
  <w:num w:numId="2" w16cid:durableId="699010416">
    <w:abstractNumId w:val="2"/>
  </w:num>
  <w:num w:numId="3" w16cid:durableId="1165434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F76"/>
    <w:rsid w:val="00015224"/>
    <w:rsid w:val="00076807"/>
    <w:rsid w:val="00076D8E"/>
    <w:rsid w:val="000A3947"/>
    <w:rsid w:val="00110555"/>
    <w:rsid w:val="0012006F"/>
    <w:rsid w:val="00144A6B"/>
    <w:rsid w:val="00160779"/>
    <w:rsid w:val="00171DC1"/>
    <w:rsid w:val="001C23E4"/>
    <w:rsid w:val="0020257A"/>
    <w:rsid w:val="00203AE9"/>
    <w:rsid w:val="002157C2"/>
    <w:rsid w:val="002549CD"/>
    <w:rsid w:val="00263069"/>
    <w:rsid w:val="002A1D7B"/>
    <w:rsid w:val="002A796D"/>
    <w:rsid w:val="002C18D6"/>
    <w:rsid w:val="0033021C"/>
    <w:rsid w:val="0033250F"/>
    <w:rsid w:val="00336C07"/>
    <w:rsid w:val="00346718"/>
    <w:rsid w:val="0041537F"/>
    <w:rsid w:val="004217E3"/>
    <w:rsid w:val="00454D73"/>
    <w:rsid w:val="004707C9"/>
    <w:rsid w:val="0049621A"/>
    <w:rsid w:val="004A7645"/>
    <w:rsid w:val="004C1980"/>
    <w:rsid w:val="00502002"/>
    <w:rsid w:val="005127DB"/>
    <w:rsid w:val="00533F88"/>
    <w:rsid w:val="005B1BE9"/>
    <w:rsid w:val="005C4B53"/>
    <w:rsid w:val="005D6FA5"/>
    <w:rsid w:val="005F1FEE"/>
    <w:rsid w:val="00605C90"/>
    <w:rsid w:val="00621146"/>
    <w:rsid w:val="006309FB"/>
    <w:rsid w:val="006324FF"/>
    <w:rsid w:val="006408FF"/>
    <w:rsid w:val="00646118"/>
    <w:rsid w:val="006A38FA"/>
    <w:rsid w:val="006C6B46"/>
    <w:rsid w:val="006E08E1"/>
    <w:rsid w:val="00711F6B"/>
    <w:rsid w:val="0072609E"/>
    <w:rsid w:val="007435F7"/>
    <w:rsid w:val="00765E5F"/>
    <w:rsid w:val="00770F8C"/>
    <w:rsid w:val="00771675"/>
    <w:rsid w:val="0077774F"/>
    <w:rsid w:val="00791BF1"/>
    <w:rsid w:val="007A0B8C"/>
    <w:rsid w:val="007A1D58"/>
    <w:rsid w:val="007B3395"/>
    <w:rsid w:val="007B726E"/>
    <w:rsid w:val="007C3014"/>
    <w:rsid w:val="007C4F8D"/>
    <w:rsid w:val="007D07FB"/>
    <w:rsid w:val="00805D62"/>
    <w:rsid w:val="00820AF8"/>
    <w:rsid w:val="008775EE"/>
    <w:rsid w:val="008A4F76"/>
    <w:rsid w:val="008B40B7"/>
    <w:rsid w:val="008C2605"/>
    <w:rsid w:val="00914538"/>
    <w:rsid w:val="00914638"/>
    <w:rsid w:val="00943B26"/>
    <w:rsid w:val="00977ED0"/>
    <w:rsid w:val="009C679C"/>
    <w:rsid w:val="009E252D"/>
    <w:rsid w:val="009F544B"/>
    <w:rsid w:val="00A0594F"/>
    <w:rsid w:val="00A222D2"/>
    <w:rsid w:val="00A37C86"/>
    <w:rsid w:val="00A60471"/>
    <w:rsid w:val="00A6768B"/>
    <w:rsid w:val="00A94124"/>
    <w:rsid w:val="00A956D8"/>
    <w:rsid w:val="00AB0938"/>
    <w:rsid w:val="00AF3367"/>
    <w:rsid w:val="00B3599F"/>
    <w:rsid w:val="00B37C2E"/>
    <w:rsid w:val="00B5485E"/>
    <w:rsid w:val="00B720C7"/>
    <w:rsid w:val="00BB7B2B"/>
    <w:rsid w:val="00BC5FEF"/>
    <w:rsid w:val="00C055BC"/>
    <w:rsid w:val="00C102DF"/>
    <w:rsid w:val="00C5726E"/>
    <w:rsid w:val="00CA6DC8"/>
    <w:rsid w:val="00CB3FAB"/>
    <w:rsid w:val="00CC6435"/>
    <w:rsid w:val="00CF5164"/>
    <w:rsid w:val="00D02587"/>
    <w:rsid w:val="00D0677B"/>
    <w:rsid w:val="00D46230"/>
    <w:rsid w:val="00D90050"/>
    <w:rsid w:val="00D9703D"/>
    <w:rsid w:val="00E34FF0"/>
    <w:rsid w:val="00E8143E"/>
    <w:rsid w:val="00E928FF"/>
    <w:rsid w:val="00EA7B8B"/>
    <w:rsid w:val="00EB1EF9"/>
    <w:rsid w:val="00EB37FC"/>
    <w:rsid w:val="00EC1DD6"/>
    <w:rsid w:val="00ED52E4"/>
    <w:rsid w:val="00F261CB"/>
    <w:rsid w:val="00F41AC6"/>
    <w:rsid w:val="00F607A5"/>
    <w:rsid w:val="00F66A51"/>
    <w:rsid w:val="00F765E5"/>
    <w:rsid w:val="00FC0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9CCCCF"/>
  <w15:chartTrackingRefBased/>
  <w15:docId w15:val="{45740434-70E6-CF46-8EF4-326ADC6AD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4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F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F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F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F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4F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F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F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F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F76"/>
    <w:rPr>
      <w:rFonts w:eastAsiaTheme="majorEastAsia" w:cstheme="majorBidi"/>
      <w:color w:val="272727" w:themeColor="text1" w:themeTint="D8"/>
    </w:rPr>
  </w:style>
  <w:style w:type="paragraph" w:styleId="Title">
    <w:name w:val="Title"/>
    <w:basedOn w:val="Normal"/>
    <w:next w:val="Normal"/>
    <w:link w:val="TitleChar"/>
    <w:uiPriority w:val="10"/>
    <w:qFormat/>
    <w:rsid w:val="008A4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F76"/>
    <w:pPr>
      <w:spacing w:before="160"/>
      <w:jc w:val="center"/>
    </w:pPr>
    <w:rPr>
      <w:i/>
      <w:iCs/>
      <w:color w:val="404040" w:themeColor="text1" w:themeTint="BF"/>
    </w:rPr>
  </w:style>
  <w:style w:type="character" w:customStyle="1" w:styleId="QuoteChar">
    <w:name w:val="Quote Char"/>
    <w:basedOn w:val="DefaultParagraphFont"/>
    <w:link w:val="Quote"/>
    <w:uiPriority w:val="29"/>
    <w:rsid w:val="008A4F76"/>
    <w:rPr>
      <w:i/>
      <w:iCs/>
      <w:color w:val="404040" w:themeColor="text1" w:themeTint="BF"/>
    </w:rPr>
  </w:style>
  <w:style w:type="paragraph" w:styleId="ListParagraph">
    <w:name w:val="List Paragraph"/>
    <w:basedOn w:val="Normal"/>
    <w:uiPriority w:val="34"/>
    <w:qFormat/>
    <w:rsid w:val="008A4F76"/>
    <w:pPr>
      <w:ind w:left="720"/>
      <w:contextualSpacing/>
    </w:pPr>
  </w:style>
  <w:style w:type="character" w:styleId="IntenseEmphasis">
    <w:name w:val="Intense Emphasis"/>
    <w:basedOn w:val="DefaultParagraphFont"/>
    <w:uiPriority w:val="21"/>
    <w:qFormat/>
    <w:rsid w:val="008A4F76"/>
    <w:rPr>
      <w:i/>
      <w:iCs/>
      <w:color w:val="0F4761" w:themeColor="accent1" w:themeShade="BF"/>
    </w:rPr>
  </w:style>
  <w:style w:type="paragraph" w:styleId="IntenseQuote">
    <w:name w:val="Intense Quote"/>
    <w:basedOn w:val="Normal"/>
    <w:next w:val="Normal"/>
    <w:link w:val="IntenseQuoteChar"/>
    <w:uiPriority w:val="30"/>
    <w:qFormat/>
    <w:rsid w:val="008A4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F76"/>
    <w:rPr>
      <w:i/>
      <w:iCs/>
      <w:color w:val="0F4761" w:themeColor="accent1" w:themeShade="BF"/>
    </w:rPr>
  </w:style>
  <w:style w:type="character" w:styleId="IntenseReference">
    <w:name w:val="Intense Reference"/>
    <w:basedOn w:val="DefaultParagraphFont"/>
    <w:uiPriority w:val="32"/>
    <w:qFormat/>
    <w:rsid w:val="008A4F76"/>
    <w:rPr>
      <w:b/>
      <w:bCs/>
      <w:smallCaps/>
      <w:color w:val="0F4761" w:themeColor="accent1" w:themeShade="BF"/>
      <w:spacing w:val="5"/>
    </w:rPr>
  </w:style>
  <w:style w:type="paragraph" w:customStyle="1" w:styleId="p1">
    <w:name w:val="p1"/>
    <w:basedOn w:val="Normal"/>
    <w:rsid w:val="007C4F8D"/>
    <w:pPr>
      <w:spacing w:after="0" w:line="240" w:lineRule="auto"/>
    </w:pPr>
    <w:rPr>
      <w:rFonts w:ascii="Helvetica" w:eastAsia="Times New Roman" w:hAnsi="Helvetica" w:cs="Times New Roman"/>
      <w:color w:val="000000"/>
      <w:kern w:val="0"/>
      <w:sz w:val="16"/>
      <w:szCs w:val="16"/>
      <w14:ligatures w14:val="none"/>
    </w:rPr>
  </w:style>
  <w:style w:type="paragraph" w:customStyle="1" w:styleId="p2">
    <w:name w:val="p2"/>
    <w:basedOn w:val="Normal"/>
    <w:rsid w:val="007C4F8D"/>
    <w:pPr>
      <w:spacing w:after="0" w:line="240" w:lineRule="auto"/>
    </w:pPr>
    <w:rPr>
      <w:rFonts w:ascii="Helvetica" w:eastAsia="Times New Roman" w:hAnsi="Helvetica" w:cs="Times New Roman"/>
      <w:color w:val="000000"/>
      <w:kern w:val="0"/>
      <w:sz w:val="17"/>
      <w:szCs w:val="17"/>
      <w14:ligatures w14:val="none"/>
    </w:rPr>
  </w:style>
  <w:style w:type="paragraph" w:customStyle="1" w:styleId="p3">
    <w:name w:val="p3"/>
    <w:basedOn w:val="Normal"/>
    <w:rsid w:val="007C4F8D"/>
    <w:pPr>
      <w:spacing w:after="0" w:line="240" w:lineRule="auto"/>
    </w:pPr>
    <w:rPr>
      <w:rFonts w:ascii="Helvetica" w:eastAsia="Times New Roman" w:hAnsi="Helvetica" w:cs="Times New Roman"/>
      <w:color w:val="000000"/>
      <w:kern w:val="0"/>
      <w:sz w:val="16"/>
      <w:szCs w:val="16"/>
      <w14:ligatures w14:val="none"/>
    </w:rPr>
  </w:style>
  <w:style w:type="character" w:customStyle="1" w:styleId="s1">
    <w:name w:val="s1"/>
    <w:basedOn w:val="DefaultParagraphFont"/>
    <w:rsid w:val="007C4F8D"/>
    <w:rPr>
      <w:rFonts w:ascii="Helvetica" w:hAnsi="Helvetica" w:hint="default"/>
      <w:sz w:val="16"/>
      <w:szCs w:val="16"/>
    </w:rPr>
  </w:style>
  <w:style w:type="character" w:customStyle="1" w:styleId="s2">
    <w:name w:val="s2"/>
    <w:basedOn w:val="DefaultParagraphFont"/>
    <w:rsid w:val="007C4F8D"/>
    <w:rPr>
      <w:rFonts w:ascii="Helvetica" w:hAnsi="Helvetica" w:hint="default"/>
      <w:sz w:val="17"/>
      <w:szCs w:val="17"/>
    </w:rPr>
  </w:style>
  <w:style w:type="character" w:styleId="Hyperlink">
    <w:name w:val="Hyperlink"/>
    <w:basedOn w:val="DefaultParagraphFont"/>
    <w:uiPriority w:val="99"/>
    <w:unhideWhenUsed/>
    <w:rsid w:val="00805D62"/>
    <w:rPr>
      <w:color w:val="467886" w:themeColor="hyperlink"/>
      <w:u w:val="single"/>
    </w:rPr>
  </w:style>
  <w:style w:type="character" w:styleId="UnresolvedMention">
    <w:name w:val="Unresolved Mention"/>
    <w:basedOn w:val="DefaultParagraphFont"/>
    <w:uiPriority w:val="99"/>
    <w:semiHidden/>
    <w:unhideWhenUsed/>
    <w:rsid w:val="00805D62"/>
    <w:rPr>
      <w:color w:val="605E5C"/>
      <w:shd w:val="clear" w:color="auto" w:fill="E1DFDD"/>
    </w:rPr>
  </w:style>
  <w:style w:type="character" w:styleId="FollowedHyperlink">
    <w:name w:val="FollowedHyperlink"/>
    <w:basedOn w:val="DefaultParagraphFont"/>
    <w:uiPriority w:val="99"/>
    <w:semiHidden/>
    <w:unhideWhenUsed/>
    <w:rsid w:val="004A7645"/>
    <w:rPr>
      <w:color w:val="96607D" w:themeColor="followedHyperlink"/>
      <w:u w:val="single"/>
    </w:rPr>
  </w:style>
  <w:style w:type="paragraph" w:styleId="NormalWeb">
    <w:name w:val="Normal (Web)"/>
    <w:basedOn w:val="Normal"/>
    <w:uiPriority w:val="99"/>
    <w:unhideWhenUsed/>
    <w:rsid w:val="008C26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60471"/>
    <w:rPr>
      <w:i/>
      <w:iCs/>
    </w:rPr>
  </w:style>
  <w:style w:type="character" w:customStyle="1" w:styleId="ms-1">
    <w:name w:val="ms-1"/>
    <w:basedOn w:val="DefaultParagraphFont"/>
    <w:rsid w:val="00A60471"/>
  </w:style>
  <w:style w:type="character" w:customStyle="1" w:styleId="max-w-15ch">
    <w:name w:val="max-w-[15ch]"/>
    <w:basedOn w:val="DefaultParagraphFont"/>
    <w:rsid w:val="00A604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Greatti</dc:creator>
  <cp:keywords/>
  <dc:description/>
  <cp:lastModifiedBy>Yves Greatti</cp:lastModifiedBy>
  <cp:revision>3</cp:revision>
  <dcterms:created xsi:type="dcterms:W3CDTF">2025-10-05T21:29:00Z</dcterms:created>
  <dcterms:modified xsi:type="dcterms:W3CDTF">2025-10-05T21:30:00Z</dcterms:modified>
</cp:coreProperties>
</file>