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303" w14:textId="77777777" w:rsidR="00B52F8D" w:rsidRDefault="00B52F8D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1AD4718C" w14:textId="796CDE78" w:rsidR="00B52F8D" w:rsidRDefault="00790879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Mutations in the DNA encoding for isocitrate dehydrogenases (IDH) mutations</w:t>
      </w:r>
      <w:r w:rsidR="00D376FB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are established molecular markers in 70-80% of stage II or III in glioblastoma.</w:t>
      </w:r>
      <w:r w:rsidR="00D376FB">
        <w:rPr>
          <w:rFonts w:ascii="Helvetica" w:hAnsi="Helvetica"/>
          <w:sz w:val="18"/>
          <w:szCs w:val="18"/>
        </w:rPr>
        <w:t xml:space="preserve"> Among IDH1 mutations, R132H is the most common mutation (90%) in glioma. IDH1-R132H is expressed in other cancers </w:t>
      </w:r>
      <w:r w:rsidR="00B97F57">
        <w:rPr>
          <w:rFonts w:ascii="Helvetica" w:hAnsi="Helvetica"/>
          <w:sz w:val="18"/>
          <w:szCs w:val="18"/>
        </w:rPr>
        <w:t xml:space="preserve">so the visualization of the dynamics of the cancerous cells within the brain, and their lineage tracking using an animal model could help </w:t>
      </w:r>
      <w:r w:rsidR="009717FE">
        <w:rPr>
          <w:rFonts w:ascii="Helvetica" w:hAnsi="Helvetica"/>
          <w:sz w:val="18"/>
          <w:szCs w:val="18"/>
        </w:rPr>
        <w:t xml:space="preserve">as an </w:t>
      </w:r>
      <w:r w:rsidR="00BD39CB">
        <w:rPr>
          <w:rFonts w:ascii="Helvetica" w:hAnsi="Helvetica"/>
          <w:sz w:val="18"/>
          <w:szCs w:val="18"/>
        </w:rPr>
        <w:t>early predictor</w:t>
      </w:r>
      <w:r w:rsidR="009717FE">
        <w:rPr>
          <w:rFonts w:ascii="Helvetica" w:hAnsi="Helvetica"/>
          <w:sz w:val="18"/>
          <w:szCs w:val="18"/>
        </w:rPr>
        <w:t xml:space="preserve"> for grades 2 and 3 glioma</w:t>
      </w:r>
      <w:r w:rsidR="00B62705">
        <w:rPr>
          <w:rFonts w:ascii="Helvetica" w:hAnsi="Helvetica"/>
          <w:sz w:val="18"/>
          <w:szCs w:val="18"/>
        </w:rPr>
        <w:t xml:space="preserve">. There have been various </w:t>
      </w:r>
      <w:r w:rsidR="00F12704">
        <w:rPr>
          <w:rFonts w:ascii="Helvetica" w:hAnsi="Helvetica"/>
          <w:sz w:val="18"/>
          <w:szCs w:val="18"/>
        </w:rPr>
        <w:t>promising experiments</w:t>
      </w:r>
      <w:r w:rsidR="00451B3A">
        <w:rPr>
          <w:rFonts w:ascii="Helvetica" w:hAnsi="Helvetica"/>
          <w:sz w:val="18"/>
          <w:szCs w:val="18"/>
        </w:rPr>
        <w:t xml:space="preserve"> on mice regarding </w:t>
      </w:r>
      <w:r w:rsidR="00451B3A">
        <w:rPr>
          <w:rFonts w:ascii="Helvetica" w:hAnsi="Helvetica"/>
          <w:sz w:val="18"/>
          <w:szCs w:val="18"/>
        </w:rPr>
        <w:t xml:space="preserve">vaccinations, or immunizations </w:t>
      </w:r>
      <w:r w:rsidR="00B62705">
        <w:rPr>
          <w:rFonts w:ascii="Helvetica" w:hAnsi="Helvetica"/>
          <w:sz w:val="18"/>
          <w:szCs w:val="18"/>
        </w:rPr>
        <w:t>targeting IDH1-R132H</w:t>
      </w:r>
      <w:r w:rsidR="00451B3A">
        <w:rPr>
          <w:rFonts w:ascii="Helvetica" w:hAnsi="Helvetica"/>
          <w:sz w:val="18"/>
          <w:szCs w:val="18"/>
        </w:rPr>
        <w:t>.</w:t>
      </w:r>
      <w:r w:rsidR="00B62705">
        <w:rPr>
          <w:rFonts w:ascii="Helvetica" w:hAnsi="Helvetica"/>
          <w:sz w:val="18"/>
          <w:szCs w:val="18"/>
        </w:rPr>
        <w:t xml:space="preserve"> </w:t>
      </w:r>
    </w:p>
    <w:p w14:paraId="5AFF976C" w14:textId="1A6100B3" w:rsidR="005915B9" w:rsidRDefault="005915B9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2875C8D2" w14:textId="764D41CA" w:rsidR="005915B9" w:rsidRDefault="005915B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 w:rsidRPr="005915B9">
        <w:rPr>
          <w:rFonts w:ascii="Helvetica" w:hAnsi="Helvetica" w:cstheme="minorHAnsi"/>
          <w:b/>
          <w:bCs/>
          <w:sz w:val="18"/>
          <w:szCs w:val="18"/>
          <w:u w:val="single"/>
        </w:rPr>
        <w:t>Biological question</w:t>
      </w:r>
      <w:r w:rsidRPr="005915B9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Develop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animal model </w:t>
      </w:r>
      <w:proofErr w:type="spellStart"/>
      <w:r w:rsidR="00451B3A">
        <w:rPr>
          <w:rFonts w:ascii="Helvetica" w:hAnsi="Helvetica" w:cstheme="minorHAnsi"/>
          <w:sz w:val="18"/>
          <w:szCs w:val="18"/>
        </w:rPr>
        <w:t>expre</w:t>
      </w:r>
      <w:r w:rsidR="00A34D20">
        <w:rPr>
          <w:rFonts w:ascii="Helvetica" w:hAnsi="Helvetica" w:cstheme="minorHAnsi"/>
          <w:sz w:val="18"/>
          <w:szCs w:val="18"/>
        </w:rPr>
        <w:t>s</w:t>
      </w:r>
      <w:r w:rsidR="00451B3A">
        <w:rPr>
          <w:rFonts w:ascii="Helvetica" w:hAnsi="Helvetica" w:cstheme="minorHAnsi"/>
          <w:sz w:val="18"/>
          <w:szCs w:val="18"/>
        </w:rPr>
        <w:t>ssing</w:t>
      </w:r>
      <w:proofErr w:type="spellEnd"/>
      <w:r w:rsidR="00451B3A">
        <w:rPr>
          <w:rFonts w:ascii="Helvetica" w:hAnsi="Helvetica" w:cstheme="minorHAnsi"/>
          <w:sz w:val="18"/>
          <w:szCs w:val="18"/>
        </w:rPr>
        <w:t xml:space="preserve"> </w:t>
      </w:r>
      <w:r w:rsidR="00451B3A">
        <w:rPr>
          <w:rFonts w:ascii="Helvetica" w:hAnsi="Helvetica" w:cstheme="minorHAnsi"/>
          <w:sz w:val="18"/>
          <w:szCs w:val="18"/>
        </w:rPr>
        <w:t>IDH1</w:t>
      </w:r>
      <w:r w:rsidR="00451B3A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451B3A">
        <w:rPr>
          <w:rFonts w:ascii="Helvetica" w:hAnsi="Helvetica" w:cstheme="minorHAnsi"/>
          <w:sz w:val="18"/>
          <w:szCs w:val="18"/>
        </w:rPr>
        <w:t xml:space="preserve"> in the brain subventricular zone (SVS) </w:t>
      </w:r>
      <w:r>
        <w:rPr>
          <w:rFonts w:ascii="Helvetica" w:hAnsi="Helvetica" w:cstheme="minorHAnsi"/>
          <w:sz w:val="18"/>
          <w:szCs w:val="18"/>
        </w:rPr>
        <w:t>to visualize expansion and spread of the oncogene IDH1</w:t>
      </w:r>
      <w:r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>
        <w:rPr>
          <w:rFonts w:ascii="Helvetica" w:hAnsi="Helvetica" w:cstheme="minorHAnsi"/>
          <w:sz w:val="18"/>
          <w:szCs w:val="18"/>
        </w:rPr>
        <w:t>.</w:t>
      </w:r>
      <w:r w:rsidR="00B62705">
        <w:rPr>
          <w:rFonts w:ascii="Helvetica" w:hAnsi="Helvetica" w:cstheme="minorHAnsi"/>
          <w:sz w:val="18"/>
          <w:szCs w:val="18"/>
        </w:rPr>
        <w:t xml:space="preserve"> Investigate cell migration in term of speed and diffusion across tissues.</w:t>
      </w:r>
    </w:p>
    <w:p w14:paraId="3B578FCB" w14:textId="6A702DCC" w:rsidR="00B62705" w:rsidRDefault="00B62705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68C7E295" w14:textId="0B66FE52" w:rsidR="00236255" w:rsidRPr="00236255" w:rsidRDefault="00152D15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use the study by </w:t>
      </w:r>
      <w:proofErr w:type="spellStart"/>
      <w:r>
        <w:rPr>
          <w:rFonts w:ascii="Helvetica" w:hAnsi="Helvetica" w:cstheme="minorHAnsi"/>
          <w:sz w:val="18"/>
          <w:szCs w:val="18"/>
        </w:rPr>
        <w:t>Bardella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et al. to generate a mouse model of glioma </w:t>
      </w:r>
      <w:r w:rsidR="00236255">
        <w:rPr>
          <w:rFonts w:ascii="Helvetica" w:hAnsi="Helvetica" w:cstheme="minorHAnsi"/>
          <w:sz w:val="18"/>
          <w:szCs w:val="18"/>
        </w:rPr>
        <w:t>by expressing IDH1-R132H in the subventricular zone (SVZ) in the brains of adult mice. The IDH1</w:t>
      </w:r>
      <w:r w:rsidR="00236255" w:rsidRPr="00236255">
        <w:rPr>
          <w:rFonts w:ascii="Helvetica" w:hAnsi="Helvetica" w:cstheme="minorHAnsi"/>
          <w:sz w:val="18"/>
          <w:szCs w:val="18"/>
          <w:vertAlign w:val="superscript"/>
        </w:rPr>
        <w:t>fi(R132H)/+</w:t>
      </w:r>
      <w:r w:rsidR="00236255">
        <w:rPr>
          <w:rFonts w:ascii="Helvetica" w:hAnsi="Helvetica" w:cstheme="minorHAnsi"/>
          <w:sz w:val="18"/>
          <w:szCs w:val="18"/>
        </w:rPr>
        <w:t xml:space="preserve">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knockin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mice</w:t>
      </w:r>
      <w:r w:rsidR="00DD0AC5">
        <w:rPr>
          <w:rStyle w:val="FootnoteReference"/>
          <w:rFonts w:ascii="Helvetica" w:hAnsi="Helvetica" w:cstheme="minorHAnsi"/>
          <w:sz w:val="18"/>
          <w:szCs w:val="18"/>
        </w:rPr>
        <w:footnoteReference w:id="1"/>
      </w:r>
      <w:r w:rsidR="00236255">
        <w:rPr>
          <w:rFonts w:ascii="Helvetica" w:hAnsi="Helvetica" w:cstheme="minorHAnsi"/>
          <w:sz w:val="18"/>
          <w:szCs w:val="18"/>
        </w:rPr>
        <w:t xml:space="preserve"> showed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hydrocephalsys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and expanded lateral ventricles with an accumulation of D isomer of 2-hydroxyglutarate (D2HG) and a reduction of alpha-ketoglutarate (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236255">
        <w:rPr>
          <w:rFonts w:ascii="Helvetica" w:hAnsi="Helvetica" w:cstheme="minorHAnsi"/>
          <w:sz w:val="18"/>
          <w:szCs w:val="18"/>
        </w:rPr>
        <w:t xml:space="preserve">-KG). </w:t>
      </w:r>
    </w:p>
    <w:p w14:paraId="5240346F" w14:textId="0500C8AF" w:rsidR="00EF7CB4" w:rsidRDefault="00F12704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Once the germline transmission of the mutant allele established, we will engineer and validate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mouse model.</w:t>
      </w:r>
      <w:r w:rsidR="00B04F82">
        <w:rPr>
          <w:rFonts w:ascii="Helvetica" w:hAnsi="Helvetica" w:cstheme="minorHAnsi"/>
          <w:sz w:val="18"/>
          <w:szCs w:val="18"/>
        </w:rPr>
        <w:t xml:space="preserve"> We will follow the methodology detailed in [1].  The cancer rainbow (</w:t>
      </w:r>
      <w:proofErr w:type="spellStart"/>
      <w:r w:rsidR="00B04F82">
        <w:rPr>
          <w:rFonts w:ascii="Helvetica" w:hAnsi="Helvetica" w:cstheme="minorHAnsi"/>
          <w:sz w:val="18"/>
          <w:szCs w:val="18"/>
        </w:rPr>
        <w:t>crainbow</w:t>
      </w:r>
      <w:proofErr w:type="spellEnd"/>
      <w:r w:rsidR="00B04F82">
        <w:rPr>
          <w:rFonts w:ascii="Helvetica" w:hAnsi="Helvetica" w:cstheme="minorHAnsi"/>
          <w:sz w:val="18"/>
          <w:szCs w:val="18"/>
        </w:rPr>
        <w:t xml:space="preserve"> transgene has 4 positions that either express an inert fluorescent protein (position 0), or 3 spectrally resolvable fluorescent proteins paired with an oncogenic mutation of choice (positions 1-3) which in our case, is the mutated </w:t>
      </w:r>
      <w:r w:rsidR="00B04F82">
        <w:rPr>
          <w:rFonts w:ascii="Helvetica" w:hAnsi="Helvetica" w:cstheme="minorHAnsi"/>
          <w:sz w:val="18"/>
          <w:szCs w:val="18"/>
        </w:rPr>
        <w:t>IDH1</w:t>
      </w:r>
      <w:r w:rsidR="00B04F82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B04F82">
        <w:rPr>
          <w:rFonts w:ascii="Helvetica" w:hAnsi="Helvetica" w:cstheme="minorHAnsi"/>
          <w:sz w:val="18"/>
          <w:szCs w:val="18"/>
          <w:vertAlign w:val="superscript"/>
        </w:rPr>
        <w:t xml:space="preserve"> </w:t>
      </w:r>
      <w:r w:rsidR="00B04F82">
        <w:rPr>
          <w:rFonts w:ascii="Helvetica" w:hAnsi="Helvetica" w:cstheme="minorHAnsi"/>
          <w:sz w:val="18"/>
          <w:szCs w:val="18"/>
        </w:rPr>
        <w:t xml:space="preserve">gene. </w:t>
      </w:r>
      <w:r w:rsidR="00EF7CB4">
        <w:rPr>
          <w:rFonts w:ascii="Helvetica" w:hAnsi="Helvetica" w:cstheme="minorHAnsi"/>
          <w:sz w:val="18"/>
          <w:szCs w:val="18"/>
        </w:rPr>
        <w:t xml:space="preserve">Each R132H allele is co-expressed with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TagBFP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(cyan), mTFP1 (yellow), or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mKO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(magenta). </w:t>
      </w:r>
      <w:r w:rsidR="00B04F82">
        <w:rPr>
          <w:rFonts w:ascii="Helvetica" w:hAnsi="Helvetica" w:cstheme="minorHAnsi"/>
          <w:sz w:val="18"/>
          <w:szCs w:val="18"/>
        </w:rPr>
        <w:t xml:space="preserve">The construct </w:t>
      </w:r>
      <w:r w:rsidR="00EF7CB4">
        <w:rPr>
          <w:rFonts w:ascii="Helvetica" w:hAnsi="Helvetica" w:cstheme="minorHAnsi"/>
          <w:sz w:val="18"/>
          <w:szCs w:val="18"/>
        </w:rPr>
        <w:t xml:space="preserve">is further optimized to provide a rich fluorescent protein palette (XFP) by the expression of a membrane-targeted and chemically inducible near-infrared </w:t>
      </w:r>
      <w:proofErr w:type="spellStart"/>
      <w:r w:rsidR="00EF7CB4">
        <w:rPr>
          <w:rFonts w:ascii="Helvetica" w:hAnsi="Helvetica" w:cstheme="minorHAnsi"/>
          <w:sz w:val="18"/>
          <w:szCs w:val="18"/>
        </w:rPr>
        <w:t>fluoregen</w:t>
      </w:r>
      <w:proofErr w:type="spellEnd"/>
      <w:r w:rsidR="00EF7CB4">
        <w:rPr>
          <w:rFonts w:ascii="Helvetica" w:hAnsi="Helvetica" w:cstheme="minorHAnsi"/>
          <w:sz w:val="18"/>
          <w:szCs w:val="18"/>
        </w:rPr>
        <w:t xml:space="preserve">-activating peptide (Fap-Mars1) as a control. </w:t>
      </w:r>
    </w:p>
    <w:p w14:paraId="0A1F98E0" w14:textId="1D723543" w:rsidR="009C2A23" w:rsidRDefault="009C2A23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We will then follow a multi-step process to analyze the collective mobility of the investigated brain cancer cells:</w:t>
      </w:r>
    </w:p>
    <w:p w14:paraId="0ACFFC62" w14:textId="1C1A406D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Brain mouse organoids will be then made according to established protocols. </w:t>
      </w:r>
    </w:p>
    <w:p w14:paraId="15D0C420" w14:textId="2AAF57C7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use an RNA Protein detection assay such as the </w:t>
      </w:r>
      <w:proofErr w:type="spellStart"/>
      <w:r>
        <w:rPr>
          <w:rFonts w:ascii="Helvetica" w:hAnsi="Helvetica" w:cstheme="minorHAnsi"/>
          <w:sz w:val="18"/>
          <w:szCs w:val="18"/>
        </w:rPr>
        <w:t>RNAScope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Kits from ACD to identify mRNA targets in FFPE tissues sections from </w:t>
      </w:r>
      <w:proofErr w:type="spellStart"/>
      <w:r>
        <w:rPr>
          <w:rFonts w:ascii="Helvetica" w:hAnsi="Helvetica" w:cstheme="minorHAnsi"/>
          <w:sz w:val="18"/>
          <w:szCs w:val="18"/>
        </w:rPr>
        <w:t>Crainbow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mice brain. </w:t>
      </w:r>
    </w:p>
    <w:p w14:paraId="5C7A690D" w14:textId="0ADBA13F" w:rsidR="00B046D2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follow </w:t>
      </w:r>
      <w:r w:rsidR="009C2A23">
        <w:rPr>
          <w:rFonts w:ascii="Helvetica" w:hAnsi="Helvetica" w:cstheme="minorHAnsi"/>
          <w:sz w:val="18"/>
          <w:szCs w:val="18"/>
        </w:rPr>
        <w:t xml:space="preserve">a single-cell </w:t>
      </w:r>
      <w:proofErr w:type="spellStart"/>
      <w:r w:rsidR="009C2A23">
        <w:rPr>
          <w:rFonts w:ascii="Helvetica" w:hAnsi="Helvetica" w:cstheme="minorHAnsi"/>
          <w:sz w:val="18"/>
          <w:szCs w:val="18"/>
        </w:rPr>
        <w:t>RNASeq</w:t>
      </w:r>
      <w:proofErr w:type="spellEnd"/>
      <w:r w:rsidR="009C2A23">
        <w:rPr>
          <w:rFonts w:ascii="Helvetica" w:hAnsi="Helvetica" w:cstheme="minorHAnsi"/>
          <w:sz w:val="18"/>
          <w:szCs w:val="18"/>
        </w:rPr>
        <w:t xml:space="preserve"> protocol which will involve in turn </w:t>
      </w:r>
      <w:r w:rsidR="002926AD">
        <w:rPr>
          <w:rFonts w:ascii="Helvetica" w:hAnsi="Helvetica" w:cstheme="minorHAnsi"/>
          <w:sz w:val="18"/>
          <w:szCs w:val="18"/>
        </w:rPr>
        <w:t>a few</w:t>
      </w:r>
      <w:r w:rsidR="009C2A23">
        <w:rPr>
          <w:rFonts w:ascii="Helvetica" w:hAnsi="Helvetica" w:cstheme="minorHAnsi"/>
          <w:sz w:val="18"/>
          <w:szCs w:val="18"/>
        </w:rPr>
        <w:t xml:space="preserve"> steps:</w:t>
      </w:r>
    </w:p>
    <w:p w14:paraId="3F837416" w14:textId="5FA516AE" w:rsidR="009C2A23" w:rsidRDefault="002926AD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C</w:t>
      </w:r>
      <w:r w:rsidR="009C2A23">
        <w:rPr>
          <w:rFonts w:ascii="Helvetica" w:hAnsi="Helvetica" w:cstheme="minorHAnsi"/>
          <w:sz w:val="18"/>
          <w:szCs w:val="18"/>
        </w:rPr>
        <w:t>ell isolation (we can use a single-cell isolator for single cell capture)</w:t>
      </w:r>
    </w:p>
    <w:p w14:paraId="4DF22C6E" w14:textId="76F3091C" w:rsidR="009C2A23" w:rsidRDefault="009C2A23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Build of gene matrices (or expression </w:t>
      </w:r>
      <w:r w:rsidR="003E7BFD">
        <w:rPr>
          <w:rFonts w:ascii="Helvetica" w:hAnsi="Helvetica" w:cstheme="minorHAnsi"/>
          <w:sz w:val="18"/>
          <w:szCs w:val="18"/>
        </w:rPr>
        <w:t>matrix</w:t>
      </w:r>
      <w:r>
        <w:rPr>
          <w:rFonts w:ascii="Helvetica" w:hAnsi="Helvetica" w:cstheme="minorHAnsi"/>
          <w:sz w:val="18"/>
          <w:szCs w:val="18"/>
        </w:rPr>
        <w:t xml:space="preserve"> in </w:t>
      </w:r>
      <w:proofErr w:type="spellStart"/>
      <w:r>
        <w:rPr>
          <w:rFonts w:ascii="Helvetica" w:hAnsi="Helvetica" w:cstheme="minorHAnsi"/>
          <w:sz w:val="18"/>
          <w:szCs w:val="18"/>
        </w:rPr>
        <w:t>scRnaSeq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methodology)</w:t>
      </w:r>
    </w:p>
    <w:p w14:paraId="5E184301" w14:textId="5B6EAF8E" w:rsidR="009C2A23" w:rsidRDefault="009C2A23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Feature selectio</w:t>
      </w:r>
      <w:r w:rsidR="002926AD">
        <w:rPr>
          <w:rFonts w:ascii="Helvetica" w:hAnsi="Helvetica" w:cstheme="minorHAnsi"/>
          <w:sz w:val="18"/>
          <w:szCs w:val="18"/>
        </w:rPr>
        <w:t xml:space="preserve">n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 xml:space="preserve">Dimensionality reduction </w:t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Cell-cell distance matrix</w:t>
      </w:r>
    </w:p>
    <w:p w14:paraId="5F8D0BC1" w14:textId="2931C573" w:rsidR="002926AD" w:rsidRPr="00E60F3D" w:rsidRDefault="009C2A23" w:rsidP="00D774BA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Unsupervised clustering </w:t>
      </w:r>
      <w:r w:rsidR="002926AD">
        <w:rPr>
          <w:rFonts w:ascii="Helvetica" w:hAnsi="Helvetica" w:cstheme="minorHAnsi"/>
          <w:sz w:val="18"/>
          <w:szCs w:val="18"/>
        </w:rPr>
        <w:t>for identification of cell populations</w:t>
      </w:r>
    </w:p>
    <w:p w14:paraId="0C94A6FC" w14:textId="592FDD78" w:rsidR="002926AD" w:rsidRDefault="00E60F3D" w:rsidP="00E60F3D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Excitation laser will be performed for image acquisition, preprocessed to remove </w:t>
      </w:r>
      <w:r w:rsidR="002F6ED1">
        <w:rPr>
          <w:rFonts w:ascii="Helvetica" w:hAnsi="Helvetica" w:cstheme="minorHAnsi"/>
          <w:sz w:val="18"/>
          <w:szCs w:val="18"/>
        </w:rPr>
        <w:t>noise, followed</w:t>
      </w:r>
      <w:r>
        <w:rPr>
          <w:rFonts w:ascii="Helvetica" w:hAnsi="Helvetica" w:cstheme="minorHAnsi"/>
          <w:sz w:val="18"/>
          <w:szCs w:val="18"/>
        </w:rPr>
        <w:t xml:space="preserve"> by various filtering techniques, and then analyzed.</w:t>
      </w:r>
    </w:p>
    <w:p w14:paraId="2F914AD3" w14:textId="6A27572B" w:rsidR="00B52F8D" w:rsidRDefault="00B52F8D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02480748" w14:textId="1ACFCB9C" w:rsidR="00E60F3D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Having identified clusters of subpopulations, we will then be able to identify </w:t>
      </w:r>
      <w:r w:rsidR="002F0EE8">
        <w:rPr>
          <w:rFonts w:ascii="Helvetica" w:hAnsi="Helvetica" w:cstheme="minorHAnsi"/>
          <w:sz w:val="18"/>
          <w:szCs w:val="18"/>
        </w:rPr>
        <w:t>cell lineage by their unique color</w:t>
      </w:r>
      <w:r>
        <w:rPr>
          <w:rFonts w:ascii="Helvetica" w:hAnsi="Helvetica" w:cstheme="minorHAnsi"/>
          <w:sz w:val="18"/>
          <w:szCs w:val="18"/>
        </w:rPr>
        <w:t xml:space="preserve"> and perform a displacement analysis using the following equations</w:t>
      </w:r>
    </w:p>
    <w:p w14:paraId="5512CEE1" w14:textId="6B22CFC8" w:rsidR="002F6ED1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Assuming that the cells follow a Brownian motion</w:t>
      </w:r>
      <w:r w:rsidR="002F0EE8">
        <w:rPr>
          <w:rFonts w:ascii="Helvetica" w:hAnsi="Helvetica" w:cstheme="minorHAnsi"/>
          <w:sz w:val="18"/>
          <w:szCs w:val="18"/>
        </w:rPr>
        <w:t>, the cells</w:t>
      </w:r>
    </w:p>
    <w:p w14:paraId="3D9F27BC" w14:textId="591B7A05" w:rsidR="002F6ED1" w:rsidRPr="002F0EE8" w:rsidRDefault="002F0E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r,t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e>
              </m:rad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en>
          </m:f>
        </m:oMath>
      </m:oMathPara>
    </w:p>
    <w:p w14:paraId="0E24EEF5" w14:textId="77777777" w:rsidR="002F0EE8" w:rsidRPr="002F0EE8" w:rsidRDefault="002F0E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266BA64" w14:textId="28175F8F" w:rsidR="002F0EE8" w:rsidRDefault="002F0E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mean squared displacement which describes the displacement of the cells as the average distance of the subpopulations of cells (identified by the same color) in a given time interval,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>:</w:t>
      </w:r>
    </w:p>
    <w:p w14:paraId="6049133C" w14:textId="31C727C5" w:rsidR="00CE00E8" w:rsidRPr="00CE00E8" w:rsidRDefault="002F0EE8" w:rsidP="00CE00E8">
      <w:pPr>
        <w:pStyle w:val="NoSpacing"/>
        <w:ind w:firstLine="720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MSD =  </w:t>
      </w:r>
      <m:oMath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en>
        </m:f>
      </m:oMath>
      <w:r w:rsidR="00CE00E8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theme="minorHAnsi"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n=1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p>
          <m:e/>
        </m:nary>
        <m:r>
          <w:rPr>
            <w:rFonts w:ascii="Cambria Math" w:hAnsi="Cambria Math" w:cstheme="minorHAnsi"/>
            <w:sz w:val="18"/>
            <w:szCs w:val="18"/>
          </w:rPr>
          <m:t>|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 |</m:t>
        </m:r>
      </m:oMath>
      <w:r w:rsidR="00CE00E8">
        <w:rPr>
          <w:rFonts w:ascii="Helvetica" w:hAnsi="Helvetica" w:cstheme="minorHAnsi"/>
          <w:sz w:val="18"/>
          <w:szCs w:val="18"/>
        </w:rPr>
        <w:t xml:space="preserve"> where N: total number of trajectories for all measured subpopulations </w:t>
      </w:r>
    </w:p>
    <w:p w14:paraId="2D22BC8B" w14:textId="4FCFCE47" w:rsid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</m:t>
        </m:r>
      </m:oMath>
      <w:r>
        <w:rPr>
          <w:rFonts w:ascii="Helvetica" w:hAnsi="Helvetica" w:cstheme="minorHAnsi"/>
          <w:sz w:val="18"/>
          <w:szCs w:val="18"/>
        </w:rPr>
        <w:t>: starting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trajectory</w:t>
      </w:r>
    </w:p>
    <w:p w14:paraId="33CA7B5C" w14:textId="79EB4CA3" w:rsidR="00CE00E8" w:rsidRPr="00CE00E8" w:rsidRDefault="00CE00E8" w:rsidP="00CE00E8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</m:oMath>
      <w:r>
        <w:rPr>
          <w:rFonts w:ascii="Helvetica" w:hAnsi="Helvetica" w:cstheme="minorHAnsi"/>
          <w:sz w:val="18"/>
          <w:szCs w:val="18"/>
        </w:rPr>
        <w:t>: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</w:t>
      </w:r>
      <w:r>
        <w:rPr>
          <w:rFonts w:ascii="Helvetica" w:hAnsi="Helvetica" w:cstheme="minorHAnsi"/>
          <w:sz w:val="18"/>
          <w:szCs w:val="18"/>
        </w:rPr>
        <w:t xml:space="preserve">after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</w:p>
    <w:p w14:paraId="722959A0" w14:textId="77777777" w:rsidR="00CE00E8" w:rsidRP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722F50DB" w14:textId="498A9794" w:rsid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 w:rsidRPr="00CE00E8">
        <w:rPr>
          <w:rFonts w:ascii="Helvetica" w:hAnsi="Helvetica" w:cstheme="minorHAnsi"/>
          <w:sz w:val="18"/>
          <w:szCs w:val="18"/>
        </w:rPr>
        <w:t>Instantaneous speed</w:t>
      </w:r>
      <w:r w:rsidR="0084471F">
        <w:rPr>
          <w:rFonts w:ascii="Helvetica" w:hAnsi="Helvetica" w:cstheme="minorHAnsi"/>
          <w:sz w:val="18"/>
          <w:szCs w:val="18"/>
        </w:rPr>
        <w:t xml:space="preserve">, V, at the </w:t>
      </w:r>
      <w:proofErr w:type="spellStart"/>
      <w:r w:rsidR="0084471F">
        <w:rPr>
          <w:rFonts w:ascii="Helvetica" w:hAnsi="Helvetica" w:cstheme="minorHAnsi"/>
          <w:sz w:val="18"/>
          <w:szCs w:val="18"/>
        </w:rPr>
        <w:t>i</w:t>
      </w:r>
      <w:r w:rsidR="0084471F" w:rsidRPr="0084471F">
        <w:rPr>
          <w:rFonts w:ascii="Helvetica" w:hAnsi="Helvetica" w:cstheme="minorHAnsi"/>
          <w:sz w:val="18"/>
          <w:szCs w:val="18"/>
          <w:vertAlign w:val="superscript"/>
        </w:rPr>
        <w:t>th</w:t>
      </w:r>
      <w:proofErr w:type="spellEnd"/>
      <w:r w:rsidR="0084471F">
        <w:rPr>
          <w:rFonts w:ascii="Helvetica" w:hAnsi="Helvetica" w:cstheme="minorHAnsi"/>
          <w:sz w:val="18"/>
          <w:szCs w:val="18"/>
        </w:rPr>
        <w:t xml:space="preserve"> step of a cell as the displacement </w:t>
      </w:r>
    </w:p>
    <w:p w14:paraId="6F2D18AA" w14:textId="3D1751E9" w:rsidR="00CE00E8" w:rsidRPr="0084471F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η</m:t>
        </m:r>
      </m:oMath>
      <w:r>
        <w:rPr>
          <w:rFonts w:ascii="Helvetica" w:hAnsi="Helvetica" w:cstheme="minorHAnsi"/>
          <w:sz w:val="18"/>
          <w:szCs w:val="18"/>
        </w:rPr>
        <w:t xml:space="preserve"> = | </w:t>
      </w:r>
      <w:r w:rsidRPr="00CE00E8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i</m:t>
            </m:r>
          </m:sub>
        </m:sSub>
      </m:oMath>
      <w:r>
        <w:rPr>
          <w:rFonts w:ascii="Helvetica" w:hAnsi="Helvetica" w:cstheme="minorHAnsi"/>
          <w:sz w:val="18"/>
          <w:szCs w:val="18"/>
        </w:rPr>
        <w:t xml:space="preserve">) |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18"/>
                <w:szCs w:val="18"/>
              </w:rPr>
              <m:t>-r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i-1</m:t>
                </m:r>
              </m:sub>
            </m:sSub>
          </m:den>
        </m:f>
      </m:oMath>
    </w:p>
    <w:p w14:paraId="484E6442" w14:textId="3BFE798C" w:rsidR="00CE00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A7B5AAA" w14:textId="6F412DB4" w:rsidR="0084471F" w:rsidRPr="0084471F" w:rsidRDefault="0084471F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migration speed of a cell, V, </w:t>
      </w:r>
      <w:r>
        <w:rPr>
          <w:rFonts w:ascii="Helvetica" w:hAnsi="Helvetica" w:cstheme="minorHAnsi"/>
          <w:sz w:val="18"/>
          <w:szCs w:val="18"/>
        </w:rPr>
        <w:t xml:space="preserve">is the mean over the entire length of the trajectory from  </w:t>
      </w:r>
      <w:proofErr w:type="spellStart"/>
      <w:r>
        <w:rPr>
          <w:rFonts w:ascii="Helvetica" w:hAnsi="Helvetica" w:cstheme="minorHAnsi"/>
          <w:sz w:val="18"/>
          <w:szCs w:val="18"/>
        </w:rPr>
        <w:t>i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= 1 to the total number of steps L</w:t>
      </w:r>
      <w:r>
        <w:rPr>
          <w:rFonts w:ascii="Helvetica" w:hAnsi="Helvetica" w:cstheme="minorHAnsi"/>
          <w:sz w:val="18"/>
          <w:szCs w:val="18"/>
        </w:rPr>
        <w:t xml:space="preserve">: </w:t>
      </w:r>
      <m:oMath>
        <m:r>
          <w:rPr>
            <w:rFonts w:ascii="Cambria Math" w:hAnsi="Cambria Math" w:cstheme="minorHAnsi"/>
            <w:sz w:val="18"/>
            <w:szCs w:val="18"/>
          </w:rPr>
          <m:t>V</m:t>
        </m:r>
      </m:oMath>
      <w:r>
        <w:rPr>
          <w:rFonts w:ascii="Helvetica" w:hAnsi="Helvetica" w:cstheme="minorHAnsi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den>
        </m:f>
      </m:oMath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η</m:t>
                </m: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ascii="Helvetica" w:hAnsi="Helvetica" w:cstheme="minorHAnsi"/>
          <w:sz w:val="18"/>
          <w:szCs w:val="18"/>
        </w:rPr>
        <w:t xml:space="preserve"> </w:t>
      </w:r>
    </w:p>
    <w:p w14:paraId="6939BEFF" w14:textId="77777777" w:rsidR="0084471F" w:rsidRPr="0084471F" w:rsidRDefault="0084471F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07147A6" w14:textId="1268CC45" w:rsidR="002F6ED1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21F0C9A3" w14:textId="77777777" w:rsidR="00E60F3D" w:rsidRDefault="00E60F3D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7B851DD0" w14:textId="30D4CD40" w:rsidR="00F04C5F" w:rsidRDefault="004A21DF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hyperlink r:id="rId8" w:history="1">
        <w:r w:rsidR="00B52F8D" w:rsidRPr="00646295">
          <w:rPr>
            <w:rStyle w:val="Hyperlink"/>
            <w:rFonts w:ascii="Helvetica" w:hAnsi="Helvetica"/>
            <w:sz w:val="18"/>
            <w:szCs w:val="18"/>
          </w:rPr>
          <w:t>https://cancercommunity.nature.com/posts/56926-a-cancer-rainbow-mouse-</w:t>
        </w:r>
        <w:r w:rsidR="00B52F8D" w:rsidRPr="00646295">
          <w:rPr>
            <w:rStyle w:val="Hyperlink"/>
            <w:rFonts w:ascii="Helvetica" w:hAnsi="Helvetica"/>
            <w:sz w:val="18"/>
            <w:szCs w:val="18"/>
          </w:rPr>
          <w:t>f</w:t>
        </w:r>
        <w:r w:rsidR="00B52F8D" w:rsidRPr="00646295">
          <w:rPr>
            <w:rStyle w:val="Hyperlink"/>
            <w:rFonts w:ascii="Helvetica" w:hAnsi="Helvetica"/>
            <w:sz w:val="18"/>
            <w:szCs w:val="18"/>
          </w:rPr>
          <w:t>or-visualizing-the-functional-genomics-of-oncogenic-clonal-expansion</w:t>
        </w:r>
      </w:hyperlink>
    </w:p>
    <w:p w14:paraId="3C168E7B" w14:textId="21A638F5" w:rsidR="00B56A3F" w:rsidRDefault="004A21DF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hyperlink r:id="rId9" w:history="1">
        <w:r w:rsidR="00B56A3F" w:rsidRPr="00646295">
          <w:rPr>
            <w:rStyle w:val="Hyperlink"/>
            <w:rFonts w:ascii="Helvetica" w:hAnsi="Helvetica"/>
            <w:sz w:val="18"/>
            <w:szCs w:val="18"/>
          </w:rPr>
          <w:t>https://ocw.mit.edu/courses/biology/7-341-of-mice-and-men-humanized-mice-in-cancer-research-spring-2015/lecture-summaries/</w:t>
        </w:r>
      </w:hyperlink>
    </w:p>
    <w:p w14:paraId="4B879474" w14:textId="6416F1DC" w:rsidR="00B56A3F" w:rsidRDefault="00B56A3F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5F4967C0" w14:textId="3D79A75C" w:rsidR="00F12704" w:rsidRDefault="00F12704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4F2305BD" wp14:editId="5159404E">
            <wp:extent cx="55118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8CA" w14:textId="14F35B75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57084489" w14:textId="77777777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75981098" w14:textId="733A1BFA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4CA5D19C" wp14:editId="125762E5">
            <wp:extent cx="5943600" cy="82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285B" w14:textId="0B4ECD6C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692B5CC2" w14:textId="77777777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4EA15E91" w14:textId="7D3C3BBC" w:rsidR="00A34D20" w:rsidRDefault="00A34D20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132AECEE" wp14:editId="7E3FF2A9">
            <wp:extent cx="5664200" cy="401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CC7" w14:textId="66A72CF9" w:rsidR="008A4AA6" w:rsidRDefault="008A4AA6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36752C84" w14:textId="6E06FA5E" w:rsidR="008A4AA6" w:rsidRPr="00D774BA" w:rsidRDefault="008A4AA6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1CBFEA9A" wp14:editId="41E2C372">
            <wp:extent cx="5943600" cy="200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AA6" w:rsidRPr="00D774BA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3DDE" w14:textId="77777777" w:rsidR="004A21DF" w:rsidRDefault="004A21DF" w:rsidP="00E42CFE">
      <w:r>
        <w:separator/>
      </w:r>
    </w:p>
  </w:endnote>
  <w:endnote w:type="continuationSeparator" w:id="0">
    <w:p w14:paraId="600A91F6" w14:textId="77777777" w:rsidR="004A21DF" w:rsidRDefault="004A21D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F379" w14:textId="77777777" w:rsidR="004A21DF" w:rsidRDefault="004A21DF" w:rsidP="00E42CFE">
      <w:r>
        <w:separator/>
      </w:r>
    </w:p>
  </w:footnote>
  <w:footnote w:type="continuationSeparator" w:id="0">
    <w:p w14:paraId="79CF79B6" w14:textId="77777777" w:rsidR="004A21DF" w:rsidRDefault="004A21DF" w:rsidP="00E42CFE">
      <w:r>
        <w:continuationSeparator/>
      </w:r>
    </w:p>
  </w:footnote>
  <w:footnote w:id="1">
    <w:p w14:paraId="09373854" w14:textId="4D4ED38F" w:rsidR="00DD0AC5" w:rsidRPr="00F12704" w:rsidRDefault="00DD0AC5">
      <w:pPr>
        <w:pStyle w:val="FootnoteText"/>
        <w:rPr>
          <w:rFonts w:ascii="Helvetica" w:hAnsi="Helvetica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F12704">
        <w:rPr>
          <w:rFonts w:ascii="Helvetica" w:hAnsi="Helvetica"/>
          <w:sz w:val="18"/>
          <w:szCs w:val="18"/>
        </w:rPr>
        <w:t>The knock</w:t>
      </w:r>
      <w:r w:rsidR="00F12704" w:rsidRPr="00F12704">
        <w:rPr>
          <w:rFonts w:ascii="Helvetica" w:hAnsi="Helvetica"/>
          <w:sz w:val="18"/>
          <w:szCs w:val="18"/>
        </w:rPr>
        <w:t>-</w:t>
      </w:r>
      <w:r w:rsidRPr="00F12704">
        <w:rPr>
          <w:rFonts w:ascii="Helvetica" w:hAnsi="Helvetica"/>
          <w:sz w:val="18"/>
          <w:szCs w:val="18"/>
        </w:rPr>
        <w:t>in region compr</w:t>
      </w:r>
      <w:r w:rsidR="00F12704" w:rsidRPr="00F12704">
        <w:rPr>
          <w:rFonts w:ascii="Helvetica" w:hAnsi="Helvetica"/>
          <w:sz w:val="18"/>
          <w:szCs w:val="18"/>
        </w:rPr>
        <w:t>i</w:t>
      </w:r>
      <w:r w:rsidRPr="00F12704">
        <w:rPr>
          <w:rFonts w:ascii="Helvetica" w:hAnsi="Helvetica"/>
          <w:sz w:val="18"/>
          <w:szCs w:val="18"/>
        </w:rPr>
        <w:t xml:space="preserve">sed a 5’ </w:t>
      </w:r>
      <w:proofErr w:type="spellStart"/>
      <w:r w:rsidRPr="00F12704">
        <w:rPr>
          <w:rFonts w:ascii="Helvetica" w:hAnsi="Helvetica"/>
          <w:sz w:val="18"/>
          <w:szCs w:val="18"/>
        </w:rPr>
        <w:t>loxP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site, a wildtype min-gene (exons 3-9 and 3’UTR), an SSV40 </w:t>
      </w:r>
      <w:proofErr w:type="spellStart"/>
      <w:r w:rsidRPr="00F12704">
        <w:rPr>
          <w:rFonts w:ascii="Helvetica" w:hAnsi="Helvetica"/>
          <w:sz w:val="18"/>
          <w:szCs w:val="18"/>
        </w:rPr>
        <w:t>polyA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signal, a </w:t>
      </w:r>
      <w:proofErr w:type="spellStart"/>
      <w:r w:rsidRPr="00F12704">
        <w:rPr>
          <w:rFonts w:ascii="Helvetica" w:hAnsi="Helvetica"/>
          <w:sz w:val="18"/>
          <w:szCs w:val="18"/>
        </w:rPr>
        <w:t>Neo</w:t>
      </w:r>
      <w:r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cassette flanked by </w:t>
      </w:r>
      <w:proofErr w:type="spellStart"/>
      <w:r w:rsidRPr="00F12704">
        <w:rPr>
          <w:rFonts w:ascii="Helvetica" w:hAnsi="Helvetica"/>
          <w:sz w:val="18"/>
          <w:szCs w:val="18"/>
        </w:rPr>
        <w:t>Frt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sites</w:t>
      </w:r>
      <w:r w:rsidR="00F12704" w:rsidRPr="00F12704">
        <w:rPr>
          <w:rFonts w:ascii="Helvetica" w:hAnsi="Helvetica"/>
          <w:sz w:val="18"/>
          <w:szCs w:val="18"/>
        </w:rPr>
        <w:t xml:space="preserve">, and a 3’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loxP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proofErr w:type="gramStart"/>
      <w:r w:rsidR="00F12704" w:rsidRPr="00F12704">
        <w:rPr>
          <w:rFonts w:ascii="Helvetica" w:hAnsi="Helvetica"/>
          <w:sz w:val="18"/>
          <w:szCs w:val="18"/>
        </w:rPr>
        <w:t>site.The</w:t>
      </w:r>
      <w:proofErr w:type="spellEnd"/>
      <w:proofErr w:type="gram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LoxFtNwCD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vector was injected into C57BL/6 ESS cells. The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Neo</w:t>
      </w:r>
      <w:r w:rsidR="00F12704"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</w:t>
      </w:r>
      <w:r w:rsidR="00F12704" w:rsidRPr="00F12704">
        <w:rPr>
          <w:rFonts w:ascii="Helvetica" w:hAnsi="Helvetica"/>
          <w:sz w:val="18"/>
          <w:szCs w:val="18"/>
        </w:rPr>
        <w:t xml:space="preserve">cassette was removed using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Cre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-mediated recombination and the R132H allele was knocked-in </w:t>
      </w:r>
      <w:r w:rsidR="00F12704" w:rsidRPr="00F12704">
        <w:rPr>
          <w:rFonts w:ascii="Helvetica" w:hAnsi="Helvetica"/>
          <w:i/>
          <w:iCs/>
          <w:sz w:val="18"/>
          <w:szCs w:val="18"/>
        </w:rPr>
        <w:t>in vivo</w:t>
      </w:r>
      <w:r w:rsidR="00F12704" w:rsidRPr="00F12704">
        <w:rPr>
          <w:rFonts w:ascii="Helvetica" w:hAnsi="Helvetica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31B19"/>
    <w:multiLevelType w:val="hybridMultilevel"/>
    <w:tmpl w:val="8DB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851D4"/>
    <w:multiLevelType w:val="hybridMultilevel"/>
    <w:tmpl w:val="28B06A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5072B"/>
    <w:multiLevelType w:val="hybridMultilevel"/>
    <w:tmpl w:val="3730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E5728"/>
    <w:multiLevelType w:val="hybridMultilevel"/>
    <w:tmpl w:val="C04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40437"/>
    <w:multiLevelType w:val="hybridMultilevel"/>
    <w:tmpl w:val="AE70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B62F4"/>
    <w:multiLevelType w:val="hybridMultilevel"/>
    <w:tmpl w:val="D2405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F7B04"/>
    <w:multiLevelType w:val="hybridMultilevel"/>
    <w:tmpl w:val="50D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22"/>
  </w:num>
  <w:num w:numId="5">
    <w:abstractNumId w:val="17"/>
  </w:num>
  <w:num w:numId="6">
    <w:abstractNumId w:val="30"/>
  </w:num>
  <w:num w:numId="7">
    <w:abstractNumId w:val="15"/>
  </w:num>
  <w:num w:numId="8">
    <w:abstractNumId w:val="18"/>
  </w:num>
  <w:num w:numId="9">
    <w:abstractNumId w:val="6"/>
  </w:num>
  <w:num w:numId="10">
    <w:abstractNumId w:val="36"/>
  </w:num>
  <w:num w:numId="11">
    <w:abstractNumId w:val="34"/>
  </w:num>
  <w:num w:numId="12">
    <w:abstractNumId w:val="14"/>
  </w:num>
  <w:num w:numId="13">
    <w:abstractNumId w:val="23"/>
  </w:num>
  <w:num w:numId="14">
    <w:abstractNumId w:val="25"/>
  </w:num>
  <w:num w:numId="15">
    <w:abstractNumId w:val="9"/>
  </w:num>
  <w:num w:numId="16">
    <w:abstractNumId w:val="27"/>
  </w:num>
  <w:num w:numId="17">
    <w:abstractNumId w:val="2"/>
  </w:num>
  <w:num w:numId="18">
    <w:abstractNumId w:val="21"/>
  </w:num>
  <w:num w:numId="19">
    <w:abstractNumId w:val="12"/>
  </w:num>
  <w:num w:numId="20">
    <w:abstractNumId w:val="19"/>
  </w:num>
  <w:num w:numId="21">
    <w:abstractNumId w:val="10"/>
  </w:num>
  <w:num w:numId="22">
    <w:abstractNumId w:val="3"/>
  </w:num>
  <w:num w:numId="23">
    <w:abstractNumId w:val="5"/>
  </w:num>
  <w:num w:numId="24">
    <w:abstractNumId w:val="35"/>
  </w:num>
  <w:num w:numId="25">
    <w:abstractNumId w:val="13"/>
  </w:num>
  <w:num w:numId="26">
    <w:abstractNumId w:val="32"/>
  </w:num>
  <w:num w:numId="27">
    <w:abstractNumId w:val="24"/>
  </w:num>
  <w:num w:numId="28">
    <w:abstractNumId w:val="20"/>
  </w:num>
  <w:num w:numId="29">
    <w:abstractNumId w:val="28"/>
  </w:num>
  <w:num w:numId="30">
    <w:abstractNumId w:val="33"/>
  </w:num>
  <w:num w:numId="31">
    <w:abstractNumId w:val="7"/>
  </w:num>
  <w:num w:numId="32">
    <w:abstractNumId w:val="11"/>
  </w:num>
  <w:num w:numId="33">
    <w:abstractNumId w:val="26"/>
  </w:num>
  <w:num w:numId="34">
    <w:abstractNumId w:val="8"/>
  </w:num>
  <w:num w:numId="35">
    <w:abstractNumId w:val="16"/>
  </w:num>
  <w:num w:numId="36">
    <w:abstractNumId w:val="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32013"/>
    <w:rsid w:val="00033D72"/>
    <w:rsid w:val="0003754B"/>
    <w:rsid w:val="00055644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D1E31"/>
    <w:rsid w:val="000D58C7"/>
    <w:rsid w:val="000F028A"/>
    <w:rsid w:val="000F0326"/>
    <w:rsid w:val="000F06AA"/>
    <w:rsid w:val="000F0A86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6591"/>
    <w:rsid w:val="00167243"/>
    <w:rsid w:val="001713B5"/>
    <w:rsid w:val="00171F95"/>
    <w:rsid w:val="001725B0"/>
    <w:rsid w:val="0017285D"/>
    <w:rsid w:val="00180E96"/>
    <w:rsid w:val="00182561"/>
    <w:rsid w:val="001862AF"/>
    <w:rsid w:val="00193BEF"/>
    <w:rsid w:val="001944E0"/>
    <w:rsid w:val="001A1A48"/>
    <w:rsid w:val="001A5971"/>
    <w:rsid w:val="001A601F"/>
    <w:rsid w:val="001A6BEA"/>
    <w:rsid w:val="001B624E"/>
    <w:rsid w:val="001C12C7"/>
    <w:rsid w:val="001D0EEA"/>
    <w:rsid w:val="001E3F21"/>
    <w:rsid w:val="001E4358"/>
    <w:rsid w:val="0020060A"/>
    <w:rsid w:val="0020421A"/>
    <w:rsid w:val="002230F4"/>
    <w:rsid w:val="002271F1"/>
    <w:rsid w:val="00227B94"/>
    <w:rsid w:val="002309EF"/>
    <w:rsid w:val="00236255"/>
    <w:rsid w:val="00236EF6"/>
    <w:rsid w:val="00257BC8"/>
    <w:rsid w:val="0027513E"/>
    <w:rsid w:val="00281B25"/>
    <w:rsid w:val="002853F7"/>
    <w:rsid w:val="0028615C"/>
    <w:rsid w:val="002917A0"/>
    <w:rsid w:val="002926AD"/>
    <w:rsid w:val="00296865"/>
    <w:rsid w:val="002A15A0"/>
    <w:rsid w:val="002B14D6"/>
    <w:rsid w:val="002B42E1"/>
    <w:rsid w:val="002B6BFB"/>
    <w:rsid w:val="002C20D7"/>
    <w:rsid w:val="002C2787"/>
    <w:rsid w:val="002D0745"/>
    <w:rsid w:val="002D404E"/>
    <w:rsid w:val="002D5E7A"/>
    <w:rsid w:val="002E0A9C"/>
    <w:rsid w:val="002E104B"/>
    <w:rsid w:val="002E21C7"/>
    <w:rsid w:val="002E24F8"/>
    <w:rsid w:val="002F0EE8"/>
    <w:rsid w:val="002F6ED1"/>
    <w:rsid w:val="00300C3D"/>
    <w:rsid w:val="00302726"/>
    <w:rsid w:val="00302C00"/>
    <w:rsid w:val="003070B7"/>
    <w:rsid w:val="003137C7"/>
    <w:rsid w:val="00335736"/>
    <w:rsid w:val="00335FD8"/>
    <w:rsid w:val="003501A5"/>
    <w:rsid w:val="00357A27"/>
    <w:rsid w:val="0036224B"/>
    <w:rsid w:val="0036421C"/>
    <w:rsid w:val="00365DA5"/>
    <w:rsid w:val="0038305D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3E7BFD"/>
    <w:rsid w:val="00401A15"/>
    <w:rsid w:val="004139FF"/>
    <w:rsid w:val="004150DD"/>
    <w:rsid w:val="00417E39"/>
    <w:rsid w:val="00421AB3"/>
    <w:rsid w:val="00421AB8"/>
    <w:rsid w:val="0043136B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90BA8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3DB5"/>
    <w:rsid w:val="004F5F38"/>
    <w:rsid w:val="00512F33"/>
    <w:rsid w:val="0052636E"/>
    <w:rsid w:val="00531863"/>
    <w:rsid w:val="00533C50"/>
    <w:rsid w:val="00553249"/>
    <w:rsid w:val="00557414"/>
    <w:rsid w:val="005646DE"/>
    <w:rsid w:val="005807A8"/>
    <w:rsid w:val="005877B5"/>
    <w:rsid w:val="005915B9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66664"/>
    <w:rsid w:val="00672F09"/>
    <w:rsid w:val="00675620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6B6D"/>
    <w:rsid w:val="006D6601"/>
    <w:rsid w:val="006E3854"/>
    <w:rsid w:val="006F191C"/>
    <w:rsid w:val="006F1C43"/>
    <w:rsid w:val="006F459E"/>
    <w:rsid w:val="006F47BF"/>
    <w:rsid w:val="006F5B05"/>
    <w:rsid w:val="006F6B7F"/>
    <w:rsid w:val="007158FF"/>
    <w:rsid w:val="007207EF"/>
    <w:rsid w:val="00722052"/>
    <w:rsid w:val="007222E5"/>
    <w:rsid w:val="00726746"/>
    <w:rsid w:val="0073470E"/>
    <w:rsid w:val="00735DB9"/>
    <w:rsid w:val="00756AF8"/>
    <w:rsid w:val="00763AE1"/>
    <w:rsid w:val="00772430"/>
    <w:rsid w:val="00776D0C"/>
    <w:rsid w:val="00786A6A"/>
    <w:rsid w:val="00790879"/>
    <w:rsid w:val="00792BE3"/>
    <w:rsid w:val="00793EE0"/>
    <w:rsid w:val="007A6122"/>
    <w:rsid w:val="007B2DCD"/>
    <w:rsid w:val="007B6931"/>
    <w:rsid w:val="007C47D9"/>
    <w:rsid w:val="007C6738"/>
    <w:rsid w:val="007E0B70"/>
    <w:rsid w:val="007F3A32"/>
    <w:rsid w:val="008060BE"/>
    <w:rsid w:val="00824944"/>
    <w:rsid w:val="0082693A"/>
    <w:rsid w:val="00827EB9"/>
    <w:rsid w:val="008330C4"/>
    <w:rsid w:val="00843A97"/>
    <w:rsid w:val="0084471F"/>
    <w:rsid w:val="00846332"/>
    <w:rsid w:val="0085624F"/>
    <w:rsid w:val="00862B58"/>
    <w:rsid w:val="008726B9"/>
    <w:rsid w:val="008761FF"/>
    <w:rsid w:val="00880E90"/>
    <w:rsid w:val="00885D5C"/>
    <w:rsid w:val="00893B6A"/>
    <w:rsid w:val="008A2AB6"/>
    <w:rsid w:val="008A4AA6"/>
    <w:rsid w:val="008A7B40"/>
    <w:rsid w:val="008B24AA"/>
    <w:rsid w:val="008C6DCF"/>
    <w:rsid w:val="008E1551"/>
    <w:rsid w:val="008E77D5"/>
    <w:rsid w:val="008F3BC4"/>
    <w:rsid w:val="008F47E1"/>
    <w:rsid w:val="008F5C68"/>
    <w:rsid w:val="0091756B"/>
    <w:rsid w:val="009224B8"/>
    <w:rsid w:val="00961A36"/>
    <w:rsid w:val="009717FE"/>
    <w:rsid w:val="00973D6A"/>
    <w:rsid w:val="00974626"/>
    <w:rsid w:val="00991AC3"/>
    <w:rsid w:val="00991B4A"/>
    <w:rsid w:val="009967A0"/>
    <w:rsid w:val="009A56F4"/>
    <w:rsid w:val="009B04F5"/>
    <w:rsid w:val="009B4185"/>
    <w:rsid w:val="009C2A23"/>
    <w:rsid w:val="009C7403"/>
    <w:rsid w:val="009D2501"/>
    <w:rsid w:val="009E269B"/>
    <w:rsid w:val="009F1044"/>
    <w:rsid w:val="009F2A68"/>
    <w:rsid w:val="009F3E9E"/>
    <w:rsid w:val="009F3FA7"/>
    <w:rsid w:val="009F5980"/>
    <w:rsid w:val="00A3292B"/>
    <w:rsid w:val="00A34D20"/>
    <w:rsid w:val="00A363E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D5C98"/>
    <w:rsid w:val="00AE7BB2"/>
    <w:rsid w:val="00AF2407"/>
    <w:rsid w:val="00AF6A15"/>
    <w:rsid w:val="00B0075D"/>
    <w:rsid w:val="00B014CD"/>
    <w:rsid w:val="00B01EE5"/>
    <w:rsid w:val="00B046D2"/>
    <w:rsid w:val="00B04F82"/>
    <w:rsid w:val="00B15D05"/>
    <w:rsid w:val="00B27555"/>
    <w:rsid w:val="00B35880"/>
    <w:rsid w:val="00B37F1E"/>
    <w:rsid w:val="00B42BA0"/>
    <w:rsid w:val="00B45A6A"/>
    <w:rsid w:val="00B52F8D"/>
    <w:rsid w:val="00B56A3F"/>
    <w:rsid w:val="00B62705"/>
    <w:rsid w:val="00B65301"/>
    <w:rsid w:val="00B67D43"/>
    <w:rsid w:val="00B729ED"/>
    <w:rsid w:val="00B75AB6"/>
    <w:rsid w:val="00B82442"/>
    <w:rsid w:val="00B94CAB"/>
    <w:rsid w:val="00B97F57"/>
    <w:rsid w:val="00BA0179"/>
    <w:rsid w:val="00BA05F3"/>
    <w:rsid w:val="00BB47CB"/>
    <w:rsid w:val="00BC7422"/>
    <w:rsid w:val="00BD0330"/>
    <w:rsid w:val="00BD1153"/>
    <w:rsid w:val="00BD3402"/>
    <w:rsid w:val="00BD39CB"/>
    <w:rsid w:val="00BD465B"/>
    <w:rsid w:val="00BD7622"/>
    <w:rsid w:val="00BE3A1E"/>
    <w:rsid w:val="00BF158A"/>
    <w:rsid w:val="00BF4257"/>
    <w:rsid w:val="00C024D9"/>
    <w:rsid w:val="00C068D9"/>
    <w:rsid w:val="00C22D0B"/>
    <w:rsid w:val="00C45983"/>
    <w:rsid w:val="00C51F16"/>
    <w:rsid w:val="00C56EA8"/>
    <w:rsid w:val="00C63CB1"/>
    <w:rsid w:val="00C65276"/>
    <w:rsid w:val="00C679F8"/>
    <w:rsid w:val="00C94271"/>
    <w:rsid w:val="00C94FD1"/>
    <w:rsid w:val="00CA1F40"/>
    <w:rsid w:val="00CA22FF"/>
    <w:rsid w:val="00CB366F"/>
    <w:rsid w:val="00CB3CDC"/>
    <w:rsid w:val="00CB5565"/>
    <w:rsid w:val="00CD7443"/>
    <w:rsid w:val="00CE00E8"/>
    <w:rsid w:val="00CF0B99"/>
    <w:rsid w:val="00D1103C"/>
    <w:rsid w:val="00D32306"/>
    <w:rsid w:val="00D3555A"/>
    <w:rsid w:val="00D376FB"/>
    <w:rsid w:val="00D401B9"/>
    <w:rsid w:val="00D56DC6"/>
    <w:rsid w:val="00D5761F"/>
    <w:rsid w:val="00D60F64"/>
    <w:rsid w:val="00D61256"/>
    <w:rsid w:val="00D63B7E"/>
    <w:rsid w:val="00D640CD"/>
    <w:rsid w:val="00D73AFC"/>
    <w:rsid w:val="00D774BA"/>
    <w:rsid w:val="00D81C26"/>
    <w:rsid w:val="00D8606B"/>
    <w:rsid w:val="00D86927"/>
    <w:rsid w:val="00D931ED"/>
    <w:rsid w:val="00DA049F"/>
    <w:rsid w:val="00DA7559"/>
    <w:rsid w:val="00DB0CA8"/>
    <w:rsid w:val="00DB2F4D"/>
    <w:rsid w:val="00DB2FCB"/>
    <w:rsid w:val="00DC52F2"/>
    <w:rsid w:val="00DD0AC5"/>
    <w:rsid w:val="00DD6BDF"/>
    <w:rsid w:val="00DD724C"/>
    <w:rsid w:val="00DD776C"/>
    <w:rsid w:val="00DF310D"/>
    <w:rsid w:val="00E07B74"/>
    <w:rsid w:val="00E13BC6"/>
    <w:rsid w:val="00E13E2F"/>
    <w:rsid w:val="00E157FA"/>
    <w:rsid w:val="00E22947"/>
    <w:rsid w:val="00E249CA"/>
    <w:rsid w:val="00E26291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90A08"/>
    <w:rsid w:val="00E919AA"/>
    <w:rsid w:val="00E95BF4"/>
    <w:rsid w:val="00EA0127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EF7CB4"/>
    <w:rsid w:val="00F017FE"/>
    <w:rsid w:val="00F04C5F"/>
    <w:rsid w:val="00F12704"/>
    <w:rsid w:val="00F14D4B"/>
    <w:rsid w:val="00F30527"/>
    <w:rsid w:val="00F3079E"/>
    <w:rsid w:val="00F4454A"/>
    <w:rsid w:val="00F5072A"/>
    <w:rsid w:val="00F5138A"/>
    <w:rsid w:val="00F54C8A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B12EC"/>
    <w:rsid w:val="00FB18AF"/>
    <w:rsid w:val="00FC0C9A"/>
    <w:rsid w:val="00FC16C7"/>
    <w:rsid w:val="00FC3135"/>
    <w:rsid w:val="00FD3A65"/>
    <w:rsid w:val="00FD4A42"/>
    <w:rsid w:val="00FD73E6"/>
    <w:rsid w:val="00FD7DC2"/>
    <w:rsid w:val="00FE067C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community.nature.com/posts/56926-a-cancer-rainbow-mouse-for-visualizing-the-functional-genomics-of-oncogenic-clonal-expansi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cw.mit.edu/courses/biology/7-341-of-mice-and-men-humanized-mice-in-cancer-research-spring-2015/lecture-summari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18</cp:revision>
  <cp:lastPrinted>2021-09-27T00:52:00Z</cp:lastPrinted>
  <dcterms:created xsi:type="dcterms:W3CDTF">2021-09-27T00:52:00Z</dcterms:created>
  <dcterms:modified xsi:type="dcterms:W3CDTF">2021-10-06T03:41:00Z</dcterms:modified>
</cp:coreProperties>
</file>