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33C2" w14:textId="2C43CB05" w:rsidR="00771597" w:rsidRDefault="009C2A94" w:rsidP="009C2A94">
      <w:pPr>
        <w:pStyle w:val="NormalWeb"/>
        <w:numPr>
          <w:ilvl w:val="0"/>
          <w:numId w:val="24"/>
        </w:numPr>
        <w:rPr>
          <w:rFonts w:ascii="Helvetica" w:hAnsi="Helvetica"/>
          <w:sz w:val="18"/>
          <w:szCs w:val="18"/>
        </w:rPr>
      </w:pPr>
      <w:r w:rsidRPr="009C2A94">
        <w:rPr>
          <w:rFonts w:ascii="Helvetica" w:hAnsi="Helvetica"/>
          <w:sz w:val="18"/>
          <w:szCs w:val="18"/>
        </w:rPr>
        <w:t xml:space="preserve">Fernando model </w:t>
      </w:r>
      <w:r w:rsidR="00FE616A">
        <w:rPr>
          <w:rFonts w:ascii="Helvetica" w:hAnsi="Helvetica"/>
          <w:sz w:val="18"/>
          <w:szCs w:val="18"/>
        </w:rPr>
        <w:t>investigates if optogenetic stimulation of the medial prefrontal cortex (</w:t>
      </w:r>
      <w:proofErr w:type="spellStart"/>
      <w:r w:rsidR="00FE616A">
        <w:rPr>
          <w:rFonts w:ascii="Helvetica" w:hAnsi="Helvetica"/>
          <w:sz w:val="18"/>
          <w:szCs w:val="18"/>
        </w:rPr>
        <w:t>mPFC</w:t>
      </w:r>
      <w:proofErr w:type="spellEnd"/>
      <w:r w:rsidR="00FE616A">
        <w:rPr>
          <w:rFonts w:ascii="Helvetica" w:hAnsi="Helvetica"/>
          <w:sz w:val="18"/>
          <w:szCs w:val="18"/>
        </w:rPr>
        <w:t xml:space="preserve">) in </w:t>
      </w:r>
      <w:r w:rsidRPr="009C2A94">
        <w:rPr>
          <w:rFonts w:ascii="Helvetica" w:hAnsi="Helvetica"/>
          <w:sz w:val="18"/>
          <w:szCs w:val="18"/>
        </w:rPr>
        <w:t>SAMP-P/8 m</w:t>
      </w:r>
      <w:r>
        <w:rPr>
          <w:rFonts w:ascii="Helvetica" w:hAnsi="Helvetica"/>
          <w:sz w:val="18"/>
          <w:szCs w:val="18"/>
        </w:rPr>
        <w:t>ice</w:t>
      </w:r>
      <w:r w:rsidRPr="009C2A94">
        <w:rPr>
          <w:rFonts w:ascii="Helvetica" w:hAnsi="Helvetica"/>
          <w:sz w:val="18"/>
          <w:szCs w:val="18"/>
        </w:rPr>
        <w:t xml:space="preserve"> injected with AAV-CHR2 </w:t>
      </w:r>
      <w:r w:rsidR="00FE616A">
        <w:rPr>
          <w:rFonts w:ascii="Helvetica" w:hAnsi="Helvetica"/>
          <w:sz w:val="18"/>
          <w:szCs w:val="18"/>
        </w:rPr>
        <w:t>compared to non-stimulated similar mice show improved cognitiv</w:t>
      </w:r>
      <w:r w:rsidR="00B1193D">
        <w:rPr>
          <w:rFonts w:ascii="Helvetica" w:hAnsi="Helvetica"/>
          <w:sz w:val="18"/>
          <w:szCs w:val="18"/>
        </w:rPr>
        <w:t xml:space="preserve">e </w:t>
      </w:r>
      <w:r w:rsidR="008B3BA0">
        <w:rPr>
          <w:rFonts w:ascii="Helvetica" w:hAnsi="Helvetica"/>
          <w:sz w:val="18"/>
          <w:szCs w:val="18"/>
        </w:rPr>
        <w:t>performance</w:t>
      </w:r>
      <w:r w:rsidR="00FE616A">
        <w:rPr>
          <w:rFonts w:ascii="Helvetica" w:hAnsi="Helvetica"/>
          <w:sz w:val="18"/>
          <w:szCs w:val="18"/>
        </w:rPr>
        <w:t xml:space="preserve"> measured </w:t>
      </w:r>
      <w:r w:rsidR="00290ABD">
        <w:rPr>
          <w:rFonts w:ascii="Helvetica" w:hAnsi="Helvetica"/>
          <w:sz w:val="18"/>
          <w:szCs w:val="18"/>
        </w:rPr>
        <w:t>o</w:t>
      </w:r>
      <w:r w:rsidR="00404107">
        <w:rPr>
          <w:rFonts w:ascii="Helvetica" w:hAnsi="Helvetica"/>
          <w:sz w:val="18"/>
          <w:szCs w:val="18"/>
        </w:rPr>
        <w:t xml:space="preserve">n </w:t>
      </w:r>
      <w:r w:rsidR="00FE616A">
        <w:rPr>
          <w:rFonts w:ascii="Helvetica" w:hAnsi="Helvetica"/>
          <w:sz w:val="18"/>
          <w:szCs w:val="18"/>
        </w:rPr>
        <w:t xml:space="preserve">delayed non-match-to-sample </w:t>
      </w:r>
      <w:r w:rsidR="00B1193D">
        <w:rPr>
          <w:rFonts w:ascii="Helvetica" w:hAnsi="Helvetica"/>
          <w:sz w:val="18"/>
          <w:szCs w:val="18"/>
        </w:rPr>
        <w:t>task</w:t>
      </w:r>
      <w:r w:rsidR="00290ABD">
        <w:rPr>
          <w:rFonts w:ascii="Helvetica" w:hAnsi="Helvetica"/>
          <w:sz w:val="18"/>
          <w:szCs w:val="18"/>
        </w:rPr>
        <w:t>s</w:t>
      </w:r>
      <w:r w:rsidR="00B1193D">
        <w:rPr>
          <w:rFonts w:ascii="Helvetica" w:hAnsi="Helvetica"/>
          <w:sz w:val="18"/>
          <w:szCs w:val="18"/>
        </w:rPr>
        <w:t xml:space="preserve"> (</w:t>
      </w:r>
      <w:r w:rsidR="00404107">
        <w:rPr>
          <w:rFonts w:ascii="Helvetica" w:hAnsi="Helvetica"/>
          <w:sz w:val="18"/>
          <w:szCs w:val="18"/>
        </w:rPr>
        <w:t>DNMS).</w:t>
      </w:r>
      <w:r w:rsidR="001B29FF">
        <w:rPr>
          <w:rFonts w:ascii="Helvetica" w:hAnsi="Helvetica"/>
          <w:sz w:val="18"/>
          <w:szCs w:val="18"/>
        </w:rPr>
        <w:t xml:space="preserve"> The experimental group is exposed </w:t>
      </w:r>
      <w:r w:rsidR="00D82011">
        <w:rPr>
          <w:rFonts w:ascii="Helvetica" w:hAnsi="Helvetica"/>
          <w:sz w:val="18"/>
          <w:szCs w:val="18"/>
        </w:rPr>
        <w:t xml:space="preserve">twice a day </w:t>
      </w:r>
      <w:r w:rsidR="001B29FF">
        <w:rPr>
          <w:rFonts w:ascii="Helvetica" w:hAnsi="Helvetica"/>
          <w:sz w:val="18"/>
          <w:szCs w:val="18"/>
        </w:rPr>
        <w:t xml:space="preserve">to an excitation light every 2 minutes over a </w:t>
      </w:r>
      <w:r w:rsidR="00625945">
        <w:rPr>
          <w:rFonts w:ascii="Helvetica" w:hAnsi="Helvetica"/>
          <w:sz w:val="18"/>
          <w:szCs w:val="18"/>
        </w:rPr>
        <w:t>30-minute</w:t>
      </w:r>
      <w:r w:rsidR="001B29FF">
        <w:rPr>
          <w:rFonts w:ascii="Helvetica" w:hAnsi="Helvetica"/>
          <w:sz w:val="18"/>
          <w:szCs w:val="18"/>
        </w:rPr>
        <w:t xml:space="preserve"> period, each testing phase being separated by an hour allowing the mice to rest. The next day, both control and experimental groups are subjected to DNMS tasks.</w:t>
      </w:r>
      <w:r w:rsidR="00625945">
        <w:rPr>
          <w:rFonts w:ascii="Helvetica" w:hAnsi="Helvetica"/>
          <w:sz w:val="18"/>
          <w:szCs w:val="18"/>
        </w:rPr>
        <w:t xml:space="preserve"> Fernando’s expectation is to observe better performance on the tests for the </w:t>
      </w:r>
      <w:proofErr w:type="spellStart"/>
      <w:r w:rsidR="00470523">
        <w:rPr>
          <w:rFonts w:ascii="Helvetica" w:hAnsi="Helvetica"/>
          <w:sz w:val="18"/>
          <w:szCs w:val="18"/>
        </w:rPr>
        <w:t>o</w:t>
      </w:r>
      <w:r w:rsidR="00A872B7">
        <w:rPr>
          <w:rFonts w:ascii="Helvetica" w:hAnsi="Helvetica"/>
          <w:sz w:val="18"/>
          <w:szCs w:val="18"/>
        </w:rPr>
        <w:t>pt</w:t>
      </w:r>
      <w:r w:rsidR="00470523">
        <w:rPr>
          <w:rFonts w:ascii="Helvetica" w:hAnsi="Helvetica"/>
          <w:sz w:val="18"/>
          <w:szCs w:val="18"/>
        </w:rPr>
        <w:t>ogenetically</w:t>
      </w:r>
      <w:proofErr w:type="spellEnd"/>
      <w:r w:rsidR="00625945">
        <w:rPr>
          <w:rFonts w:ascii="Helvetica" w:hAnsi="Helvetica"/>
          <w:sz w:val="18"/>
          <w:szCs w:val="18"/>
        </w:rPr>
        <w:t xml:space="preserve"> modified mice.</w:t>
      </w:r>
    </w:p>
    <w:p w14:paraId="672A9289" w14:textId="415E3A23" w:rsidR="00D82011" w:rsidRDefault="00D82011" w:rsidP="009C2A94">
      <w:pPr>
        <w:pStyle w:val="NormalWeb"/>
        <w:numPr>
          <w:ilvl w:val="0"/>
          <w:numId w:val="24"/>
        </w:numPr>
        <w:rPr>
          <w:rFonts w:ascii="Helvetica" w:hAnsi="Helvetica"/>
          <w:sz w:val="18"/>
          <w:szCs w:val="18"/>
        </w:rPr>
      </w:pPr>
      <w:r>
        <w:rPr>
          <w:rFonts w:ascii="Helvetica" w:hAnsi="Helvetica"/>
          <w:sz w:val="18"/>
          <w:szCs w:val="18"/>
        </w:rPr>
        <w:t xml:space="preserve">The experiment designed by Fernando is to show that cognitive decline observed in aging mice could be mitigated by promoting </w:t>
      </w:r>
      <w:proofErr w:type="spellStart"/>
      <w:r>
        <w:rPr>
          <w:rFonts w:ascii="Helvetica" w:hAnsi="Helvetica"/>
          <w:sz w:val="18"/>
          <w:szCs w:val="18"/>
        </w:rPr>
        <w:t>oligodendrogenesis</w:t>
      </w:r>
      <w:proofErr w:type="spellEnd"/>
      <w:r>
        <w:rPr>
          <w:rFonts w:ascii="Helvetica" w:hAnsi="Helvetica"/>
          <w:sz w:val="18"/>
          <w:szCs w:val="18"/>
        </w:rPr>
        <w:t xml:space="preserve"> </w:t>
      </w:r>
      <w:r w:rsidR="006B784B">
        <w:rPr>
          <w:rFonts w:ascii="Helvetica" w:hAnsi="Helvetica"/>
          <w:sz w:val="18"/>
          <w:szCs w:val="18"/>
        </w:rPr>
        <w:t>which</w:t>
      </w:r>
      <w:r>
        <w:rPr>
          <w:rFonts w:ascii="Helvetica" w:hAnsi="Helvetica"/>
          <w:sz w:val="18"/>
          <w:szCs w:val="18"/>
        </w:rPr>
        <w:t xml:space="preserve"> could have broad clinical implications.</w:t>
      </w:r>
    </w:p>
    <w:p w14:paraId="41F22366" w14:textId="06DF1EFA" w:rsidR="00DB15FD" w:rsidRDefault="007120FB" w:rsidP="009C2A94">
      <w:pPr>
        <w:pStyle w:val="NormalWeb"/>
        <w:numPr>
          <w:ilvl w:val="0"/>
          <w:numId w:val="24"/>
        </w:numPr>
        <w:rPr>
          <w:rFonts w:ascii="Helvetica" w:hAnsi="Helvetica"/>
          <w:sz w:val="18"/>
          <w:szCs w:val="18"/>
        </w:rPr>
      </w:pPr>
      <w:r>
        <w:rPr>
          <w:rFonts w:ascii="Helvetica" w:hAnsi="Helvetica"/>
          <w:sz w:val="18"/>
          <w:szCs w:val="18"/>
        </w:rPr>
        <w:t>However,</w:t>
      </w:r>
      <w:r w:rsidR="00DB15FD">
        <w:rPr>
          <w:rFonts w:ascii="Helvetica" w:hAnsi="Helvetica"/>
          <w:sz w:val="18"/>
          <w:szCs w:val="18"/>
        </w:rPr>
        <w:t xml:space="preserve"> I will make </w:t>
      </w:r>
      <w:r w:rsidR="00A602FA">
        <w:rPr>
          <w:rFonts w:ascii="Helvetica" w:hAnsi="Helvetica"/>
          <w:sz w:val="18"/>
          <w:szCs w:val="18"/>
        </w:rPr>
        <w:t xml:space="preserve">few clarifications </w:t>
      </w:r>
      <w:r w:rsidR="003E2246">
        <w:rPr>
          <w:rFonts w:ascii="Helvetica" w:hAnsi="Helvetica"/>
          <w:sz w:val="18"/>
          <w:szCs w:val="18"/>
        </w:rPr>
        <w:t>and</w:t>
      </w:r>
      <w:r w:rsidR="00DB15FD">
        <w:rPr>
          <w:rFonts w:ascii="Helvetica" w:hAnsi="Helvetica"/>
          <w:sz w:val="18"/>
          <w:szCs w:val="18"/>
        </w:rPr>
        <w:t xml:space="preserve"> recommend</w:t>
      </w:r>
      <w:r w:rsidR="003E2246">
        <w:rPr>
          <w:rFonts w:ascii="Helvetica" w:hAnsi="Helvetica"/>
          <w:sz w:val="18"/>
          <w:szCs w:val="18"/>
        </w:rPr>
        <w:t xml:space="preserve"> changes </w:t>
      </w:r>
      <w:r w:rsidR="00DB15FD">
        <w:rPr>
          <w:rFonts w:ascii="Helvetica" w:hAnsi="Helvetica"/>
          <w:sz w:val="18"/>
          <w:szCs w:val="18"/>
        </w:rPr>
        <w:t xml:space="preserve">so analysis of the results will </w:t>
      </w:r>
      <w:r w:rsidR="00AB0E9F">
        <w:rPr>
          <w:rFonts w:ascii="Helvetica" w:hAnsi="Helvetica"/>
          <w:sz w:val="18"/>
          <w:szCs w:val="18"/>
        </w:rPr>
        <w:t xml:space="preserve">be </w:t>
      </w:r>
      <w:r w:rsidR="00DB15FD">
        <w:rPr>
          <w:rFonts w:ascii="Helvetica" w:hAnsi="Helvetica"/>
          <w:sz w:val="18"/>
          <w:szCs w:val="18"/>
        </w:rPr>
        <w:t xml:space="preserve">less prone to </w:t>
      </w:r>
      <w:r w:rsidR="00297486">
        <w:rPr>
          <w:rFonts w:ascii="Helvetica" w:hAnsi="Helvetica"/>
          <w:sz w:val="18"/>
          <w:szCs w:val="18"/>
        </w:rPr>
        <w:t>ambiguity</w:t>
      </w:r>
      <w:r w:rsidR="00DB15FD">
        <w:rPr>
          <w:rFonts w:ascii="Helvetica" w:hAnsi="Helvetica"/>
          <w:sz w:val="18"/>
          <w:szCs w:val="18"/>
        </w:rPr>
        <w:t>.</w:t>
      </w:r>
    </w:p>
    <w:p w14:paraId="05DE27D0" w14:textId="581F55AB" w:rsidR="006B784B" w:rsidRDefault="0063409F" w:rsidP="006B784B">
      <w:pPr>
        <w:pStyle w:val="NormalWeb"/>
        <w:numPr>
          <w:ilvl w:val="0"/>
          <w:numId w:val="24"/>
        </w:numPr>
        <w:rPr>
          <w:rFonts w:ascii="Helvetica" w:hAnsi="Helvetica"/>
          <w:sz w:val="18"/>
          <w:szCs w:val="18"/>
        </w:rPr>
      </w:pPr>
      <w:r>
        <w:rPr>
          <w:rFonts w:ascii="Helvetica" w:hAnsi="Helvetica"/>
          <w:sz w:val="18"/>
          <w:szCs w:val="18"/>
        </w:rPr>
        <w:t>Traditionally delayed matching (DMS) and non-matching-sample tasks involve short-term memory process and the execution of a choice response</w:t>
      </w:r>
      <w:r w:rsidR="004E13B7">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z8qbkJu7","properties":{"formattedCitation":"[1]","plainCitation":"[1]","noteIndex":0},"citationItems":[{"id":266,"uris":["http://zotero.org/users/7286058/items/DKSTMFH8"],"uri":["http://zotero.org/users/7286058/items/DKSTMFH8"],"itemData":{"id":266,"type":"article-journal","abstract":"Alterations in synaptic plasticity and neurocognitive function with age have been well documented in the literature. These changes are accompanied by modiﬁcations of neurotransmitter systems in the central nervous system (CNS). The serotonergic system in particular plays an important role in attention, alertness and cognition. Disturbances in serotonergic function have been implicated in differing neurological and neuropsychiatric disorders including depression, psychosis aggression and dementia. The serotonin receptor subtype 5HT6 is distributed within CNS regions relevant to learning and memory, including the striatum, cortex and hippocampus. We examined here the effects of acute and chronic administration of the 5HT6 receptor antagonist SB742457 on performance in a delayed non-matching-tosample task (DNMS), which was used to identify neurocognitive differences between middle-aged (MA, 13 months) and young adult (YG, 3 months) rats. We found that MA rats have signiﬁcantly lower performance in the DNMS task compared to YG rats. Acute administration of SB742457 (3 mg/kg/po) signiﬁcantly improved performance of the MA rats. Chronic administration of SB742457 (3 mg/kg) reversed the age-related deﬁcit of the MA to match their performance to that of YG rats. Furthermore, these improvements were observed for 1 week post-SB742457 treatment cessation. The acute and chronic effects of this treatment suggest that there is both an immediate effect on neurotransmitter action and potentially a longer-term modiﬁcation of synaptic plasticity. Together these data indicate a role for modulation of the serotonergic system in the development of cognition-enhancing agents.","container-title":"Neuropharmacology","DOI":"10.1016/j.neuropharm.2012.06.034","ISSN":"00283908","issue":"5","journalAbbreviation":"Neuropharmacology","language":"en","page":"890-897","source":"DOI.org (Crossref)","title":"Age-related declines in delayed non-match-to-sample performance (DNMS) are reversed by the novel 5HT6 receptor antagonist SB742457","URL":"https://linkinghub.elsevier.com/retrieve/pii/S0028390812002924","volume":"63","author":[{"family":"Callaghan","given":"Charlotte K."},{"family":"Hok","given":"Vincent"},{"family":"Della-Chiesa","given":"Andrea"},{"family":"Virley","given":"David J."},{"family":"Upton","given":"Neil"},{"family":"O'Mara","given":"Shane M."}],"accessed":{"date-parts":[["2021",10,23]]},"issued":{"date-parts":[["2012",10]]}}}],"schema":"https://github.com/citation-style-language/schema/raw/master/csl-citation.json"}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[1]</w:t>
      </w:r>
      <w:r w:rsidR="004E13B7">
        <w:rPr>
          <w:rFonts w:ascii="Helvetica" w:hAnsi="Helvetica"/>
          <w:sz w:val="18"/>
          <w:szCs w:val="18"/>
        </w:rPr>
        <w:fldChar w:fldCharType="end"/>
      </w:r>
      <w:r>
        <w:rPr>
          <w:rFonts w:ascii="Helvetica" w:hAnsi="Helvetica"/>
          <w:sz w:val="18"/>
          <w:szCs w:val="18"/>
        </w:rPr>
        <w:t>.</w:t>
      </w:r>
      <w:r w:rsidR="001E006D">
        <w:rPr>
          <w:rFonts w:ascii="Helvetica" w:hAnsi="Helvetica"/>
          <w:sz w:val="18"/>
          <w:szCs w:val="18"/>
        </w:rPr>
        <w:t xml:space="preserve"> Albeit</w:t>
      </w:r>
      <w:r w:rsidR="0082757B">
        <w:rPr>
          <w:rFonts w:ascii="Helvetica" w:hAnsi="Helvetica"/>
          <w:sz w:val="18"/>
          <w:szCs w:val="18"/>
        </w:rPr>
        <w:t>,</w:t>
      </w:r>
      <w:r w:rsidR="001E006D">
        <w:rPr>
          <w:rFonts w:ascii="Helvetica" w:hAnsi="Helvetica"/>
          <w:sz w:val="18"/>
          <w:szCs w:val="18"/>
        </w:rPr>
        <w:t xml:space="preserve"> </w:t>
      </w:r>
      <w:proofErr w:type="spellStart"/>
      <w:r w:rsidR="001E006D">
        <w:rPr>
          <w:rFonts w:ascii="Helvetica" w:hAnsi="Helvetica"/>
          <w:sz w:val="18"/>
          <w:szCs w:val="18"/>
        </w:rPr>
        <w:t>mPFC</w:t>
      </w:r>
      <w:proofErr w:type="spellEnd"/>
      <w:r w:rsidR="001E006D">
        <w:rPr>
          <w:rFonts w:ascii="Helvetica" w:hAnsi="Helvetica"/>
          <w:sz w:val="18"/>
          <w:szCs w:val="18"/>
        </w:rPr>
        <w:t xml:space="preserve"> is likely needed for both recent and remote memory, it has been demonstrated that the hippocampus plays a role complementary to the </w:t>
      </w:r>
      <w:proofErr w:type="spellStart"/>
      <w:r w:rsidR="001E006D">
        <w:rPr>
          <w:rFonts w:ascii="Helvetica" w:hAnsi="Helvetica"/>
          <w:sz w:val="18"/>
          <w:szCs w:val="18"/>
        </w:rPr>
        <w:t>mPFC</w:t>
      </w:r>
      <w:proofErr w:type="spellEnd"/>
      <w:r w:rsidR="001E006D">
        <w:rPr>
          <w:rFonts w:ascii="Helvetica" w:hAnsi="Helvetica"/>
          <w:sz w:val="18"/>
          <w:szCs w:val="18"/>
        </w:rPr>
        <w:t xml:space="preserve">, in that </w:t>
      </w:r>
      <w:r w:rsidR="00745B03">
        <w:rPr>
          <w:rFonts w:ascii="Helvetica" w:hAnsi="Helvetica"/>
          <w:sz w:val="18"/>
          <w:szCs w:val="18"/>
        </w:rPr>
        <w:t>it</w:t>
      </w:r>
      <w:r w:rsidR="0047165C">
        <w:rPr>
          <w:rFonts w:ascii="Helvetica" w:hAnsi="Helvetica"/>
          <w:sz w:val="18"/>
          <w:szCs w:val="18"/>
        </w:rPr>
        <w:t xml:space="preserve"> </w:t>
      </w:r>
      <w:r w:rsidR="001E006D">
        <w:rPr>
          <w:rFonts w:ascii="Helvetica" w:hAnsi="Helvetica"/>
          <w:sz w:val="18"/>
          <w:szCs w:val="18"/>
        </w:rPr>
        <w:t xml:space="preserve">is </w:t>
      </w:r>
      <w:r w:rsidR="0047165C">
        <w:rPr>
          <w:rFonts w:ascii="Helvetica" w:hAnsi="Helvetica"/>
          <w:sz w:val="18"/>
          <w:szCs w:val="18"/>
        </w:rPr>
        <w:t>strongly</w:t>
      </w:r>
      <w:r w:rsidR="001E006D">
        <w:rPr>
          <w:rFonts w:ascii="Helvetica" w:hAnsi="Helvetica"/>
          <w:sz w:val="18"/>
          <w:szCs w:val="18"/>
        </w:rPr>
        <w:t xml:space="preserve"> activated during retrieval of recent memories but not remote memories which require stronger cognitive control provided by the </w:t>
      </w:r>
      <w:proofErr w:type="spellStart"/>
      <w:r w:rsidR="001E006D">
        <w:rPr>
          <w:rFonts w:ascii="Helvetica" w:hAnsi="Helvetica"/>
          <w:sz w:val="18"/>
          <w:szCs w:val="18"/>
        </w:rPr>
        <w:t>mPFC</w:t>
      </w:r>
      <w:proofErr w:type="spellEnd"/>
      <w:r w:rsidR="004E13B7">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0IYBbed8","properties":{"formattedCitation":"[2]","plainCitation":"[2]","noteIndex":0},"citationItems":[{"id":265,"uris":["http://zotero.org/users/7286058/items/SW2C888D"],"uri":["http://zotero.org/users/7286058/items/SW2C888D"],"itemData":{"id":265,"type":"article-journal","abstract":"Some have claimed that the medial prefrontal cortex (mPFC) mediates decision making. Others suggest mPFC is selectively involved in the retrieval of remote long-term memory. Yet others suggests mPFC supports memory and consolidation on time-scales ranging from seconds to days. How can all these roles be reconciled? We propose that the function of the mPFC is to learn associations between context, locations, events, and corresponding adaptive responses, particularly emotional responses. Thus, the ubiquitous involvement of mPFC in both memory and decision making may be due to the fact that almost all such tasks entail the ability to recall the best action or emotional response to specific events in a particular place and time. An interaction between multiple memory systems may explain the changing importance of mPFC to different types of memories over time. In particular, mPFC likely relies on the hippocampus to support rapid learning and memory consolidation.","container-title":"Neuron","DOI":"10.1016/j.neuron.2012.12.002","ISSN":"08966273","issue":"6","journalAbbreviation":"Neuron","language":"en","page":"1057-1070","source":"DOI.org (Crossref)","title":"The Role of Medial Prefrontal Cortex in Memory and Decision Making","URL":"https://linkinghub.elsevier.com/retrieve/pii/S0896627312011087","volume":"76","author":[{"family":"Euston","given":"David R."},{"family":"Gruber","given":"Aaron J."},{"family":"McNaughton","given":"Bruce L."}],"accessed":{"date-parts":[["2021",10,23]]},"issued":{"date-parts":[["2012",12]]}}}],"schema":"https://github.com/citation-style-language/schema/raw/master/csl-citation.json"}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[2]</w:t>
      </w:r>
      <w:r w:rsidR="004E13B7">
        <w:rPr>
          <w:rFonts w:ascii="Helvetica" w:hAnsi="Helvetica"/>
          <w:sz w:val="18"/>
          <w:szCs w:val="18"/>
        </w:rPr>
        <w:fldChar w:fldCharType="end"/>
      </w:r>
      <w:r w:rsidR="001E006D">
        <w:rPr>
          <w:rFonts w:ascii="Helvetica" w:hAnsi="Helvetica"/>
          <w:sz w:val="18"/>
          <w:szCs w:val="18"/>
        </w:rPr>
        <w:t>.</w:t>
      </w:r>
      <w:r w:rsidR="00C62298">
        <w:rPr>
          <w:rFonts w:ascii="Helvetica" w:hAnsi="Helvetica"/>
          <w:sz w:val="18"/>
          <w:szCs w:val="18"/>
        </w:rPr>
        <w:t xml:space="preserve"> Neurons in </w:t>
      </w:r>
      <w:proofErr w:type="spellStart"/>
      <w:r w:rsidR="00C62298">
        <w:rPr>
          <w:rFonts w:ascii="Helvetica" w:hAnsi="Helvetica"/>
          <w:sz w:val="18"/>
          <w:szCs w:val="18"/>
        </w:rPr>
        <w:t>mPFC</w:t>
      </w:r>
      <w:proofErr w:type="spellEnd"/>
      <w:r w:rsidR="00C62298">
        <w:rPr>
          <w:rFonts w:ascii="Helvetica" w:hAnsi="Helvetica"/>
          <w:sz w:val="18"/>
          <w:szCs w:val="18"/>
        </w:rPr>
        <w:t xml:space="preserve"> are very sensitive to changes in position or trajectory, and experiments with rats with </w:t>
      </w:r>
      <w:proofErr w:type="spellStart"/>
      <w:r w:rsidR="00C62298">
        <w:rPr>
          <w:rFonts w:ascii="Helvetica" w:hAnsi="Helvetica"/>
          <w:sz w:val="18"/>
          <w:szCs w:val="18"/>
        </w:rPr>
        <w:t>mPFC</w:t>
      </w:r>
      <w:proofErr w:type="spellEnd"/>
      <w:r w:rsidR="00C62298">
        <w:rPr>
          <w:rFonts w:ascii="Helvetica" w:hAnsi="Helvetica"/>
          <w:sz w:val="18"/>
          <w:szCs w:val="18"/>
        </w:rPr>
        <w:t xml:space="preserve"> lesions, showed that the deficit is not in memory storage but rather in the capability of implementing mediating strategies. </w:t>
      </w:r>
      <w:r w:rsidR="0047165C">
        <w:rPr>
          <w:rFonts w:ascii="Helvetica" w:hAnsi="Helvetica"/>
          <w:sz w:val="18"/>
          <w:szCs w:val="18"/>
        </w:rPr>
        <w:t>Additionally,</w:t>
      </w:r>
      <w:r w:rsidR="002D04D1">
        <w:rPr>
          <w:rFonts w:ascii="Helvetica" w:hAnsi="Helvetica"/>
          <w:sz w:val="18"/>
          <w:szCs w:val="18"/>
        </w:rPr>
        <w:t xml:space="preserve"> there has been </w:t>
      </w:r>
      <w:r w:rsidR="007120FB">
        <w:rPr>
          <w:rFonts w:ascii="Helvetica" w:hAnsi="Helvetica"/>
          <w:sz w:val="18"/>
          <w:szCs w:val="18"/>
        </w:rPr>
        <w:t xml:space="preserve">evidence </w:t>
      </w:r>
      <w:r w:rsidR="00BE1E0A">
        <w:rPr>
          <w:rFonts w:ascii="Helvetica" w:hAnsi="Helvetica"/>
          <w:sz w:val="18"/>
          <w:szCs w:val="18"/>
        </w:rPr>
        <w:t>t</w:t>
      </w:r>
      <w:r w:rsidR="002D04D1">
        <w:rPr>
          <w:rFonts w:ascii="Helvetica" w:hAnsi="Helvetica"/>
          <w:sz w:val="18"/>
          <w:szCs w:val="18"/>
        </w:rPr>
        <w:t xml:space="preserve">hat </w:t>
      </w:r>
      <w:proofErr w:type="spellStart"/>
      <w:r w:rsidR="002D04D1">
        <w:rPr>
          <w:rFonts w:ascii="Helvetica" w:hAnsi="Helvetica"/>
          <w:sz w:val="18"/>
          <w:szCs w:val="18"/>
        </w:rPr>
        <w:t>mPFC</w:t>
      </w:r>
      <w:proofErr w:type="spellEnd"/>
      <w:r w:rsidR="002D04D1">
        <w:rPr>
          <w:rFonts w:ascii="Helvetica" w:hAnsi="Helvetica"/>
          <w:sz w:val="18"/>
          <w:szCs w:val="18"/>
        </w:rPr>
        <w:t xml:space="preserve"> supports working memory</w:t>
      </w:r>
      <w:r w:rsidR="0047165C">
        <w:rPr>
          <w:rFonts w:ascii="Helvetica" w:hAnsi="Helvetica"/>
          <w:sz w:val="18"/>
          <w:szCs w:val="18"/>
        </w:rPr>
        <w:t xml:space="preserve">. </w:t>
      </w:r>
      <w:r w:rsidR="00C86FFA">
        <w:rPr>
          <w:rFonts w:ascii="Helvetica" w:hAnsi="Helvetica"/>
          <w:sz w:val="18"/>
          <w:szCs w:val="18"/>
        </w:rPr>
        <w:t>Therefore,</w:t>
      </w:r>
      <w:r w:rsidR="0047165C">
        <w:rPr>
          <w:rFonts w:ascii="Helvetica" w:hAnsi="Helvetica"/>
          <w:sz w:val="18"/>
          <w:szCs w:val="18"/>
        </w:rPr>
        <w:t xml:space="preserve"> </w:t>
      </w:r>
      <w:r w:rsidR="002D04D1">
        <w:rPr>
          <w:rFonts w:ascii="Helvetica" w:hAnsi="Helvetica"/>
          <w:sz w:val="18"/>
          <w:szCs w:val="18"/>
        </w:rPr>
        <w:t xml:space="preserve">the cognitive tests to show improved performance in the neurons of the </w:t>
      </w:r>
      <w:proofErr w:type="spellStart"/>
      <w:r w:rsidR="002D04D1">
        <w:rPr>
          <w:rFonts w:ascii="Helvetica" w:hAnsi="Helvetica"/>
          <w:sz w:val="18"/>
          <w:szCs w:val="18"/>
        </w:rPr>
        <w:t>mPFC</w:t>
      </w:r>
      <w:proofErr w:type="spellEnd"/>
      <w:r w:rsidR="002D04D1">
        <w:rPr>
          <w:rFonts w:ascii="Helvetica" w:hAnsi="Helvetica"/>
          <w:sz w:val="18"/>
          <w:szCs w:val="18"/>
        </w:rPr>
        <w:t xml:space="preserve"> have to be carefully designed so to identify </w:t>
      </w:r>
      <w:r w:rsidR="00E46131">
        <w:rPr>
          <w:rFonts w:ascii="Helvetica" w:hAnsi="Helvetica"/>
          <w:sz w:val="18"/>
          <w:szCs w:val="18"/>
        </w:rPr>
        <w:t xml:space="preserve">that </w:t>
      </w:r>
      <w:r w:rsidR="002D04D1">
        <w:rPr>
          <w:rFonts w:ascii="Helvetica" w:hAnsi="Helvetica"/>
          <w:sz w:val="18"/>
          <w:szCs w:val="18"/>
        </w:rPr>
        <w:t xml:space="preserve">the observed deficits or improved </w:t>
      </w:r>
      <w:r w:rsidR="00C02528">
        <w:rPr>
          <w:rFonts w:ascii="Helvetica" w:hAnsi="Helvetica"/>
          <w:sz w:val="18"/>
          <w:szCs w:val="18"/>
        </w:rPr>
        <w:t>performance</w:t>
      </w:r>
      <w:r w:rsidR="002D04D1">
        <w:rPr>
          <w:rFonts w:ascii="Helvetica" w:hAnsi="Helvetica"/>
          <w:sz w:val="18"/>
          <w:szCs w:val="18"/>
        </w:rPr>
        <w:t xml:space="preserve"> for the </w:t>
      </w:r>
      <w:r w:rsidR="00C02528">
        <w:rPr>
          <w:rFonts w:ascii="Helvetica" w:hAnsi="Helvetica"/>
          <w:sz w:val="18"/>
          <w:szCs w:val="18"/>
        </w:rPr>
        <w:t>experimental</w:t>
      </w:r>
      <w:r w:rsidR="002D04D1">
        <w:rPr>
          <w:rFonts w:ascii="Helvetica" w:hAnsi="Helvetica"/>
          <w:sz w:val="18"/>
          <w:szCs w:val="18"/>
        </w:rPr>
        <w:t xml:space="preserve"> </w:t>
      </w:r>
      <w:r w:rsidR="00C02528">
        <w:rPr>
          <w:rFonts w:ascii="Helvetica" w:hAnsi="Helvetica"/>
          <w:sz w:val="18"/>
          <w:szCs w:val="18"/>
        </w:rPr>
        <w:t>group</w:t>
      </w:r>
      <w:r w:rsidR="002D04D1">
        <w:rPr>
          <w:rFonts w:ascii="Helvetica" w:hAnsi="Helvetica"/>
          <w:sz w:val="18"/>
          <w:szCs w:val="18"/>
        </w:rPr>
        <w:t xml:space="preserve"> are due to trial-specific working memory, mediating strategies and no</w:t>
      </w:r>
      <w:r w:rsidR="0047165C">
        <w:rPr>
          <w:rFonts w:ascii="Helvetica" w:hAnsi="Helvetica"/>
          <w:sz w:val="18"/>
          <w:szCs w:val="18"/>
        </w:rPr>
        <w:t>t</w:t>
      </w:r>
      <w:r w:rsidR="002D04D1">
        <w:rPr>
          <w:rFonts w:ascii="Helvetica" w:hAnsi="Helvetica"/>
          <w:sz w:val="18"/>
          <w:szCs w:val="18"/>
        </w:rPr>
        <w:t xml:space="preserve"> a deficit in reference memory which involves</w:t>
      </w:r>
      <w:r w:rsidR="00C02528">
        <w:rPr>
          <w:rFonts w:ascii="Helvetica" w:hAnsi="Helvetica"/>
          <w:sz w:val="18"/>
          <w:szCs w:val="18"/>
        </w:rPr>
        <w:t xml:space="preserve"> the hippocampus.</w:t>
      </w:r>
      <w:r w:rsidR="00496E94">
        <w:rPr>
          <w:rFonts w:ascii="Helvetica" w:hAnsi="Helvetica"/>
          <w:sz w:val="18"/>
          <w:szCs w:val="18"/>
        </w:rPr>
        <w:t xml:space="preserve"> </w:t>
      </w:r>
      <w:r w:rsidR="00C91A06">
        <w:rPr>
          <w:rFonts w:ascii="Helvetica" w:hAnsi="Helvetica"/>
          <w:sz w:val="18"/>
          <w:szCs w:val="18"/>
        </w:rPr>
        <w:t>Also,</w:t>
      </w:r>
      <w:r w:rsidR="00496E94">
        <w:rPr>
          <w:rFonts w:ascii="Helvetica" w:hAnsi="Helvetica"/>
          <w:sz w:val="18"/>
          <w:szCs w:val="18"/>
        </w:rPr>
        <w:t xml:space="preserve"> it will be important to test the two groups of mice </w:t>
      </w:r>
      <w:r w:rsidR="007120FB">
        <w:rPr>
          <w:rFonts w:ascii="Helvetica" w:hAnsi="Helvetica"/>
          <w:sz w:val="18"/>
          <w:szCs w:val="18"/>
        </w:rPr>
        <w:t>on visual</w:t>
      </w:r>
      <w:r w:rsidR="00496E94">
        <w:rPr>
          <w:rFonts w:ascii="Helvetica" w:hAnsi="Helvetica"/>
          <w:sz w:val="18"/>
          <w:szCs w:val="18"/>
        </w:rPr>
        <w:t xml:space="preserve"> categorization tasks since in rodents the prefrontal cortex (PFC) plays an important role for such tasks including tasks involving rule learning and cognitive flexibility</w:t>
      </w:r>
      <w:r w:rsidR="0082757B">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FDJs8oR3","properties":{"formattedCitation":"[3]","plainCitation":"[3]","noteIndex":0},"citationItems":[{"id":264,"uris":["http://zotero.org/users/7286058/items/HWXAPQCK"],"uri":["http://zotero.org/users/7286058/items/HWXAPQCK"],"itemData":{"id":264,"type":"article-journal","abstract":"An influential theoretical perspective differentiates in humans an explicit, rule-based system of category learning from an implicit system that slowly associates different regions of perceptual space with different response outputs. This perspective was extended for the 1st time to the category learning of nonhuman primates. Humans (Homo sapiens) and macaques (Macaca mulatta) learned categories composed of sine-wave gratings that varied across trials in bar width and bar orientation. The categories had either a single-dimensional, rule-based solution or a two-dimensional, information-integration solution. Humans strongly dimensionalized the stimuli and learned the rule-based task far more quickly. Six macaques showed the same performance advantage in the rule-based task. In humans, rule-based category learning is linked to explicit cognition, consciousness, and declarative reports about the contents of cognition. These results demonstrate an empirical continuity between human and nonhuman primate cognition, suggesting that nonhuman primates may have some structural components of humans’ capacity for explicit cognition.","container-title":"Journal of Experimental Psychology: Animal Behavior Processes","DOI":"10.1037/a0015892","ISSN":"1939-2184, 0097-7403","issue":"1","journalAbbreviation":"Journal of Experimental Psychology: Animal Behavior Processes","language":"en","page":"54-65","source":"DOI.org (Crossref)","title":"Implicit and explicit category learning by macaques (Macaca mulatta) and humans (Homo sapiens).","URL":"http://doi.apa.org/getdoi.cfm?doi=10.1037/a0015892","volume":"36","author":[{"family":"Smith","given":"J. David"},{"family":"Beran","given":"Michael J."},{"family":"Crossley","given":"Matthew J."},{"family":"Boomer","given":"Joseph"},{"family":"Ashby","given":"F. Gregory"}],"accessed":{"date-parts":[["2021",10,23]]},"issued":{"date-parts":[["2010"]]}}}],"schema":"https://github.com/citation-style-language/schema/raw/master/csl-citation.json"}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[3]</w:t>
      </w:r>
      <w:r w:rsidR="004E13B7">
        <w:rPr>
          <w:rFonts w:ascii="Helvetica" w:hAnsi="Helvetica"/>
          <w:sz w:val="18"/>
          <w:szCs w:val="18"/>
        </w:rPr>
        <w:fldChar w:fldCharType="end"/>
      </w:r>
      <w:r w:rsidR="0038343E">
        <w:rPr>
          <w:rFonts w:ascii="Helvetica" w:hAnsi="Helvetica"/>
          <w:sz w:val="18"/>
          <w:szCs w:val="18"/>
        </w:rPr>
        <w:fldChar w:fldCharType="begin"/>
      </w:r>
      <w:r w:rsidR="0038343E">
        <w:rPr>
          <w:rFonts w:ascii="Helvetica" w:hAnsi="Helvetica"/>
          <w:sz w:val="18"/>
          <w:szCs w:val="18"/>
        </w:rPr>
        <w:instrText xml:space="preserve"> ADDIN ZOTERO_ITEM CSL_CITATION {"citationID":"7sCkx7WJ","properties":{"formattedCitation":"[4]","plainCitation":"[4]","noteIndex":0},"citationItems":[{"id":283,"uris":["http://zotero.org/users/7286058/items/JB5GXQHS"],"uri":["http://zotero.org/users/7286058/items/JB5GXQHS"],"itemData":{"id":283,"type":"article-journal","abstract":"Working memory is a temporary memory store where information is held briefly until the appropriate behavior is produced. However, the improvement in the performance of working memory tasks with practice over days points to the existence of a long-lasting component associated with learning strategies that lead to optimal performance. Here we show that the improvement in the performance of mice in a radial maze working memory task required the integrity of the medial prefrontal cortex (mPFC). We further demonstrate that this improvement of working memory performance requires the synthesis of de novo proteins in the mPFC. We suggest that in addition to storing memory briefly the mPFC is also involved in the consolidation and storage of the long-term learning strategies used in working memory.","container-title":"Proceedings of the National Academy of Sciences","DOI":"10.1073/pnas.0611554104","ISSN":"0027-8424, 1091-6490","issue":"13","journalAbbreviation":"PNAS","language":"en","note":"publisher: National Academy of Sciences\nsection: Biological Sciences\nPMID: 17369358","page":"5632-5637","source":"www.pnas.org","title":"Consolidation of learning strategies during spatial working memory task requires protein synthesis in the prefrontal cortex","URL":"https://www.pnas.org/content/104/13/5632","volume":"104","author":[{"family":"Touzani","given":"K."},{"family":"Puthanveettil","given":"S. V."},{"family":"Kandel","given":"E. R."}],"accessed":{"date-parts":[["2021",10,23]]},"issued":{"date-parts":[["2007",3,27]]}}}],"schema":"https://github.com/citation-style-language/schema/raw/master/csl-citation.json"} </w:instrText>
      </w:r>
      <w:r w:rsidR="0038343E">
        <w:rPr>
          <w:rFonts w:ascii="Helvetica" w:hAnsi="Helvetica"/>
          <w:sz w:val="18"/>
          <w:szCs w:val="18"/>
        </w:rPr>
        <w:fldChar w:fldCharType="separate"/>
      </w:r>
      <w:r w:rsidR="0038343E">
        <w:rPr>
          <w:rFonts w:ascii="Helvetica" w:hAnsi="Helvetica"/>
          <w:noProof/>
          <w:sz w:val="18"/>
          <w:szCs w:val="18"/>
        </w:rPr>
        <w:t>[4]</w:t>
      </w:r>
      <w:r w:rsidR="0038343E">
        <w:rPr>
          <w:rFonts w:ascii="Helvetica" w:hAnsi="Helvetica"/>
          <w:sz w:val="18"/>
          <w:szCs w:val="18"/>
        </w:rPr>
        <w:fldChar w:fldCharType="end"/>
      </w:r>
      <w:r w:rsidR="00496E94">
        <w:rPr>
          <w:rFonts w:ascii="Helvetica" w:hAnsi="Helvetica"/>
          <w:sz w:val="18"/>
          <w:szCs w:val="18"/>
        </w:rPr>
        <w:t>.</w:t>
      </w:r>
    </w:p>
    <w:p w14:paraId="43A59946" w14:textId="45F4CCB4" w:rsidR="00EB2E22" w:rsidRDefault="006B784B" w:rsidP="006B784B">
      <w:pPr>
        <w:pStyle w:val="NormalWeb"/>
        <w:numPr>
          <w:ilvl w:val="0"/>
          <w:numId w:val="24"/>
        </w:numPr>
        <w:rPr>
          <w:rFonts w:ascii="Helvetica" w:hAnsi="Helvetica"/>
          <w:sz w:val="18"/>
          <w:szCs w:val="18"/>
        </w:rPr>
      </w:pPr>
      <w:r>
        <w:rPr>
          <w:rFonts w:ascii="Helvetica" w:hAnsi="Helvetica"/>
          <w:sz w:val="18"/>
          <w:szCs w:val="18"/>
        </w:rPr>
        <w:t xml:space="preserve">It is also important to determine if regeneration </w:t>
      </w:r>
      <w:r w:rsidR="00EB2E22">
        <w:rPr>
          <w:rFonts w:ascii="Helvetica" w:hAnsi="Helvetica"/>
          <w:sz w:val="18"/>
          <w:szCs w:val="18"/>
        </w:rPr>
        <w:t xml:space="preserve">of </w:t>
      </w:r>
      <w:r w:rsidR="0005512E">
        <w:rPr>
          <w:rFonts w:ascii="Helvetica" w:hAnsi="Helvetica"/>
          <w:sz w:val="18"/>
          <w:szCs w:val="18"/>
        </w:rPr>
        <w:t>oligodendrocyte progenitor cells (</w:t>
      </w:r>
      <w:r w:rsidR="00EB2E22">
        <w:rPr>
          <w:rFonts w:ascii="Helvetica" w:hAnsi="Helvetica"/>
          <w:sz w:val="18"/>
          <w:szCs w:val="18"/>
        </w:rPr>
        <w:t>OPCs</w:t>
      </w:r>
      <w:r w:rsidR="0005512E">
        <w:rPr>
          <w:rFonts w:ascii="Helvetica" w:hAnsi="Helvetica"/>
          <w:sz w:val="18"/>
          <w:szCs w:val="18"/>
        </w:rPr>
        <w:t>)</w:t>
      </w:r>
      <w:r>
        <w:rPr>
          <w:rFonts w:ascii="Helvetica" w:hAnsi="Helvetica"/>
          <w:sz w:val="18"/>
          <w:szCs w:val="18"/>
        </w:rPr>
        <w:t xml:space="preserve"> and oligodendrocytes in vivo </w:t>
      </w:r>
      <w:r w:rsidR="00BB287A">
        <w:rPr>
          <w:rFonts w:ascii="Helvetica" w:hAnsi="Helvetica"/>
          <w:sz w:val="18"/>
          <w:szCs w:val="18"/>
        </w:rPr>
        <w:t xml:space="preserve">happened </w:t>
      </w:r>
      <w:r w:rsidR="0077489B">
        <w:rPr>
          <w:rFonts w:ascii="Helvetica" w:hAnsi="Helvetica"/>
          <w:sz w:val="18"/>
          <w:szCs w:val="18"/>
        </w:rPr>
        <w:t>after optogenetic stimulation.</w:t>
      </w:r>
    </w:p>
    <w:p w14:paraId="103F2ED5" w14:textId="527D7FBA" w:rsidR="006B784B" w:rsidRDefault="00EB2E22" w:rsidP="006B784B">
      <w:pPr>
        <w:pStyle w:val="NormalWeb"/>
        <w:numPr>
          <w:ilvl w:val="0"/>
          <w:numId w:val="24"/>
        </w:numPr>
        <w:rPr>
          <w:rFonts w:ascii="Helvetica" w:hAnsi="Helvetica"/>
          <w:sz w:val="18"/>
          <w:szCs w:val="18"/>
        </w:rPr>
      </w:pPr>
      <w:r>
        <w:rPr>
          <w:rFonts w:ascii="Helvetica" w:hAnsi="Helvetica"/>
          <w:sz w:val="18"/>
          <w:szCs w:val="18"/>
        </w:rPr>
        <w:t>Hence, w</w:t>
      </w:r>
      <w:r w:rsidR="006B784B">
        <w:rPr>
          <w:rFonts w:ascii="Helvetica" w:hAnsi="Helvetica"/>
          <w:sz w:val="18"/>
          <w:szCs w:val="18"/>
        </w:rPr>
        <w:t xml:space="preserve">e will divide our study </w:t>
      </w:r>
      <w:r w:rsidR="006057AB">
        <w:rPr>
          <w:rFonts w:ascii="Helvetica" w:hAnsi="Helvetica"/>
          <w:sz w:val="18"/>
          <w:szCs w:val="18"/>
        </w:rPr>
        <w:t xml:space="preserve">in two steps </w:t>
      </w:r>
      <w:r w:rsidR="006B784B">
        <w:rPr>
          <w:rFonts w:ascii="Helvetica" w:hAnsi="Helvetica"/>
          <w:sz w:val="18"/>
          <w:szCs w:val="18"/>
        </w:rPr>
        <w:t>using tw</w:t>
      </w:r>
      <w:r>
        <w:rPr>
          <w:rFonts w:ascii="Helvetica" w:hAnsi="Helvetica"/>
          <w:sz w:val="18"/>
          <w:szCs w:val="18"/>
        </w:rPr>
        <w:t>o</w:t>
      </w:r>
      <w:r w:rsidR="006B784B">
        <w:rPr>
          <w:rFonts w:ascii="Helvetica" w:hAnsi="Helvetica"/>
          <w:sz w:val="18"/>
          <w:szCs w:val="18"/>
        </w:rPr>
        <w:t xml:space="preserve"> animal models: 1) the Senescence </w:t>
      </w:r>
      <w:r>
        <w:rPr>
          <w:rFonts w:ascii="Helvetica" w:hAnsi="Helvetica"/>
          <w:sz w:val="18"/>
          <w:szCs w:val="18"/>
        </w:rPr>
        <w:t xml:space="preserve">Accelerated Mouse-Prone 8 (SAMP-P/8) following the same methodology described in Fernando model, the only major differences will be a more carefully designed test sets to target more specifically </w:t>
      </w:r>
      <w:proofErr w:type="spellStart"/>
      <w:r>
        <w:rPr>
          <w:rFonts w:ascii="Helvetica" w:hAnsi="Helvetica"/>
          <w:sz w:val="18"/>
          <w:szCs w:val="18"/>
        </w:rPr>
        <w:t>mPFC</w:t>
      </w:r>
      <w:proofErr w:type="spellEnd"/>
      <w:r>
        <w:rPr>
          <w:rFonts w:ascii="Helvetica" w:hAnsi="Helvetica"/>
          <w:sz w:val="18"/>
          <w:szCs w:val="18"/>
        </w:rPr>
        <w:t xml:space="preserve"> neuronal functions (working memory) and 2) a Sox10-EGFP mice</w:t>
      </w:r>
      <w:r w:rsidR="00B57411">
        <w:rPr>
          <w:rFonts w:ascii="Helvetica" w:hAnsi="Helvetica"/>
          <w:sz w:val="18"/>
          <w:szCs w:val="18"/>
        </w:rPr>
        <w:t>,</w:t>
      </w:r>
      <w:r>
        <w:rPr>
          <w:rFonts w:ascii="Helvetica" w:hAnsi="Helvetica"/>
          <w:sz w:val="18"/>
          <w:szCs w:val="18"/>
        </w:rPr>
        <w:t xml:space="preserve"> which identifies </w:t>
      </w:r>
      <w:r w:rsidR="00367B1D">
        <w:rPr>
          <w:rFonts w:ascii="Helvetica" w:hAnsi="Helvetica"/>
          <w:sz w:val="18"/>
          <w:szCs w:val="18"/>
        </w:rPr>
        <w:t>oligodendroglia</w:t>
      </w:r>
      <w:r>
        <w:rPr>
          <w:rFonts w:ascii="Helvetica" w:hAnsi="Helvetica"/>
          <w:sz w:val="18"/>
          <w:szCs w:val="18"/>
        </w:rPr>
        <w:t xml:space="preserve"> cells at all stages of differentiation injected with a </w:t>
      </w:r>
      <w:r w:rsidR="00367B1D">
        <w:rPr>
          <w:rFonts w:ascii="Helvetica" w:hAnsi="Helvetica"/>
          <w:sz w:val="18"/>
          <w:szCs w:val="18"/>
        </w:rPr>
        <w:t>demyelinating</w:t>
      </w:r>
      <w:r>
        <w:rPr>
          <w:rFonts w:ascii="Helvetica" w:hAnsi="Helvetica"/>
          <w:sz w:val="18"/>
          <w:szCs w:val="18"/>
        </w:rPr>
        <w:t xml:space="preserve"> agent lysolecithin (LPC) and the AAV-Chr2 in the </w:t>
      </w:r>
      <w:proofErr w:type="spellStart"/>
      <w:r>
        <w:rPr>
          <w:rFonts w:ascii="Helvetica" w:hAnsi="Helvetica"/>
          <w:sz w:val="18"/>
          <w:szCs w:val="18"/>
        </w:rPr>
        <w:t>mPFC</w:t>
      </w:r>
      <w:proofErr w:type="spellEnd"/>
      <w:r w:rsidR="004E13B7">
        <w:rPr>
          <w:rFonts w:ascii="Helvetica" w:hAnsi="Helvetica"/>
          <w:sz w:val="18"/>
          <w:szCs w:val="18"/>
        </w:rPr>
        <w:t xml:space="preserve"> </w:t>
      </w:r>
      <w:r w:rsidR="004E13B7">
        <w:rPr>
          <w:rFonts w:ascii="Helvetica" w:hAnsi="Helvetica"/>
          <w:sz w:val="18"/>
          <w:szCs w:val="18"/>
        </w:rPr>
        <w:fldChar w:fldCharType="begin"/>
      </w:r>
      <w:r w:rsidR="0038343E">
        <w:rPr>
          <w:rFonts w:ascii="Helvetica" w:hAnsi="Helvetica"/>
          <w:sz w:val="18"/>
          <w:szCs w:val="18"/>
        </w:rPr>
        <w:instrText xml:space="preserve"> ADDIN ZOTERO_ITEM CSL_CITATION {"citationID":"PEfxC1K8","properties":{"formattedCitation":"[5]","plainCitation":"[5]","noteIndex":0},"citationItems":[{"id":282,"uris":["http://zotero.org/users/7286058/items/VXNDSJNG"],"uri":["http://zotero.org/users/7286058/items/VXNDSJNG"],"itemData":{"id":282,"type":"article-journal","container-title":"Scientific Reports","DOI":"10.1038/s41598-017-14207-0","ISSN":"2045-2322","issue":"1","journalAbbreviation":"Sci Rep","language":"en","page":"14133","source":"DOI.org (Crossref)","title":"Differentiation of Oligodendrocyte Precursor Cells from Sox10-Venus Mice to Oligodendrocytes and Astrocytes","URL":"http://www.nature.com/articles/s41598-017-14207-0","volume":"7","author":[{"family":"Suzuki","given":"Nobuharu"},{"family":"Sekimoto","given":"Kaori"},{"family":"Hayashi","given":"Chikako"},{"family":"Mabuchi","given":"Yo"},{"family":"Nakamura","given":"Tetsuya"},{"family":"Akazawa","given":"Chihiro"}],"accessed":{"date-parts":[["2021",10,23]]},"issued":{"date-parts":[["2017",12]]}}}],"schema":"https://github.com/citation-style-language/schema/raw/master/csl-citation.json"} </w:instrText>
      </w:r>
      <w:r w:rsidR="004E13B7">
        <w:rPr>
          <w:rFonts w:ascii="Helvetica" w:hAnsi="Helvetica"/>
          <w:sz w:val="18"/>
          <w:szCs w:val="18"/>
        </w:rPr>
        <w:fldChar w:fldCharType="separate"/>
      </w:r>
      <w:r w:rsidR="0038343E">
        <w:rPr>
          <w:rFonts w:ascii="Helvetica" w:hAnsi="Helvetica"/>
          <w:noProof/>
          <w:sz w:val="18"/>
          <w:szCs w:val="18"/>
        </w:rPr>
        <w:t>[5]</w:t>
      </w:r>
      <w:r w:rsidR="004E13B7">
        <w:rPr>
          <w:rFonts w:ascii="Helvetica" w:hAnsi="Helvetica"/>
          <w:sz w:val="18"/>
          <w:szCs w:val="18"/>
        </w:rPr>
        <w:fldChar w:fldCharType="end"/>
      </w:r>
      <w:r>
        <w:rPr>
          <w:rFonts w:ascii="Helvetica" w:hAnsi="Helvetica"/>
          <w:sz w:val="18"/>
          <w:szCs w:val="18"/>
        </w:rPr>
        <w:t>.</w:t>
      </w:r>
    </w:p>
    <w:p w14:paraId="3CF17D48" w14:textId="6D02031D" w:rsidR="00EB2E22" w:rsidRDefault="00EB2E22" w:rsidP="006B784B">
      <w:pPr>
        <w:pStyle w:val="NormalWeb"/>
        <w:numPr>
          <w:ilvl w:val="0"/>
          <w:numId w:val="24"/>
        </w:numPr>
        <w:rPr>
          <w:rFonts w:ascii="Helvetica" w:hAnsi="Helvetica"/>
          <w:sz w:val="18"/>
          <w:szCs w:val="18"/>
        </w:rPr>
      </w:pPr>
      <w:r>
        <w:rPr>
          <w:rFonts w:ascii="Helvetica" w:hAnsi="Helvetica"/>
          <w:sz w:val="18"/>
          <w:szCs w:val="18"/>
        </w:rPr>
        <w:t xml:space="preserve">With the SAMP-P/8 we will perform the similar experiment detailed by Fernando: two group of same mice with one injected with AAV-Chr2 in the </w:t>
      </w:r>
      <w:proofErr w:type="spellStart"/>
      <w:r>
        <w:rPr>
          <w:rFonts w:ascii="Helvetica" w:hAnsi="Helvetica"/>
          <w:sz w:val="18"/>
          <w:szCs w:val="18"/>
        </w:rPr>
        <w:t>mPFC</w:t>
      </w:r>
      <w:proofErr w:type="spellEnd"/>
      <w:r>
        <w:rPr>
          <w:rFonts w:ascii="Helvetica" w:hAnsi="Helvetica"/>
          <w:sz w:val="18"/>
          <w:szCs w:val="18"/>
        </w:rPr>
        <w:t xml:space="preserve"> and a control group. </w:t>
      </w:r>
      <w:r w:rsidR="0070762C">
        <w:rPr>
          <w:rFonts w:ascii="Helvetica" w:hAnsi="Helvetica"/>
          <w:sz w:val="18"/>
          <w:szCs w:val="18"/>
        </w:rPr>
        <w:t>Since it is difficult to design tests to target only the frontal cortex independently for example of the hippocampus, these mice will be submitted to NDMS tests</w:t>
      </w:r>
      <w:r w:rsidR="00474662">
        <w:rPr>
          <w:rFonts w:ascii="Helvetica" w:hAnsi="Helvetica"/>
          <w:sz w:val="18"/>
          <w:szCs w:val="18"/>
        </w:rPr>
        <w:t>, b</w:t>
      </w:r>
      <w:r w:rsidR="0070762C">
        <w:rPr>
          <w:rFonts w:ascii="Helvetica" w:hAnsi="Helvetica"/>
          <w:sz w:val="18"/>
          <w:szCs w:val="18"/>
        </w:rPr>
        <w:t xml:space="preserve">ut </w:t>
      </w:r>
      <w:r w:rsidR="00C674D1">
        <w:rPr>
          <w:rFonts w:ascii="Helvetica" w:hAnsi="Helvetica"/>
          <w:sz w:val="18"/>
          <w:szCs w:val="18"/>
        </w:rPr>
        <w:t>also,</w:t>
      </w:r>
      <w:r w:rsidR="0070762C">
        <w:rPr>
          <w:rFonts w:ascii="Helvetica" w:hAnsi="Helvetica"/>
          <w:sz w:val="18"/>
          <w:szCs w:val="18"/>
        </w:rPr>
        <w:t xml:space="preserve"> other types of tests. For example,</w:t>
      </w:r>
      <w:r w:rsidR="00C674D1">
        <w:rPr>
          <w:rFonts w:ascii="Helvetica" w:hAnsi="Helvetica"/>
          <w:sz w:val="18"/>
          <w:szCs w:val="18"/>
        </w:rPr>
        <w:t xml:space="preserve"> </w:t>
      </w:r>
      <w:r w:rsidR="0070762C">
        <w:rPr>
          <w:rFonts w:ascii="Helvetica" w:hAnsi="Helvetica"/>
          <w:sz w:val="18"/>
          <w:szCs w:val="18"/>
        </w:rPr>
        <w:t>t</w:t>
      </w:r>
      <w:r>
        <w:rPr>
          <w:rFonts w:ascii="Helvetica" w:hAnsi="Helvetica"/>
          <w:sz w:val="18"/>
          <w:szCs w:val="18"/>
        </w:rPr>
        <w:t xml:space="preserve">hey will be submitted to </w:t>
      </w:r>
      <w:r w:rsidR="006057AB">
        <w:rPr>
          <w:rFonts w:ascii="Helvetica" w:hAnsi="Helvetica"/>
          <w:sz w:val="18"/>
          <w:szCs w:val="18"/>
        </w:rPr>
        <w:t xml:space="preserve">precisely delayed tasks, not too short but long enough so the mice are able to perform the tests but show more significant impairment as the delay is increased. </w:t>
      </w:r>
      <w:r w:rsidR="008E3B13">
        <w:rPr>
          <w:rFonts w:ascii="Helvetica" w:hAnsi="Helvetica"/>
          <w:sz w:val="18"/>
          <w:szCs w:val="18"/>
        </w:rPr>
        <w:t xml:space="preserve">We will also use spatial dependent tests. </w:t>
      </w:r>
      <w:r w:rsidR="006057AB">
        <w:rPr>
          <w:rFonts w:ascii="Helvetica" w:hAnsi="Helvetica"/>
          <w:sz w:val="18"/>
          <w:szCs w:val="18"/>
        </w:rPr>
        <w:t xml:space="preserve">As an illustration, train the mice on a spatial win-shift task in which the correct choice depends on which maze arm was rewarded two trials back </w:t>
      </w:r>
      <w:r w:rsidR="004E13B7">
        <w:rPr>
          <w:rFonts w:ascii="Helvetica" w:hAnsi="Helvetica"/>
          <w:sz w:val="18"/>
          <w:szCs w:val="18"/>
        </w:rPr>
        <w:fldChar w:fldCharType="begin"/>
      </w:r>
      <w:r w:rsidR="0038343E">
        <w:rPr>
          <w:rFonts w:ascii="Helvetica" w:hAnsi="Helvetica"/>
          <w:sz w:val="18"/>
          <w:szCs w:val="18"/>
        </w:rPr>
        <w:instrText xml:space="preserve"> ADDIN ZOTERO_ITEM CSL_CITATION {"citationID":"GnmYc8HG","properties":{"formattedCitation":"[4]","plainCitation":"[4]","noteIndex":0},"citationItems":[{"id":283,"uris":["http://zotero.org/users/7286058/items/JB5GXQHS"],"uri":["http://zotero.org/users/7286058/items/JB5GXQHS"],"itemData":{"id":283,"type":"article-journal","abstract":"Working memory is a temporary memory store where information is held briefly until the appropriate behavior is produced. However, the improvement in the performance of working memory tasks with practice over days points to the existence of a long-lasting component associated with learning strategies that lead to optimal performance. Here we show that the improvement in the performance of mice in a radial maze working memory task required the integrity of the medial prefrontal cortex (mPFC). We further demonstrate that this improvement of working memory performance requires the synthesis of de novo proteins in the mPFC. We suggest that in addition to storing memory briefly the mPFC is also involved in the consolidation and storage of the long-term learning strategies used in working memory.","container-title":"Proceedings of the National Academy of Sciences","DOI":"10.1073/pnas.0611554104","ISSN":"0027-8424, 1091-6490","issue":"13","journalAbbreviation":"PNAS","language":"en","note":"publisher: National Academy of Sciences\nsection: Biological Sciences\nPMID: 17369358","page":"5632-5637","source":"www.pnas.org","title":"Consolidation of learning strategies during spatial working memory task requires protein synthesis in the prefrontal cortex","URL":"https://www.pnas.org/content/104/13/5632","volume":"104","author":[{"family":"Touzani","given":"K."},{"family":"Puthanveettil","given":"S. V."},{"family":"Kandel","given":"E. R."}],"accessed":{"date-parts":[["2021",10,23]]},"issued":{"date-parts":[["2007",3,27]]}}}],"schema":"https://github.com/citation-style-language/schema/raw/master/csl-citation.json"} </w:instrText>
      </w:r>
      <w:r w:rsidR="004E13B7">
        <w:rPr>
          <w:rFonts w:ascii="Helvetica" w:hAnsi="Helvetica"/>
          <w:sz w:val="18"/>
          <w:szCs w:val="18"/>
        </w:rPr>
        <w:fldChar w:fldCharType="separate"/>
      </w:r>
      <w:r w:rsidR="0038343E">
        <w:rPr>
          <w:rFonts w:ascii="Helvetica" w:hAnsi="Helvetica"/>
          <w:noProof/>
          <w:sz w:val="18"/>
          <w:szCs w:val="18"/>
        </w:rPr>
        <w:t>[4]</w:t>
      </w:r>
      <w:r w:rsidR="004E13B7">
        <w:rPr>
          <w:rFonts w:ascii="Helvetica" w:hAnsi="Helvetica"/>
          <w:sz w:val="18"/>
          <w:szCs w:val="18"/>
        </w:rPr>
        <w:fldChar w:fldCharType="end"/>
      </w:r>
      <w:r w:rsidR="006057AB">
        <w:rPr>
          <w:rFonts w:ascii="Helvetica" w:hAnsi="Helvetica"/>
          <w:sz w:val="18"/>
          <w:szCs w:val="18"/>
        </w:rPr>
        <w:t>.</w:t>
      </w:r>
      <w:r w:rsidR="00E1739B">
        <w:rPr>
          <w:rFonts w:ascii="Helvetica" w:hAnsi="Helvetica"/>
          <w:sz w:val="18"/>
          <w:szCs w:val="18"/>
        </w:rPr>
        <w:t xml:space="preserve"> We will follow a similar schedule</w:t>
      </w:r>
      <w:r w:rsidR="00F24091">
        <w:rPr>
          <w:rFonts w:ascii="Helvetica" w:hAnsi="Helvetica"/>
          <w:sz w:val="18"/>
          <w:szCs w:val="18"/>
        </w:rPr>
        <w:t xml:space="preserve"> to the one </w:t>
      </w:r>
      <w:r w:rsidR="000A02BE">
        <w:rPr>
          <w:rFonts w:ascii="Helvetica" w:hAnsi="Helvetica"/>
          <w:sz w:val="18"/>
          <w:szCs w:val="18"/>
        </w:rPr>
        <w:t>described in Fernando experiment</w:t>
      </w:r>
      <w:r w:rsidR="00F24091">
        <w:rPr>
          <w:rFonts w:ascii="Helvetica" w:hAnsi="Helvetica"/>
          <w:sz w:val="18"/>
          <w:szCs w:val="18"/>
        </w:rPr>
        <w:t>:</w:t>
      </w:r>
      <w:r w:rsidR="00E1739B">
        <w:rPr>
          <w:rFonts w:ascii="Helvetica" w:hAnsi="Helvetica"/>
          <w:sz w:val="18"/>
          <w:szCs w:val="18"/>
        </w:rPr>
        <w:t xml:space="preserve"> a day of exposition to excitatory light followed by</w:t>
      </w:r>
      <w:r w:rsidR="00E22EEA">
        <w:rPr>
          <w:rFonts w:ascii="Helvetica" w:hAnsi="Helvetica"/>
          <w:sz w:val="18"/>
          <w:szCs w:val="18"/>
        </w:rPr>
        <w:t xml:space="preserve"> a day </w:t>
      </w:r>
      <w:r w:rsidR="0070762C">
        <w:rPr>
          <w:rFonts w:ascii="Helvetica" w:hAnsi="Helvetica"/>
          <w:sz w:val="18"/>
          <w:szCs w:val="18"/>
        </w:rPr>
        <w:t xml:space="preserve">of </w:t>
      </w:r>
      <w:r w:rsidR="00F24091">
        <w:rPr>
          <w:rFonts w:ascii="Helvetica" w:hAnsi="Helvetica"/>
          <w:sz w:val="18"/>
          <w:szCs w:val="18"/>
        </w:rPr>
        <w:t xml:space="preserve">rest </w:t>
      </w:r>
      <w:r w:rsidR="0070762C">
        <w:rPr>
          <w:rFonts w:ascii="Helvetica" w:hAnsi="Helvetica"/>
          <w:sz w:val="18"/>
          <w:szCs w:val="18"/>
        </w:rPr>
        <w:t>for</w:t>
      </w:r>
      <w:r w:rsidR="00E22EEA">
        <w:rPr>
          <w:rFonts w:ascii="Helvetica" w:hAnsi="Helvetica"/>
          <w:sz w:val="18"/>
          <w:szCs w:val="18"/>
        </w:rPr>
        <w:t xml:space="preserve"> </w:t>
      </w:r>
      <w:r w:rsidR="002E3FFC">
        <w:rPr>
          <w:rFonts w:ascii="Helvetica" w:hAnsi="Helvetica"/>
          <w:sz w:val="18"/>
          <w:szCs w:val="18"/>
        </w:rPr>
        <w:t xml:space="preserve">the </w:t>
      </w:r>
      <w:r w:rsidR="000A02BE">
        <w:rPr>
          <w:rFonts w:ascii="Helvetica" w:hAnsi="Helvetica"/>
          <w:sz w:val="18"/>
          <w:szCs w:val="18"/>
        </w:rPr>
        <w:t xml:space="preserve">stimulated </w:t>
      </w:r>
      <w:r w:rsidR="00E1739B">
        <w:rPr>
          <w:rFonts w:ascii="Helvetica" w:hAnsi="Helvetica"/>
          <w:sz w:val="18"/>
          <w:szCs w:val="18"/>
        </w:rPr>
        <w:t>mice</w:t>
      </w:r>
      <w:r w:rsidR="000A02BE">
        <w:rPr>
          <w:rFonts w:ascii="Helvetica" w:hAnsi="Helvetica"/>
          <w:sz w:val="18"/>
          <w:szCs w:val="18"/>
        </w:rPr>
        <w:t xml:space="preserve"> then tests for both group of mice</w:t>
      </w:r>
      <w:r w:rsidR="00E1739B">
        <w:rPr>
          <w:rFonts w:ascii="Helvetica" w:hAnsi="Helvetica"/>
          <w:sz w:val="18"/>
          <w:szCs w:val="18"/>
        </w:rPr>
        <w:t xml:space="preserve">. We will </w:t>
      </w:r>
      <w:r w:rsidR="005C402A">
        <w:rPr>
          <w:rFonts w:ascii="Helvetica" w:hAnsi="Helvetica"/>
          <w:sz w:val="18"/>
          <w:szCs w:val="18"/>
        </w:rPr>
        <w:t>adopt</w:t>
      </w:r>
      <w:r w:rsidR="00E1739B">
        <w:rPr>
          <w:rFonts w:ascii="Helvetica" w:hAnsi="Helvetica"/>
          <w:sz w:val="18"/>
          <w:szCs w:val="18"/>
        </w:rPr>
        <w:t xml:space="preserve"> this </w:t>
      </w:r>
      <w:r w:rsidR="005C402A">
        <w:rPr>
          <w:rFonts w:ascii="Helvetica" w:hAnsi="Helvetica"/>
          <w:sz w:val="18"/>
          <w:szCs w:val="18"/>
        </w:rPr>
        <w:t>pace</w:t>
      </w:r>
      <w:r w:rsidR="00E1739B">
        <w:rPr>
          <w:rFonts w:ascii="Helvetica" w:hAnsi="Helvetica"/>
          <w:sz w:val="18"/>
          <w:szCs w:val="18"/>
        </w:rPr>
        <w:t xml:space="preserve"> for at least 2 weeks</w:t>
      </w:r>
      <w:r w:rsidR="00B505D3" w:rsidRPr="007351FE">
        <w:rPr>
          <w:rStyle w:val="FootnoteReference"/>
        </w:rPr>
        <w:footnoteReference w:id="1"/>
      </w:r>
      <w:r w:rsidR="00E1739B">
        <w:rPr>
          <w:rFonts w:ascii="Helvetica" w:hAnsi="Helvetica"/>
          <w:sz w:val="18"/>
          <w:szCs w:val="18"/>
        </w:rPr>
        <w:t>.</w:t>
      </w:r>
    </w:p>
    <w:p w14:paraId="7E7908C6" w14:textId="08AB0629" w:rsidR="006057AB" w:rsidRDefault="006057AB" w:rsidP="0005512E">
      <w:pPr>
        <w:pStyle w:val="NormalWeb"/>
        <w:numPr>
          <w:ilvl w:val="0"/>
          <w:numId w:val="24"/>
        </w:numPr>
        <w:rPr>
          <w:rFonts w:ascii="Helvetica" w:hAnsi="Helvetica"/>
          <w:sz w:val="18"/>
          <w:szCs w:val="18"/>
        </w:rPr>
      </w:pPr>
      <w:r>
        <w:rPr>
          <w:rFonts w:ascii="Helvetica" w:hAnsi="Helvetica"/>
          <w:sz w:val="18"/>
          <w:szCs w:val="18"/>
        </w:rPr>
        <w:t xml:space="preserve">We will </w:t>
      </w:r>
      <w:r w:rsidR="00B04BD9">
        <w:rPr>
          <w:rFonts w:ascii="Helvetica" w:hAnsi="Helvetica"/>
          <w:sz w:val="18"/>
          <w:szCs w:val="18"/>
        </w:rPr>
        <w:t xml:space="preserve">then </w:t>
      </w:r>
      <w:r>
        <w:rPr>
          <w:rFonts w:ascii="Helvetica" w:hAnsi="Helvetica"/>
          <w:sz w:val="18"/>
          <w:szCs w:val="18"/>
        </w:rPr>
        <w:t>proceed with the second animal model</w:t>
      </w:r>
      <w:r w:rsidR="002F673E">
        <w:rPr>
          <w:rFonts w:ascii="Helvetica" w:hAnsi="Helvetica"/>
          <w:sz w:val="18"/>
          <w:szCs w:val="18"/>
        </w:rPr>
        <w:t>,</w:t>
      </w:r>
      <w:r>
        <w:rPr>
          <w:rFonts w:ascii="Helvetica" w:hAnsi="Helvetica"/>
          <w:sz w:val="18"/>
          <w:szCs w:val="18"/>
        </w:rPr>
        <w:t xml:space="preserve"> </w:t>
      </w:r>
      <w:r w:rsidR="002F673E">
        <w:rPr>
          <w:rFonts w:ascii="Helvetica" w:hAnsi="Helvetica"/>
          <w:sz w:val="18"/>
          <w:szCs w:val="18"/>
        </w:rPr>
        <w:t xml:space="preserve">the </w:t>
      </w:r>
      <w:r>
        <w:rPr>
          <w:rFonts w:ascii="Helvetica" w:hAnsi="Helvetica"/>
          <w:sz w:val="18"/>
          <w:szCs w:val="18"/>
        </w:rPr>
        <w:t>Sox10-EGFP mice</w:t>
      </w:r>
      <w:r w:rsidR="002F673E">
        <w:rPr>
          <w:rFonts w:ascii="Helvetica" w:hAnsi="Helvetica"/>
          <w:sz w:val="18"/>
          <w:szCs w:val="18"/>
        </w:rPr>
        <w:t xml:space="preserve">, </w:t>
      </w:r>
      <w:r>
        <w:rPr>
          <w:rFonts w:ascii="Helvetica" w:hAnsi="Helvetica"/>
          <w:sz w:val="18"/>
          <w:szCs w:val="18"/>
        </w:rPr>
        <w:t xml:space="preserve">which will also have neurons in the </w:t>
      </w:r>
      <w:proofErr w:type="spellStart"/>
      <w:r>
        <w:rPr>
          <w:rFonts w:ascii="Helvetica" w:hAnsi="Helvetica"/>
          <w:sz w:val="18"/>
          <w:szCs w:val="18"/>
        </w:rPr>
        <w:t>mP</w:t>
      </w:r>
      <w:r w:rsidR="0005512E">
        <w:rPr>
          <w:rFonts w:ascii="Helvetica" w:hAnsi="Helvetica"/>
          <w:sz w:val="18"/>
          <w:szCs w:val="18"/>
        </w:rPr>
        <w:t>F</w:t>
      </w:r>
      <w:r>
        <w:rPr>
          <w:rFonts w:ascii="Helvetica" w:hAnsi="Helvetica"/>
          <w:sz w:val="18"/>
          <w:szCs w:val="18"/>
        </w:rPr>
        <w:t>C</w:t>
      </w:r>
      <w:proofErr w:type="spellEnd"/>
      <w:r>
        <w:rPr>
          <w:rFonts w:ascii="Helvetica" w:hAnsi="Helvetica"/>
          <w:sz w:val="18"/>
          <w:szCs w:val="18"/>
        </w:rPr>
        <w:t xml:space="preserve"> </w:t>
      </w:r>
      <w:r w:rsidR="00367B1D">
        <w:rPr>
          <w:rFonts w:ascii="Helvetica" w:hAnsi="Helvetica"/>
          <w:sz w:val="18"/>
          <w:szCs w:val="18"/>
        </w:rPr>
        <w:t>ontogenetically</w:t>
      </w:r>
      <w:r>
        <w:rPr>
          <w:rFonts w:ascii="Helvetica" w:hAnsi="Helvetica"/>
          <w:sz w:val="18"/>
          <w:szCs w:val="18"/>
        </w:rPr>
        <w:t xml:space="preserve"> stimulated. We will wait about 6 months because this is the inflexion point after which there has been a significant decline in the rate of remyelination</w:t>
      </w:r>
      <w:r w:rsidR="007E6097">
        <w:rPr>
          <w:rFonts w:ascii="Helvetica" w:hAnsi="Helvetica"/>
          <w:sz w:val="18"/>
          <w:szCs w:val="18"/>
        </w:rPr>
        <w:t>, we will then proceed to the battery of tests used in step 1</w:t>
      </w:r>
      <w:r>
        <w:rPr>
          <w:rFonts w:ascii="Helvetica" w:hAnsi="Helvetica"/>
          <w:sz w:val="18"/>
          <w:szCs w:val="18"/>
        </w:rPr>
        <w:t>.</w:t>
      </w:r>
      <w:r w:rsidR="0005512E">
        <w:rPr>
          <w:rFonts w:ascii="Helvetica" w:hAnsi="Helvetica"/>
          <w:sz w:val="18"/>
          <w:szCs w:val="18"/>
        </w:rPr>
        <w:t xml:space="preserve"> We will administer to these mice the cell proliferation marker Edu and the pan-</w:t>
      </w:r>
      <w:r w:rsidR="00367B1D">
        <w:rPr>
          <w:rFonts w:ascii="Helvetica" w:hAnsi="Helvetica"/>
          <w:sz w:val="18"/>
          <w:szCs w:val="18"/>
        </w:rPr>
        <w:t>oligodendroglia</w:t>
      </w:r>
      <w:r w:rsidR="0005512E">
        <w:rPr>
          <w:rFonts w:ascii="Helvetica" w:hAnsi="Helvetica"/>
          <w:sz w:val="18"/>
          <w:szCs w:val="18"/>
        </w:rPr>
        <w:t xml:space="preserve"> marker Olig2</w:t>
      </w:r>
      <w:r w:rsidR="0005512E" w:rsidRPr="0005512E">
        <w:rPr>
          <w:rFonts w:ascii="Helvetica" w:hAnsi="Helvetica"/>
          <w:sz w:val="18"/>
          <w:szCs w:val="18"/>
        </w:rPr>
        <w:t xml:space="preserve"> to </w:t>
      </w:r>
      <w:r w:rsidR="0005512E">
        <w:rPr>
          <w:rFonts w:ascii="Helvetica" w:hAnsi="Helvetica"/>
          <w:sz w:val="18"/>
          <w:szCs w:val="18"/>
        </w:rPr>
        <w:t>identify and quantify the total</w:t>
      </w:r>
      <w:r w:rsidR="0005512E" w:rsidRPr="0005512E">
        <w:rPr>
          <w:rFonts w:ascii="Helvetica" w:hAnsi="Helvetica"/>
          <w:sz w:val="18"/>
          <w:szCs w:val="18"/>
        </w:rPr>
        <w:t xml:space="preserve"> number of OPCs</w:t>
      </w:r>
      <w:r w:rsidR="0005512E">
        <w:rPr>
          <w:rFonts w:ascii="Helvetica" w:hAnsi="Helvetica"/>
          <w:sz w:val="18"/>
          <w:szCs w:val="18"/>
        </w:rPr>
        <w:t xml:space="preserve"> </w:t>
      </w:r>
      <w:r w:rsidR="00E1739B">
        <w:rPr>
          <w:rFonts w:ascii="Helvetica" w:hAnsi="Helvetica"/>
          <w:sz w:val="18"/>
          <w:szCs w:val="18"/>
        </w:rPr>
        <w:t xml:space="preserve">at the beginning of each optogenetic stimulation session before the test session and </w:t>
      </w:r>
      <w:r w:rsidR="006D537C">
        <w:rPr>
          <w:rFonts w:ascii="Helvetica" w:hAnsi="Helvetica"/>
          <w:sz w:val="18"/>
          <w:szCs w:val="18"/>
        </w:rPr>
        <w:t xml:space="preserve">after the test session, </w:t>
      </w:r>
      <w:r w:rsidR="00E1739B">
        <w:rPr>
          <w:rFonts w:ascii="Helvetica" w:hAnsi="Helvetica"/>
          <w:sz w:val="18"/>
          <w:szCs w:val="18"/>
        </w:rPr>
        <w:t xml:space="preserve">keeping track of these numbers and various statistics related to these measures for the next two weeks. </w:t>
      </w:r>
      <w:r w:rsidR="00B63A52">
        <w:rPr>
          <w:rFonts w:ascii="Helvetica" w:hAnsi="Helvetica"/>
          <w:sz w:val="18"/>
          <w:szCs w:val="18"/>
        </w:rPr>
        <w:t xml:space="preserve">We will also keep track of the myelin index (MI) which is a measure of the numerical density of myelin sheaths that cross the z-plane in the </w:t>
      </w:r>
      <w:proofErr w:type="spellStart"/>
      <w:r w:rsidR="00B63A52">
        <w:rPr>
          <w:rFonts w:ascii="Helvetica" w:hAnsi="Helvetica"/>
          <w:sz w:val="18"/>
          <w:szCs w:val="18"/>
        </w:rPr>
        <w:t>mPFC</w:t>
      </w:r>
      <w:proofErr w:type="spellEnd"/>
      <w:r w:rsidR="00B63A52">
        <w:rPr>
          <w:rFonts w:ascii="Helvetica" w:hAnsi="Helvetica"/>
          <w:sz w:val="18"/>
          <w:szCs w:val="18"/>
        </w:rPr>
        <w:t>.</w:t>
      </w:r>
      <w:r w:rsidR="005058A8">
        <w:rPr>
          <w:rFonts w:ascii="Helvetica" w:hAnsi="Helvetica"/>
          <w:sz w:val="18"/>
          <w:szCs w:val="18"/>
        </w:rPr>
        <w:t xml:space="preserve"> These metrics will complement </w:t>
      </w:r>
      <w:r w:rsidR="00367B1D">
        <w:rPr>
          <w:rFonts w:ascii="Helvetica" w:hAnsi="Helvetica"/>
          <w:sz w:val="18"/>
          <w:szCs w:val="18"/>
        </w:rPr>
        <w:t>various visual</w:t>
      </w:r>
      <w:r w:rsidR="005058A8">
        <w:rPr>
          <w:rFonts w:ascii="Helvetica" w:hAnsi="Helvetica"/>
          <w:sz w:val="18"/>
          <w:szCs w:val="18"/>
        </w:rPr>
        <w:t xml:space="preserve"> examination</w:t>
      </w:r>
      <w:r w:rsidR="00124465">
        <w:rPr>
          <w:rFonts w:ascii="Helvetica" w:hAnsi="Helvetica"/>
          <w:sz w:val="18"/>
          <w:szCs w:val="18"/>
        </w:rPr>
        <w:t>s</w:t>
      </w:r>
      <w:r w:rsidR="005058A8">
        <w:rPr>
          <w:rFonts w:ascii="Helvetica" w:hAnsi="Helvetica"/>
          <w:sz w:val="18"/>
          <w:szCs w:val="18"/>
        </w:rPr>
        <w:t xml:space="preserve"> of </w:t>
      </w:r>
      <w:r w:rsidR="009D5E11">
        <w:rPr>
          <w:rFonts w:ascii="Helvetica" w:hAnsi="Helvetica"/>
          <w:sz w:val="18"/>
          <w:szCs w:val="18"/>
        </w:rPr>
        <w:t>confocal z-sections of induce</w:t>
      </w:r>
      <w:r w:rsidR="007A24ED">
        <w:rPr>
          <w:rFonts w:ascii="Helvetica" w:hAnsi="Helvetica"/>
          <w:sz w:val="18"/>
          <w:szCs w:val="18"/>
        </w:rPr>
        <w:t>d</w:t>
      </w:r>
      <w:r w:rsidR="009D5E11">
        <w:rPr>
          <w:rFonts w:ascii="Helvetica" w:hAnsi="Helvetica"/>
          <w:sz w:val="18"/>
          <w:szCs w:val="18"/>
        </w:rPr>
        <w:t xml:space="preserve"> mice vs. </w:t>
      </w:r>
      <w:r w:rsidR="007A24ED">
        <w:rPr>
          <w:rFonts w:ascii="Helvetica" w:hAnsi="Helvetica"/>
          <w:sz w:val="18"/>
          <w:szCs w:val="18"/>
        </w:rPr>
        <w:t>non-induced</w:t>
      </w:r>
      <w:r w:rsidR="009D5E11">
        <w:rPr>
          <w:rFonts w:ascii="Helvetica" w:hAnsi="Helvetica"/>
          <w:sz w:val="18"/>
          <w:szCs w:val="18"/>
        </w:rPr>
        <w:t xml:space="preserve"> mice </w:t>
      </w:r>
      <w:r w:rsidR="005407C1">
        <w:rPr>
          <w:rFonts w:ascii="Helvetica" w:hAnsi="Helvetica"/>
          <w:sz w:val="18"/>
          <w:szCs w:val="18"/>
        </w:rPr>
        <w:t xml:space="preserve">that </w:t>
      </w:r>
      <w:r w:rsidR="00124465">
        <w:rPr>
          <w:rFonts w:ascii="Helvetica" w:hAnsi="Helvetica"/>
          <w:sz w:val="18"/>
          <w:szCs w:val="18"/>
        </w:rPr>
        <w:t xml:space="preserve">we will perform </w:t>
      </w:r>
      <w:r w:rsidR="009D5E11">
        <w:rPr>
          <w:rFonts w:ascii="Helvetica" w:hAnsi="Helvetica"/>
          <w:sz w:val="18"/>
          <w:szCs w:val="18"/>
        </w:rPr>
        <w:t xml:space="preserve">to assess </w:t>
      </w:r>
      <w:r w:rsidR="00124465">
        <w:rPr>
          <w:rFonts w:ascii="Helvetica" w:hAnsi="Helvetica"/>
          <w:sz w:val="18"/>
          <w:szCs w:val="18"/>
        </w:rPr>
        <w:t xml:space="preserve">the </w:t>
      </w:r>
      <w:r w:rsidR="009D5E11">
        <w:rPr>
          <w:rFonts w:ascii="Helvetica" w:hAnsi="Helvetica"/>
          <w:sz w:val="18"/>
          <w:szCs w:val="18"/>
        </w:rPr>
        <w:t>change</w:t>
      </w:r>
      <w:r w:rsidR="00124465">
        <w:rPr>
          <w:rFonts w:ascii="Helvetica" w:hAnsi="Helvetica"/>
          <w:sz w:val="18"/>
          <w:szCs w:val="18"/>
        </w:rPr>
        <w:t>s</w:t>
      </w:r>
      <w:r w:rsidR="009D5E11">
        <w:rPr>
          <w:rFonts w:ascii="Helvetica" w:hAnsi="Helvetica"/>
          <w:sz w:val="18"/>
          <w:szCs w:val="18"/>
        </w:rPr>
        <w:t xml:space="preserve"> in </w:t>
      </w:r>
      <w:proofErr w:type="spellStart"/>
      <w:r w:rsidR="009D5E11">
        <w:rPr>
          <w:rFonts w:ascii="Helvetica" w:hAnsi="Helvetica"/>
          <w:sz w:val="18"/>
          <w:szCs w:val="18"/>
        </w:rPr>
        <w:t>oligodendrogenesis</w:t>
      </w:r>
      <w:proofErr w:type="spellEnd"/>
      <w:r w:rsidR="009D5E11">
        <w:rPr>
          <w:rFonts w:ascii="Helvetica" w:hAnsi="Helvetica"/>
          <w:sz w:val="18"/>
          <w:szCs w:val="18"/>
        </w:rPr>
        <w:t>.</w:t>
      </w:r>
    </w:p>
    <w:p w14:paraId="4F456E70" w14:textId="77777777" w:rsidR="005F125C" w:rsidRDefault="00C1186A" w:rsidP="005F125C">
      <w:pPr>
        <w:pStyle w:val="NormalWeb"/>
        <w:numPr>
          <w:ilvl w:val="0"/>
          <w:numId w:val="24"/>
        </w:numPr>
        <w:rPr>
          <w:rFonts w:ascii="Helvetica" w:hAnsi="Helvetica"/>
          <w:sz w:val="18"/>
          <w:szCs w:val="18"/>
        </w:rPr>
      </w:pPr>
      <w:r>
        <w:rPr>
          <w:rFonts w:ascii="Helvetica" w:hAnsi="Helvetica"/>
          <w:sz w:val="18"/>
          <w:szCs w:val="18"/>
        </w:rPr>
        <w:t>Although we want to compare mice with similar genome, we may integrate a third group of wild-type mice which could act as our reference for the different quantification and statistical analysis we are planning to perform.</w:t>
      </w:r>
    </w:p>
    <w:p w14:paraId="0C0D1F83" w14:textId="7E9C24CF" w:rsidR="00B01231" w:rsidRPr="002507CA" w:rsidRDefault="008B3BA0" w:rsidP="00B01231">
      <w:pPr>
        <w:pStyle w:val="NormalWeb"/>
        <w:numPr>
          <w:ilvl w:val="0"/>
          <w:numId w:val="24"/>
        </w:numPr>
        <w:rPr>
          <w:rFonts w:ascii="Helvetica" w:hAnsi="Helvetica"/>
          <w:sz w:val="18"/>
          <w:szCs w:val="18"/>
        </w:rPr>
      </w:pPr>
      <w:r>
        <w:rPr>
          <w:rFonts w:ascii="Helvetica" w:hAnsi="Helvetica"/>
          <w:sz w:val="18"/>
          <w:szCs w:val="18"/>
        </w:rPr>
        <w:t>In conclusion, w</w:t>
      </w:r>
      <w:r w:rsidR="005F125C">
        <w:rPr>
          <w:rFonts w:ascii="Helvetica" w:hAnsi="Helvetica"/>
          <w:sz w:val="18"/>
          <w:szCs w:val="18"/>
        </w:rPr>
        <w:t>e will follow well-defined cognitive tests</w:t>
      </w:r>
      <w:r w:rsidR="002507CA">
        <w:rPr>
          <w:rFonts w:ascii="Helvetica" w:hAnsi="Helvetica"/>
          <w:sz w:val="18"/>
          <w:szCs w:val="18"/>
        </w:rPr>
        <w:t xml:space="preserve"> </w:t>
      </w:r>
      <w:r w:rsidR="002507CA">
        <w:rPr>
          <w:rFonts w:ascii="Helvetica" w:hAnsi="Helvetica"/>
          <w:sz w:val="18"/>
          <w:szCs w:val="18"/>
        </w:rPr>
        <w:fldChar w:fldCharType="begin"/>
      </w:r>
      <w:r w:rsidR="002507CA">
        <w:rPr>
          <w:rFonts w:ascii="Helvetica" w:hAnsi="Helvetica"/>
          <w:sz w:val="18"/>
          <w:szCs w:val="18"/>
        </w:rPr>
        <w:instrText xml:space="preserve"> ADDIN ZOTERO_ITEM CSL_CITATION {"citationID":"u1P1jFcI","properties":{"formattedCitation":"[6]","plainCitation":"[6]","noteIndex":0},"citationItems":[{"id":320,"uris":["http://zotero.org/users/7286058/items/JXD3I2YI"],"uri":["http://zotero.org/users/7286058/items/JXD3I2YI"],"itemData":{"id":320,"type":"chapter","abstract":"Although most behavioral experiments have been conducted in rats, mice are rapidly\nbecoming the preferred rodent of study in many labs because their genetics are well\nknown, their genome has been sequenced, and they can be genetically manipulated. To\ndate, several different approaches have been used to generate a behavioral phenotype for\nstudy. In “forward” genetics, the analysis proceeds from phenotype to\ngenotype. This is a classical approach, and it includes mice where spontaneous mutations\nhave been identified in certain genes [1] or where mice have been subjected to radiation [2] or chemical mutagenesis\n[3]. This\napproach also pertains to mouse strains that have been shown to display a certain\nphenotype or to animals that have been selectively bred for a given behavioral trait\n[4–6]. Although forward genetics can provide very\ninteresting animal models, the genetic basis of the abnormal behavior is often obscure.\nThis limitation requires the site(s) of the mutation(s) to be mapped and sequenced\n[7–9], which can be quite laborious and time consuming.\nConsequently, many investigators have adopted “reverse”\ngenetics, where the analysis proceeds from genotype to phenotype. Here, a specific gene\nis targeted for disruption or modification, and the mutants are evaluated for behavioral\nabnormalities. Investigators typically employ transgenesis to produce either gain of\nfunction through expression of hybrid genes and duplication of endogenous genes or loss\nof function by expressing dominant-negative hybrid genes, toxic genes, or disrupting\nendogenous genes [10–14]. These gene-targeting\napproaches in embryonic stem cells, or in one-cell embryos, may lead to alterations in\nexpression of other members of the same gene family, with behavioral compensation\noccurring during development and adulthood [15]. This developmental compensation is a common\ncriticism of transgenic experiments. However, it should be emphasized that such\ncompensation is rarely the basis of study in mutant mice per se, and\nthere are many incidences where compensation by nonmutant family members does not appear\nto contribute to the phenotype [16]. Nevertheless, to obviate this criticism of developmental\ncompensation, some investigators have begun using systems that induce or suppress\nexpression of specific genes at certain ages or within a given brain region\n[17–19]. More recently, reduction in gene expression\nin vivo has been accomplished through the introduction of RNA\ninterference that targets a specific RNA species [20]. Although this approach does not completely\nsuppress expression of the target gene, it can reduce it (80%) to levels\nsufficient to produce quantifiable biochemical and behavioral changes. Together, forward and reverse genetic approaches have provided important insights into\nthe roles that selected genes play in the composition of a given behavioral phenotype.\nMost of these approaches have some limitations because behaviors in humans are\ncontrolled not by a single gene, but by many genes interacting in concert with the\nenvironment. Analyses are currently proceeding where (a) qualitative trait loci in mice\nare identified, (b) mice with known genetic mutations are outcrossed to other mutants,\nor (c) mice with known genetic backgrounds are exposed to differing environmental\nconditions [21–23]. This multitude of approaches with mice has\nand will continue to yield novel insights into the genetic and molecular antecedents\nthat affect behavior.","call-number":"NBK2527","collection-title":"Frontiers in Neuroscience","container-title":"Animal Models of Cognitive Impairment","event-place":"Boca Raton (FL)","ISBN":"978-0-8493-2834-3","language":"eng","note":"PMID: 21204369","publisher":"CRC Press/Taylor &amp; Francis","publisher-place":"Boca Raton (FL)","source":"PubMed","title":"Assessments of Cognitive Deficits in Mutant Mice","URL":"http://www.ncbi.nlm.nih.gov/books/NBK2527/","author":[{"family":"Rodriguiz","given":"Ramona Marie"},{"family":"Wetsel","given":"William C."}],"editor":[{"family":"Levin","given":"Edward D."},{"family":"Buccafusco","given":"Jerry J."}],"accessed":{"date-parts":[["2021",10,24]]},"issued":{"date-parts":[["2006"]]}}}],"schema":"https://github.com/citation-style-language/schema/raw/master/csl-citation.json"} </w:instrText>
      </w:r>
      <w:r w:rsidR="002507CA">
        <w:rPr>
          <w:rFonts w:ascii="Helvetica" w:hAnsi="Helvetica"/>
          <w:sz w:val="18"/>
          <w:szCs w:val="18"/>
        </w:rPr>
        <w:fldChar w:fldCharType="separate"/>
      </w:r>
      <w:r w:rsidR="002507CA">
        <w:rPr>
          <w:rFonts w:ascii="Helvetica" w:hAnsi="Helvetica"/>
          <w:noProof/>
          <w:sz w:val="18"/>
          <w:szCs w:val="18"/>
        </w:rPr>
        <w:t>[6]</w:t>
      </w:r>
      <w:r w:rsidR="002507CA">
        <w:rPr>
          <w:rFonts w:ascii="Helvetica" w:hAnsi="Helvetica"/>
          <w:sz w:val="18"/>
          <w:szCs w:val="18"/>
        </w:rPr>
        <w:fldChar w:fldCharType="end"/>
      </w:r>
      <w:r>
        <w:rPr>
          <w:rFonts w:ascii="Helvetica" w:hAnsi="Helvetica"/>
          <w:sz w:val="18"/>
          <w:szCs w:val="18"/>
        </w:rPr>
        <w:t xml:space="preserve"> and compiled various summary statistics to quantify our measurements on the tests but also in term of </w:t>
      </w:r>
      <w:proofErr w:type="spellStart"/>
      <w:r>
        <w:rPr>
          <w:rFonts w:ascii="Helvetica" w:hAnsi="Helvetica"/>
          <w:sz w:val="18"/>
          <w:szCs w:val="18"/>
        </w:rPr>
        <w:t>oligodendrogenesis</w:t>
      </w:r>
      <w:proofErr w:type="spellEnd"/>
      <w:r w:rsidRPr="005F125C">
        <w:rPr>
          <w:rFonts w:ascii="Helvetica" w:hAnsi="Helvetica"/>
          <w:sz w:val="18"/>
          <w:szCs w:val="18"/>
        </w:rPr>
        <w:t xml:space="preserve"> </w:t>
      </w:r>
      <w:r>
        <w:rPr>
          <w:rFonts w:ascii="Helvetica" w:hAnsi="Helvetica"/>
          <w:sz w:val="18"/>
          <w:szCs w:val="18"/>
        </w:rPr>
        <w:t xml:space="preserve">allowing to establish a cognitive impairment </w:t>
      </w:r>
      <w:r w:rsidR="006533D6">
        <w:rPr>
          <w:rFonts w:ascii="Helvetica" w:hAnsi="Helvetica"/>
          <w:sz w:val="18"/>
          <w:szCs w:val="18"/>
        </w:rPr>
        <w:t xml:space="preserve">baseline </w:t>
      </w:r>
      <w:r w:rsidR="007351FE">
        <w:rPr>
          <w:rFonts w:ascii="Helvetica" w:hAnsi="Helvetica"/>
          <w:sz w:val="18"/>
          <w:szCs w:val="18"/>
        </w:rPr>
        <w:t xml:space="preserve">measurement </w:t>
      </w:r>
      <w:r>
        <w:rPr>
          <w:rFonts w:ascii="Helvetica" w:hAnsi="Helvetica"/>
          <w:sz w:val="18"/>
          <w:szCs w:val="18"/>
        </w:rPr>
        <w:t xml:space="preserve">and its improvement after </w:t>
      </w:r>
      <w:r w:rsidR="00E4713F">
        <w:rPr>
          <w:rFonts w:ascii="Helvetica" w:hAnsi="Helvetica"/>
          <w:sz w:val="18"/>
          <w:szCs w:val="18"/>
        </w:rPr>
        <w:t>excitation</w:t>
      </w:r>
      <w:r>
        <w:rPr>
          <w:rFonts w:ascii="Helvetica" w:hAnsi="Helvetica"/>
          <w:sz w:val="18"/>
          <w:szCs w:val="18"/>
        </w:rPr>
        <w:t xml:space="preserve"> of the neurons in the </w:t>
      </w:r>
      <w:proofErr w:type="spellStart"/>
      <w:r>
        <w:rPr>
          <w:rFonts w:ascii="Helvetica" w:hAnsi="Helvetica"/>
          <w:sz w:val="18"/>
          <w:szCs w:val="18"/>
        </w:rPr>
        <w:t>mPFC</w:t>
      </w:r>
      <w:proofErr w:type="spellEnd"/>
      <w:r>
        <w:rPr>
          <w:rFonts w:ascii="Helvetica" w:hAnsi="Helvetica"/>
          <w:sz w:val="18"/>
          <w:szCs w:val="18"/>
        </w:rPr>
        <w:t>.</w:t>
      </w:r>
    </w:p>
    <w:p w14:paraId="72B8A376" w14:textId="6EFD9F3A" w:rsidR="00B01231" w:rsidRDefault="00B01231" w:rsidP="00496E94">
      <w:pPr>
        <w:pStyle w:val="NormalWeb"/>
        <w:rPr>
          <w:rFonts w:ascii="Helvetica" w:hAnsi="Helvetica"/>
          <w:sz w:val="18"/>
          <w:szCs w:val="18"/>
        </w:rPr>
      </w:pPr>
    </w:p>
    <w:p w14:paraId="59779E24" w14:textId="085E710C" w:rsidR="00B06392" w:rsidRDefault="0082757B" w:rsidP="00B06392">
      <w:pPr>
        <w:pStyle w:val="NormalWeb"/>
        <w:rPr>
          <w:rFonts w:ascii="Helvetica" w:hAnsi="Helvetica"/>
          <w:sz w:val="18"/>
          <w:szCs w:val="18"/>
        </w:rPr>
      </w:pPr>
      <w:r w:rsidRPr="0082757B">
        <w:rPr>
          <w:rFonts w:ascii="Helvetica" w:hAnsi="Helvetica"/>
          <w:sz w:val="18"/>
          <w:szCs w:val="18"/>
        </w:rPr>
        <w:t>Reference</w:t>
      </w:r>
      <w:r w:rsidR="00B06392">
        <w:rPr>
          <w:rFonts w:ascii="Helvetica" w:hAnsi="Helvetica"/>
          <w:sz w:val="18"/>
          <w:szCs w:val="18"/>
        </w:rPr>
        <w:t>s</w:t>
      </w:r>
      <w:r w:rsidRPr="0082757B">
        <w:rPr>
          <w:rFonts w:ascii="Helvetica" w:hAnsi="Helvetica"/>
          <w:sz w:val="18"/>
          <w:szCs w:val="18"/>
        </w:rPr>
        <w:t>:</w:t>
      </w:r>
    </w:p>
    <w:p w14:paraId="56422548" w14:textId="77777777" w:rsidR="002507CA" w:rsidRPr="002507CA" w:rsidRDefault="00285E68" w:rsidP="002507CA">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2507CA" w:rsidRPr="002507CA">
        <w:rPr>
          <w:rFonts w:ascii="Helvetica" w:hAnsi="Helvetica"/>
          <w:sz w:val="18"/>
        </w:rPr>
        <w:t>[1]</w:t>
      </w:r>
      <w:r w:rsidR="002507CA" w:rsidRPr="002507CA">
        <w:rPr>
          <w:rFonts w:ascii="Helvetica" w:hAnsi="Helvetica"/>
          <w:sz w:val="18"/>
        </w:rPr>
        <w:tab/>
        <w:t xml:space="preserve">C. K. Callaghan, V. Hok, A. Della-Chiesa, D. J. Virley, N. Upton, and S. M. O’Mara, “Age-related declines in delayed non-match-to-sample performance (DNMS) are reversed by the novel 5HT6 receptor antagonist SB742457,” </w:t>
      </w:r>
      <w:r w:rsidR="002507CA" w:rsidRPr="002507CA">
        <w:rPr>
          <w:rFonts w:ascii="Helvetica" w:hAnsi="Helvetica"/>
          <w:i/>
          <w:iCs/>
          <w:sz w:val="18"/>
        </w:rPr>
        <w:t>Neuropharmacology</w:t>
      </w:r>
      <w:r w:rsidR="002507CA" w:rsidRPr="002507CA">
        <w:rPr>
          <w:rFonts w:ascii="Helvetica" w:hAnsi="Helvetica"/>
          <w:sz w:val="18"/>
        </w:rPr>
        <w:t>, vol. 63, no. 5, pp. 890–897, Oct. 2012, doi: 10.1016/j.neuropharm.2012.06.034.</w:t>
      </w:r>
    </w:p>
    <w:p w14:paraId="429D2CE6" w14:textId="77777777" w:rsidR="002507CA" w:rsidRPr="002507CA" w:rsidRDefault="002507CA" w:rsidP="002507CA">
      <w:pPr>
        <w:pStyle w:val="Bibliography"/>
        <w:rPr>
          <w:rFonts w:ascii="Helvetica" w:hAnsi="Helvetica"/>
          <w:sz w:val="18"/>
        </w:rPr>
      </w:pPr>
      <w:r w:rsidRPr="002507CA">
        <w:rPr>
          <w:rFonts w:ascii="Helvetica" w:hAnsi="Helvetica"/>
          <w:sz w:val="18"/>
        </w:rPr>
        <w:t>[2]</w:t>
      </w:r>
      <w:r w:rsidRPr="002507CA">
        <w:rPr>
          <w:rFonts w:ascii="Helvetica" w:hAnsi="Helvetica"/>
          <w:sz w:val="18"/>
        </w:rPr>
        <w:tab/>
        <w:t xml:space="preserve">D. R. Euston, A. J. Gruber, and B. L. McNaughton, “The Role of Medial Prefrontal Cortex in Memory and Decision Making,” </w:t>
      </w:r>
      <w:r w:rsidRPr="002507CA">
        <w:rPr>
          <w:rFonts w:ascii="Helvetica" w:hAnsi="Helvetica"/>
          <w:i/>
          <w:iCs/>
          <w:sz w:val="18"/>
        </w:rPr>
        <w:t>Neuron</w:t>
      </w:r>
      <w:r w:rsidRPr="002507CA">
        <w:rPr>
          <w:rFonts w:ascii="Helvetica" w:hAnsi="Helvetica"/>
          <w:sz w:val="18"/>
        </w:rPr>
        <w:t>, vol. 76, no. 6, pp. 1057–1070, Dec. 2012, doi: 10.1016/j.neuron.2012.12.002.</w:t>
      </w:r>
    </w:p>
    <w:p w14:paraId="22D0430E" w14:textId="77777777" w:rsidR="002507CA" w:rsidRPr="002507CA" w:rsidRDefault="002507CA" w:rsidP="002507CA">
      <w:pPr>
        <w:pStyle w:val="Bibliography"/>
        <w:rPr>
          <w:rFonts w:ascii="Helvetica" w:hAnsi="Helvetica"/>
          <w:sz w:val="18"/>
        </w:rPr>
      </w:pPr>
      <w:r w:rsidRPr="002507CA">
        <w:rPr>
          <w:rFonts w:ascii="Helvetica" w:hAnsi="Helvetica"/>
          <w:sz w:val="18"/>
        </w:rPr>
        <w:t>[3]</w:t>
      </w:r>
      <w:r w:rsidRPr="002507CA">
        <w:rPr>
          <w:rFonts w:ascii="Helvetica" w:hAnsi="Helvetica"/>
          <w:sz w:val="18"/>
        </w:rPr>
        <w:tab/>
        <w:t xml:space="preserve">J. D. Smith, M. J. Beran, M. J. Crossley, J. Boomer, and F. G. Ashby, “Implicit and explicit category learning by macaques (Macaca mulatta) and humans (Homo sapiens).,” </w:t>
      </w:r>
      <w:r w:rsidRPr="002507CA">
        <w:rPr>
          <w:rFonts w:ascii="Helvetica" w:hAnsi="Helvetica"/>
          <w:i/>
          <w:iCs/>
          <w:sz w:val="18"/>
        </w:rPr>
        <w:t>J. Exp. Psychol. Anim. Behav. Process.</w:t>
      </w:r>
      <w:r w:rsidRPr="002507CA">
        <w:rPr>
          <w:rFonts w:ascii="Helvetica" w:hAnsi="Helvetica"/>
          <w:sz w:val="18"/>
        </w:rPr>
        <w:t>, vol. 36, no. 1, pp. 54–65, 2010, doi: 10.1037/a0015892.</w:t>
      </w:r>
    </w:p>
    <w:p w14:paraId="2AA93F36" w14:textId="77777777" w:rsidR="002507CA" w:rsidRPr="002507CA" w:rsidRDefault="002507CA" w:rsidP="002507CA">
      <w:pPr>
        <w:pStyle w:val="Bibliography"/>
        <w:rPr>
          <w:rFonts w:ascii="Helvetica" w:hAnsi="Helvetica"/>
          <w:sz w:val="18"/>
        </w:rPr>
      </w:pPr>
      <w:r w:rsidRPr="002507CA">
        <w:rPr>
          <w:rFonts w:ascii="Helvetica" w:hAnsi="Helvetica"/>
          <w:sz w:val="18"/>
        </w:rPr>
        <w:t>[4]</w:t>
      </w:r>
      <w:r w:rsidRPr="002507CA">
        <w:rPr>
          <w:rFonts w:ascii="Helvetica" w:hAnsi="Helvetica"/>
          <w:sz w:val="18"/>
        </w:rPr>
        <w:tab/>
        <w:t xml:space="preserve">K. Touzani, S. V. Puthanveettil, and E. R. Kandel, “Consolidation of learning strategies during spatial working memory task requires protein synthesis in the prefrontal cortex,” </w:t>
      </w:r>
      <w:r w:rsidRPr="002507CA">
        <w:rPr>
          <w:rFonts w:ascii="Helvetica" w:hAnsi="Helvetica"/>
          <w:i/>
          <w:iCs/>
          <w:sz w:val="18"/>
        </w:rPr>
        <w:t>Proc. Natl. Acad. Sci.</w:t>
      </w:r>
      <w:r w:rsidRPr="002507CA">
        <w:rPr>
          <w:rFonts w:ascii="Helvetica" w:hAnsi="Helvetica"/>
          <w:sz w:val="18"/>
        </w:rPr>
        <w:t>, vol. 104, no. 13, pp. 5632–5637, Mar. 2007, doi: 10.1073/pnas.0611554104.</w:t>
      </w:r>
    </w:p>
    <w:p w14:paraId="39EACD44" w14:textId="77777777" w:rsidR="002507CA" w:rsidRPr="002507CA" w:rsidRDefault="002507CA" w:rsidP="002507CA">
      <w:pPr>
        <w:pStyle w:val="Bibliography"/>
        <w:rPr>
          <w:rFonts w:ascii="Helvetica" w:hAnsi="Helvetica"/>
          <w:sz w:val="18"/>
        </w:rPr>
      </w:pPr>
      <w:r w:rsidRPr="002507CA">
        <w:rPr>
          <w:rFonts w:ascii="Helvetica" w:hAnsi="Helvetica"/>
          <w:sz w:val="18"/>
        </w:rPr>
        <w:t>[5]</w:t>
      </w:r>
      <w:r w:rsidRPr="002507CA">
        <w:rPr>
          <w:rFonts w:ascii="Helvetica" w:hAnsi="Helvetica"/>
          <w:sz w:val="18"/>
        </w:rPr>
        <w:tab/>
        <w:t xml:space="preserve">N. Suzuki, K. Sekimoto, C. Hayashi, Y. Mabuchi, T. Nakamura, and C. Akazawa, “Differentiation of Oligodendrocyte Precursor Cells from Sox10-Venus Mice to Oligodendrocytes and Astrocytes,” </w:t>
      </w:r>
      <w:r w:rsidRPr="002507CA">
        <w:rPr>
          <w:rFonts w:ascii="Helvetica" w:hAnsi="Helvetica"/>
          <w:i/>
          <w:iCs/>
          <w:sz w:val="18"/>
        </w:rPr>
        <w:t>Sci. Rep.</w:t>
      </w:r>
      <w:r w:rsidRPr="002507CA">
        <w:rPr>
          <w:rFonts w:ascii="Helvetica" w:hAnsi="Helvetica"/>
          <w:sz w:val="18"/>
        </w:rPr>
        <w:t>, vol. 7, no. 1, p. 14133, Dec. 2017, doi: 10.1038/s41598-017-14207-0.</w:t>
      </w:r>
    </w:p>
    <w:p w14:paraId="7FD16A96" w14:textId="77777777" w:rsidR="002507CA" w:rsidRPr="002507CA" w:rsidRDefault="002507CA" w:rsidP="002507CA">
      <w:pPr>
        <w:pStyle w:val="Bibliography"/>
        <w:rPr>
          <w:rFonts w:ascii="Helvetica" w:hAnsi="Helvetica"/>
          <w:sz w:val="18"/>
        </w:rPr>
      </w:pPr>
      <w:r w:rsidRPr="002507CA">
        <w:rPr>
          <w:rFonts w:ascii="Helvetica" w:hAnsi="Helvetica"/>
          <w:sz w:val="18"/>
        </w:rPr>
        <w:t>[6]</w:t>
      </w:r>
      <w:r w:rsidRPr="002507CA">
        <w:rPr>
          <w:rFonts w:ascii="Helvetica" w:hAnsi="Helvetica"/>
          <w:sz w:val="18"/>
        </w:rPr>
        <w:tab/>
        <w:t xml:space="preserve">R. M. Rodriguiz and W. C. Wetsel, “Assessments of Cognitive Deficits in Mutant Mice,” in </w:t>
      </w:r>
      <w:r w:rsidRPr="002507CA">
        <w:rPr>
          <w:rFonts w:ascii="Helvetica" w:hAnsi="Helvetica"/>
          <w:i/>
          <w:iCs/>
          <w:sz w:val="18"/>
        </w:rPr>
        <w:t>Animal Models of Cognitive Impairment</w:t>
      </w:r>
      <w:r w:rsidRPr="002507CA">
        <w:rPr>
          <w:rFonts w:ascii="Helvetica" w:hAnsi="Helvetica"/>
          <w:sz w:val="18"/>
        </w:rPr>
        <w:t>, E. D. Levin and J. J. Buccafusco, Eds. Boca Raton (FL): CRC Press/Taylor &amp; Francis, 2006. Accessed: Oct. 24, 2021. [Online]. Available: http://www.ncbi.nlm.nih.gov/books/NBK2527/</w:t>
      </w:r>
    </w:p>
    <w:p w14:paraId="384802EE" w14:textId="6A03B4C1" w:rsidR="0082757B" w:rsidRPr="007E7980" w:rsidRDefault="00285E68" w:rsidP="00496E94">
      <w:pPr>
        <w:pStyle w:val="NormalWeb"/>
        <w:rPr>
          <w:rFonts w:ascii="Helvetica" w:hAnsi="Helvetica"/>
          <w:sz w:val="18"/>
          <w:szCs w:val="18"/>
        </w:rPr>
      </w:pPr>
      <w:r>
        <w:rPr>
          <w:rFonts w:ascii="Helvetica" w:hAnsi="Helvetica"/>
          <w:sz w:val="18"/>
          <w:szCs w:val="18"/>
        </w:rPr>
        <w:fldChar w:fldCharType="end"/>
      </w:r>
    </w:p>
    <w:sectPr w:rsidR="0082757B" w:rsidRPr="007E798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DE67" w14:textId="77777777" w:rsidR="005D3E46" w:rsidRDefault="005D3E46" w:rsidP="00E42CFE">
      <w:r>
        <w:separator/>
      </w:r>
    </w:p>
  </w:endnote>
  <w:endnote w:type="continuationSeparator" w:id="0">
    <w:p w14:paraId="6F4338D0" w14:textId="77777777" w:rsidR="005D3E46" w:rsidRDefault="005D3E4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D8F7" w14:textId="77777777" w:rsidR="005D3E46" w:rsidRDefault="005D3E46" w:rsidP="00E42CFE">
      <w:r>
        <w:separator/>
      </w:r>
    </w:p>
  </w:footnote>
  <w:footnote w:type="continuationSeparator" w:id="0">
    <w:p w14:paraId="3EEE90AA" w14:textId="77777777" w:rsidR="005D3E46" w:rsidRDefault="005D3E46" w:rsidP="00E42CFE">
      <w:r>
        <w:continuationSeparator/>
      </w:r>
    </w:p>
  </w:footnote>
  <w:footnote w:id="1">
    <w:p w14:paraId="5F6A53B0" w14:textId="3B5C896D" w:rsidR="00B505D3" w:rsidRPr="00B505D3" w:rsidRDefault="00B505D3">
      <w:pPr>
        <w:pStyle w:val="FootnoteText"/>
        <w:rPr>
          <w:rFonts w:ascii="Helvetica" w:hAnsi="Helvetica"/>
          <w:sz w:val="16"/>
          <w:szCs w:val="16"/>
        </w:rPr>
      </w:pPr>
      <w:r w:rsidRPr="007351FE">
        <w:rPr>
          <w:rStyle w:val="FootnoteReference"/>
        </w:rPr>
        <w:footnoteRef/>
      </w:r>
      <w:r w:rsidRPr="00B505D3">
        <w:rPr>
          <w:rFonts w:ascii="Helvetica" w:hAnsi="Helvetica"/>
          <w:sz w:val="16"/>
          <w:szCs w:val="16"/>
        </w:rPr>
        <w:t xml:space="preserve"> Other tests may be investigated like water maze.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7C055B"/>
    <w:multiLevelType w:val="hybridMultilevel"/>
    <w:tmpl w:val="24A66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
  </w:num>
  <w:num w:numId="3">
    <w:abstractNumId w:val="0"/>
  </w:num>
  <w:num w:numId="4">
    <w:abstractNumId w:val="12"/>
  </w:num>
  <w:num w:numId="5">
    <w:abstractNumId w:val="9"/>
  </w:num>
  <w:num w:numId="6">
    <w:abstractNumId w:val="19"/>
  </w:num>
  <w:num w:numId="7">
    <w:abstractNumId w:val="8"/>
  </w:num>
  <w:num w:numId="8">
    <w:abstractNumId w:val="10"/>
  </w:num>
  <w:num w:numId="9">
    <w:abstractNumId w:val="3"/>
  </w:num>
  <w:num w:numId="10">
    <w:abstractNumId w:val="23"/>
  </w:num>
  <w:num w:numId="11">
    <w:abstractNumId w:val="21"/>
  </w:num>
  <w:num w:numId="12">
    <w:abstractNumId w:val="7"/>
  </w:num>
  <w:num w:numId="13">
    <w:abstractNumId w:val="13"/>
  </w:num>
  <w:num w:numId="14">
    <w:abstractNumId w:val="15"/>
  </w:num>
  <w:num w:numId="15">
    <w:abstractNumId w:val="4"/>
  </w:num>
  <w:num w:numId="16">
    <w:abstractNumId w:val="17"/>
  </w:num>
  <w:num w:numId="17">
    <w:abstractNumId w:val="2"/>
  </w:num>
  <w:num w:numId="18">
    <w:abstractNumId w:val="11"/>
  </w:num>
  <w:num w:numId="19">
    <w:abstractNumId w:val="6"/>
  </w:num>
  <w:num w:numId="20">
    <w:abstractNumId w:val="20"/>
  </w:num>
  <w:num w:numId="21">
    <w:abstractNumId w:val="14"/>
  </w:num>
  <w:num w:numId="22">
    <w:abstractNumId w:val="5"/>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C8A"/>
    <w:rsid w:val="00010BC3"/>
    <w:rsid w:val="00013298"/>
    <w:rsid w:val="00016669"/>
    <w:rsid w:val="00024662"/>
    <w:rsid w:val="0005512E"/>
    <w:rsid w:val="00055644"/>
    <w:rsid w:val="0006342E"/>
    <w:rsid w:val="000835EA"/>
    <w:rsid w:val="00084798"/>
    <w:rsid w:val="00091DB4"/>
    <w:rsid w:val="00097B47"/>
    <w:rsid w:val="000A02BE"/>
    <w:rsid w:val="000A1924"/>
    <w:rsid w:val="000A7FB8"/>
    <w:rsid w:val="000B47C8"/>
    <w:rsid w:val="000B719B"/>
    <w:rsid w:val="000D1E31"/>
    <w:rsid w:val="000D58C7"/>
    <w:rsid w:val="000F0326"/>
    <w:rsid w:val="000F13C5"/>
    <w:rsid w:val="000F6F53"/>
    <w:rsid w:val="00102E53"/>
    <w:rsid w:val="00104F95"/>
    <w:rsid w:val="00110200"/>
    <w:rsid w:val="00110657"/>
    <w:rsid w:val="00111A3D"/>
    <w:rsid w:val="00113009"/>
    <w:rsid w:val="0011401A"/>
    <w:rsid w:val="00117872"/>
    <w:rsid w:val="00120BC6"/>
    <w:rsid w:val="00124465"/>
    <w:rsid w:val="001469C2"/>
    <w:rsid w:val="00156591"/>
    <w:rsid w:val="001632ED"/>
    <w:rsid w:val="00167243"/>
    <w:rsid w:val="001713B5"/>
    <w:rsid w:val="00171F95"/>
    <w:rsid w:val="001725B0"/>
    <w:rsid w:val="0017285D"/>
    <w:rsid w:val="00173EEA"/>
    <w:rsid w:val="00180E96"/>
    <w:rsid w:val="00182561"/>
    <w:rsid w:val="001944E0"/>
    <w:rsid w:val="001A1A48"/>
    <w:rsid w:val="001A5971"/>
    <w:rsid w:val="001A6BEA"/>
    <w:rsid w:val="001B29FF"/>
    <w:rsid w:val="001B624E"/>
    <w:rsid w:val="001C12C7"/>
    <w:rsid w:val="001D0EEA"/>
    <w:rsid w:val="001D5D00"/>
    <w:rsid w:val="001E006D"/>
    <w:rsid w:val="001E0C4B"/>
    <w:rsid w:val="001E1211"/>
    <w:rsid w:val="001F3EAF"/>
    <w:rsid w:val="002230F4"/>
    <w:rsid w:val="002271F1"/>
    <w:rsid w:val="00227B94"/>
    <w:rsid w:val="002309EF"/>
    <w:rsid w:val="00236EF6"/>
    <w:rsid w:val="00242B26"/>
    <w:rsid w:val="002507CA"/>
    <w:rsid w:val="00255B6C"/>
    <w:rsid w:val="002602E4"/>
    <w:rsid w:val="00263BA5"/>
    <w:rsid w:val="00267A7A"/>
    <w:rsid w:val="00280589"/>
    <w:rsid w:val="00281108"/>
    <w:rsid w:val="00281B25"/>
    <w:rsid w:val="0028531C"/>
    <w:rsid w:val="00285E68"/>
    <w:rsid w:val="00290ABD"/>
    <w:rsid w:val="002917A0"/>
    <w:rsid w:val="00295A17"/>
    <w:rsid w:val="00297486"/>
    <w:rsid w:val="002A15A0"/>
    <w:rsid w:val="002A7FA3"/>
    <w:rsid w:val="002B14D6"/>
    <w:rsid w:val="002C20D7"/>
    <w:rsid w:val="002C2787"/>
    <w:rsid w:val="002C60FA"/>
    <w:rsid w:val="002D04D1"/>
    <w:rsid w:val="002D431F"/>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B1D"/>
    <w:rsid w:val="00371F7A"/>
    <w:rsid w:val="00373429"/>
    <w:rsid w:val="00376274"/>
    <w:rsid w:val="0038305D"/>
    <w:rsid w:val="0038343E"/>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1438"/>
    <w:rsid w:val="003E2246"/>
    <w:rsid w:val="003E4EE0"/>
    <w:rsid w:val="003E5D1F"/>
    <w:rsid w:val="00401A15"/>
    <w:rsid w:val="00404107"/>
    <w:rsid w:val="004101BF"/>
    <w:rsid w:val="004150DD"/>
    <w:rsid w:val="00417E39"/>
    <w:rsid w:val="004207FF"/>
    <w:rsid w:val="00421AB3"/>
    <w:rsid w:val="00421AB8"/>
    <w:rsid w:val="0043136B"/>
    <w:rsid w:val="0043591C"/>
    <w:rsid w:val="004416EC"/>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96E94"/>
    <w:rsid w:val="004A312E"/>
    <w:rsid w:val="004C2BEE"/>
    <w:rsid w:val="004C6E3C"/>
    <w:rsid w:val="004D2CEF"/>
    <w:rsid w:val="004D4635"/>
    <w:rsid w:val="004D576B"/>
    <w:rsid w:val="004E13B7"/>
    <w:rsid w:val="004F5F38"/>
    <w:rsid w:val="0050453D"/>
    <w:rsid w:val="005058A8"/>
    <w:rsid w:val="00512F33"/>
    <w:rsid w:val="00531863"/>
    <w:rsid w:val="00533C50"/>
    <w:rsid w:val="005407C1"/>
    <w:rsid w:val="00557414"/>
    <w:rsid w:val="005646DE"/>
    <w:rsid w:val="005807A8"/>
    <w:rsid w:val="005877B5"/>
    <w:rsid w:val="00596ED0"/>
    <w:rsid w:val="005A76AC"/>
    <w:rsid w:val="005B0562"/>
    <w:rsid w:val="005B6968"/>
    <w:rsid w:val="005C0F1E"/>
    <w:rsid w:val="005C402A"/>
    <w:rsid w:val="005C4BAC"/>
    <w:rsid w:val="005D22FB"/>
    <w:rsid w:val="005D3DEF"/>
    <w:rsid w:val="005D3E46"/>
    <w:rsid w:val="005E4707"/>
    <w:rsid w:val="005F125C"/>
    <w:rsid w:val="005F29FB"/>
    <w:rsid w:val="006024DC"/>
    <w:rsid w:val="0060352B"/>
    <w:rsid w:val="006057AB"/>
    <w:rsid w:val="006059EF"/>
    <w:rsid w:val="00615A0F"/>
    <w:rsid w:val="00625945"/>
    <w:rsid w:val="00631589"/>
    <w:rsid w:val="0063409F"/>
    <w:rsid w:val="00650B33"/>
    <w:rsid w:val="006533D6"/>
    <w:rsid w:val="00657A6B"/>
    <w:rsid w:val="00663A9A"/>
    <w:rsid w:val="00665349"/>
    <w:rsid w:val="00672F09"/>
    <w:rsid w:val="00676F85"/>
    <w:rsid w:val="00680449"/>
    <w:rsid w:val="0068210E"/>
    <w:rsid w:val="00682FA3"/>
    <w:rsid w:val="00683610"/>
    <w:rsid w:val="00697839"/>
    <w:rsid w:val="006A212D"/>
    <w:rsid w:val="006A7BB1"/>
    <w:rsid w:val="006B1AD3"/>
    <w:rsid w:val="006B484A"/>
    <w:rsid w:val="006B6D40"/>
    <w:rsid w:val="006B784B"/>
    <w:rsid w:val="006C3526"/>
    <w:rsid w:val="006C42F9"/>
    <w:rsid w:val="006C6B6D"/>
    <w:rsid w:val="006D537C"/>
    <w:rsid w:val="006D6601"/>
    <w:rsid w:val="006E54B2"/>
    <w:rsid w:val="006E6660"/>
    <w:rsid w:val="006F1C43"/>
    <w:rsid w:val="006F4660"/>
    <w:rsid w:val="006F47BF"/>
    <w:rsid w:val="006F5B05"/>
    <w:rsid w:val="006F6B7F"/>
    <w:rsid w:val="0070762C"/>
    <w:rsid w:val="007120FB"/>
    <w:rsid w:val="007158FF"/>
    <w:rsid w:val="007207EF"/>
    <w:rsid w:val="00722052"/>
    <w:rsid w:val="00726746"/>
    <w:rsid w:val="007351FE"/>
    <w:rsid w:val="00735DB9"/>
    <w:rsid w:val="00735E14"/>
    <w:rsid w:val="00745B03"/>
    <w:rsid w:val="0074618E"/>
    <w:rsid w:val="00763AE1"/>
    <w:rsid w:val="00771597"/>
    <w:rsid w:val="00772430"/>
    <w:rsid w:val="0077489B"/>
    <w:rsid w:val="00776D0C"/>
    <w:rsid w:val="00784BE4"/>
    <w:rsid w:val="00786424"/>
    <w:rsid w:val="00786A6A"/>
    <w:rsid w:val="00791D94"/>
    <w:rsid w:val="00792BE3"/>
    <w:rsid w:val="0079495A"/>
    <w:rsid w:val="00797E6B"/>
    <w:rsid w:val="007A24ED"/>
    <w:rsid w:val="007A6122"/>
    <w:rsid w:val="007B2DCD"/>
    <w:rsid w:val="007B2FD2"/>
    <w:rsid w:val="007B6931"/>
    <w:rsid w:val="007C47D9"/>
    <w:rsid w:val="007D7364"/>
    <w:rsid w:val="007E0B70"/>
    <w:rsid w:val="007E28F1"/>
    <w:rsid w:val="007E6097"/>
    <w:rsid w:val="007E7980"/>
    <w:rsid w:val="007F0345"/>
    <w:rsid w:val="007F3A32"/>
    <w:rsid w:val="008060BE"/>
    <w:rsid w:val="0082034C"/>
    <w:rsid w:val="00824944"/>
    <w:rsid w:val="00825BF5"/>
    <w:rsid w:val="0082693A"/>
    <w:rsid w:val="0082757B"/>
    <w:rsid w:val="008323FD"/>
    <w:rsid w:val="008330C4"/>
    <w:rsid w:val="00843A97"/>
    <w:rsid w:val="00845903"/>
    <w:rsid w:val="00862B58"/>
    <w:rsid w:val="00864E05"/>
    <w:rsid w:val="008726B9"/>
    <w:rsid w:val="00872E0A"/>
    <w:rsid w:val="008761FF"/>
    <w:rsid w:val="00880E90"/>
    <w:rsid w:val="00885D5C"/>
    <w:rsid w:val="00893B6A"/>
    <w:rsid w:val="008B3225"/>
    <w:rsid w:val="008B3BA0"/>
    <w:rsid w:val="008C34A6"/>
    <w:rsid w:val="008C5381"/>
    <w:rsid w:val="008C6DCF"/>
    <w:rsid w:val="008E1551"/>
    <w:rsid w:val="008E3B13"/>
    <w:rsid w:val="008E4A9F"/>
    <w:rsid w:val="008E77D5"/>
    <w:rsid w:val="008F22D7"/>
    <w:rsid w:val="008F5C68"/>
    <w:rsid w:val="00953AD0"/>
    <w:rsid w:val="00973D6A"/>
    <w:rsid w:val="00974626"/>
    <w:rsid w:val="00990959"/>
    <w:rsid w:val="009922DA"/>
    <w:rsid w:val="009967A0"/>
    <w:rsid w:val="009A56F4"/>
    <w:rsid w:val="009B06BD"/>
    <w:rsid w:val="009B1E51"/>
    <w:rsid w:val="009C2A94"/>
    <w:rsid w:val="009C7403"/>
    <w:rsid w:val="009D2501"/>
    <w:rsid w:val="009D5C39"/>
    <w:rsid w:val="009D5E11"/>
    <w:rsid w:val="009E269B"/>
    <w:rsid w:val="009F1044"/>
    <w:rsid w:val="009F1883"/>
    <w:rsid w:val="009F2A68"/>
    <w:rsid w:val="009F309B"/>
    <w:rsid w:val="009F3321"/>
    <w:rsid w:val="009F3761"/>
    <w:rsid w:val="009F5980"/>
    <w:rsid w:val="00A226ED"/>
    <w:rsid w:val="00A30891"/>
    <w:rsid w:val="00A33174"/>
    <w:rsid w:val="00A51C43"/>
    <w:rsid w:val="00A543C9"/>
    <w:rsid w:val="00A602FA"/>
    <w:rsid w:val="00A623FA"/>
    <w:rsid w:val="00A672E8"/>
    <w:rsid w:val="00A73D69"/>
    <w:rsid w:val="00A75688"/>
    <w:rsid w:val="00A77F97"/>
    <w:rsid w:val="00A872B7"/>
    <w:rsid w:val="00A90293"/>
    <w:rsid w:val="00A97A17"/>
    <w:rsid w:val="00AA2623"/>
    <w:rsid w:val="00AB0016"/>
    <w:rsid w:val="00AB0874"/>
    <w:rsid w:val="00AB0E9F"/>
    <w:rsid w:val="00AB4517"/>
    <w:rsid w:val="00AC51F4"/>
    <w:rsid w:val="00AC6AEE"/>
    <w:rsid w:val="00AD09E6"/>
    <w:rsid w:val="00AD5771"/>
    <w:rsid w:val="00AF2407"/>
    <w:rsid w:val="00B0075D"/>
    <w:rsid w:val="00B01231"/>
    <w:rsid w:val="00B04BD9"/>
    <w:rsid w:val="00B05540"/>
    <w:rsid w:val="00B06392"/>
    <w:rsid w:val="00B1144D"/>
    <w:rsid w:val="00B1193D"/>
    <w:rsid w:val="00B15D05"/>
    <w:rsid w:val="00B35880"/>
    <w:rsid w:val="00B37F1E"/>
    <w:rsid w:val="00B45A6A"/>
    <w:rsid w:val="00B505D3"/>
    <w:rsid w:val="00B57411"/>
    <w:rsid w:val="00B63A52"/>
    <w:rsid w:val="00B65301"/>
    <w:rsid w:val="00B67D43"/>
    <w:rsid w:val="00B72B1B"/>
    <w:rsid w:val="00B75AB6"/>
    <w:rsid w:val="00B82442"/>
    <w:rsid w:val="00BA0179"/>
    <w:rsid w:val="00BA05F3"/>
    <w:rsid w:val="00BA57BD"/>
    <w:rsid w:val="00BB287A"/>
    <w:rsid w:val="00BB47CB"/>
    <w:rsid w:val="00BB67AA"/>
    <w:rsid w:val="00BC7422"/>
    <w:rsid w:val="00BD0330"/>
    <w:rsid w:val="00BD1153"/>
    <w:rsid w:val="00BD3402"/>
    <w:rsid w:val="00BE1E0A"/>
    <w:rsid w:val="00BF158A"/>
    <w:rsid w:val="00BF5AEA"/>
    <w:rsid w:val="00C024D9"/>
    <w:rsid w:val="00C02528"/>
    <w:rsid w:val="00C1186A"/>
    <w:rsid w:val="00C37126"/>
    <w:rsid w:val="00C45983"/>
    <w:rsid w:val="00C476CC"/>
    <w:rsid w:val="00C51F16"/>
    <w:rsid w:val="00C53E56"/>
    <w:rsid w:val="00C56EA8"/>
    <w:rsid w:val="00C62298"/>
    <w:rsid w:val="00C674D1"/>
    <w:rsid w:val="00C679F8"/>
    <w:rsid w:val="00C7050C"/>
    <w:rsid w:val="00C86FFA"/>
    <w:rsid w:val="00C91A06"/>
    <w:rsid w:val="00C94271"/>
    <w:rsid w:val="00CA422B"/>
    <w:rsid w:val="00CB366F"/>
    <w:rsid w:val="00CB3CDC"/>
    <w:rsid w:val="00CD075E"/>
    <w:rsid w:val="00CD4FF4"/>
    <w:rsid w:val="00CD6D69"/>
    <w:rsid w:val="00CD7443"/>
    <w:rsid w:val="00CF0B99"/>
    <w:rsid w:val="00CF0CA7"/>
    <w:rsid w:val="00D00672"/>
    <w:rsid w:val="00D1103C"/>
    <w:rsid w:val="00D26E6C"/>
    <w:rsid w:val="00D30FE7"/>
    <w:rsid w:val="00D32306"/>
    <w:rsid w:val="00D3555A"/>
    <w:rsid w:val="00D41833"/>
    <w:rsid w:val="00D56DC6"/>
    <w:rsid w:val="00D5761F"/>
    <w:rsid w:val="00D5779A"/>
    <w:rsid w:val="00D60F64"/>
    <w:rsid w:val="00D61256"/>
    <w:rsid w:val="00D640CD"/>
    <w:rsid w:val="00D654D6"/>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724C"/>
    <w:rsid w:val="00DF310D"/>
    <w:rsid w:val="00DF377E"/>
    <w:rsid w:val="00E13E2F"/>
    <w:rsid w:val="00E157FA"/>
    <w:rsid w:val="00E1739B"/>
    <w:rsid w:val="00E22EEA"/>
    <w:rsid w:val="00E249CA"/>
    <w:rsid w:val="00E36D15"/>
    <w:rsid w:val="00E40EDD"/>
    <w:rsid w:val="00E41E84"/>
    <w:rsid w:val="00E42CFE"/>
    <w:rsid w:val="00E45DC1"/>
    <w:rsid w:val="00E460CC"/>
    <w:rsid w:val="00E46131"/>
    <w:rsid w:val="00E4713F"/>
    <w:rsid w:val="00E51800"/>
    <w:rsid w:val="00E51D2C"/>
    <w:rsid w:val="00E52235"/>
    <w:rsid w:val="00E53A84"/>
    <w:rsid w:val="00E62041"/>
    <w:rsid w:val="00E71897"/>
    <w:rsid w:val="00E71F42"/>
    <w:rsid w:val="00E7302B"/>
    <w:rsid w:val="00E75658"/>
    <w:rsid w:val="00E86187"/>
    <w:rsid w:val="00E87A89"/>
    <w:rsid w:val="00E87C3C"/>
    <w:rsid w:val="00E9082F"/>
    <w:rsid w:val="00E90A08"/>
    <w:rsid w:val="00E9615D"/>
    <w:rsid w:val="00EA1E85"/>
    <w:rsid w:val="00EA2249"/>
    <w:rsid w:val="00EB1A69"/>
    <w:rsid w:val="00EB2E22"/>
    <w:rsid w:val="00EC5F1D"/>
    <w:rsid w:val="00EC7113"/>
    <w:rsid w:val="00ED26AF"/>
    <w:rsid w:val="00ED2C0C"/>
    <w:rsid w:val="00ED5BAC"/>
    <w:rsid w:val="00ED7BD0"/>
    <w:rsid w:val="00EE2E9A"/>
    <w:rsid w:val="00EE7EF8"/>
    <w:rsid w:val="00EF5D53"/>
    <w:rsid w:val="00F14D4B"/>
    <w:rsid w:val="00F24091"/>
    <w:rsid w:val="00F30527"/>
    <w:rsid w:val="00F3079E"/>
    <w:rsid w:val="00F44B21"/>
    <w:rsid w:val="00F50809"/>
    <w:rsid w:val="00F54322"/>
    <w:rsid w:val="00F55C06"/>
    <w:rsid w:val="00F63336"/>
    <w:rsid w:val="00F648AF"/>
    <w:rsid w:val="00F64F1F"/>
    <w:rsid w:val="00F7139E"/>
    <w:rsid w:val="00F766EA"/>
    <w:rsid w:val="00F76D37"/>
    <w:rsid w:val="00F80280"/>
    <w:rsid w:val="00F878C1"/>
    <w:rsid w:val="00F90580"/>
    <w:rsid w:val="00FA08FD"/>
    <w:rsid w:val="00FA261B"/>
    <w:rsid w:val="00FA34C0"/>
    <w:rsid w:val="00FA4E40"/>
    <w:rsid w:val="00FB12EC"/>
    <w:rsid w:val="00FB18AF"/>
    <w:rsid w:val="00FC3135"/>
    <w:rsid w:val="00FC6381"/>
    <w:rsid w:val="00FD3A65"/>
    <w:rsid w:val="00FD73E6"/>
    <w:rsid w:val="00FE067C"/>
    <w:rsid w:val="00FE11F9"/>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2021-10-24T20:57:00Z</cp:lastPrinted>
  <dcterms:created xsi:type="dcterms:W3CDTF">2021-10-24T20:57:00Z</dcterms:created>
  <dcterms:modified xsi:type="dcterms:W3CDTF">2021-10-24T23:33:00Z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id="zKCwnvJf"/&gt;&lt;style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