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DB93" w14:textId="77DF7721" w:rsidR="001D29DE" w:rsidRPr="009D6526" w:rsidRDefault="009D6526" w:rsidP="009D6526">
      <w:pPr>
        <w:rPr>
          <w:rFonts w:ascii="Helvetica" w:hAnsi="Helvetica"/>
          <w:b/>
          <w:bCs/>
          <w:sz w:val="18"/>
          <w:szCs w:val="18"/>
        </w:rPr>
      </w:pPr>
      <w:r w:rsidRPr="009D6526">
        <w:rPr>
          <w:rFonts w:ascii="Helvetica" w:hAnsi="Helvetica"/>
          <w:b/>
          <w:bCs/>
          <w:sz w:val="18"/>
          <w:szCs w:val="18"/>
        </w:rPr>
        <w:t>Compare and contrast the two treatments discussed in the TED Talks. Please list at least one advantage and disadvantage for eac</w:t>
      </w:r>
      <w:r>
        <w:rPr>
          <w:rFonts w:ascii="Helvetica" w:hAnsi="Helvetica"/>
          <w:b/>
          <w:bCs/>
          <w:sz w:val="18"/>
          <w:szCs w:val="18"/>
        </w:rPr>
        <w:t>h</w:t>
      </w:r>
      <w:r w:rsidR="001D29DE" w:rsidRPr="009D6526">
        <w:rPr>
          <w:rFonts w:ascii="Helvetica" w:hAnsi="Helvetica"/>
          <w:b/>
          <w:bCs/>
          <w:sz w:val="18"/>
          <w:szCs w:val="18"/>
        </w:rPr>
        <w:t>?</w:t>
      </w:r>
    </w:p>
    <w:p w14:paraId="05A0C8A0" w14:textId="1A717D91" w:rsidR="000C4509" w:rsidRPr="009909E9" w:rsidRDefault="00A03357" w:rsidP="009909E9">
      <w:pPr>
        <w:pStyle w:val="ListParagraph"/>
        <w:numPr>
          <w:ilvl w:val="0"/>
          <w:numId w:val="19"/>
        </w:numPr>
        <w:rPr>
          <w:rFonts w:ascii="Helvetica" w:hAnsi="Helvetica"/>
          <w:sz w:val="18"/>
          <w:szCs w:val="18"/>
        </w:rPr>
      </w:pPr>
      <w:r w:rsidRPr="009909E9">
        <w:rPr>
          <w:rFonts w:ascii="Helvetica" w:hAnsi="Helvetica"/>
          <w:sz w:val="18"/>
          <w:szCs w:val="18"/>
        </w:rPr>
        <w:t>B</w:t>
      </w:r>
      <w:r w:rsidR="00092ABA" w:rsidRPr="009909E9">
        <w:rPr>
          <w:rFonts w:ascii="Helvetica" w:hAnsi="Helvetica"/>
          <w:sz w:val="18"/>
          <w:szCs w:val="18"/>
        </w:rPr>
        <w:t xml:space="preserve">y </w:t>
      </w:r>
      <w:r w:rsidRPr="009909E9">
        <w:rPr>
          <w:rFonts w:ascii="Helvetica" w:hAnsi="Helvetica"/>
          <w:sz w:val="18"/>
          <w:szCs w:val="18"/>
        </w:rPr>
        <w:t>circumventing the blood-brain barrier, i</w:t>
      </w:r>
      <w:r w:rsidR="000C4509" w:rsidRPr="009909E9">
        <w:rPr>
          <w:rFonts w:ascii="Helvetica" w:hAnsi="Helvetica"/>
          <w:sz w:val="18"/>
          <w:szCs w:val="18"/>
        </w:rPr>
        <w:t>ntranasal delivery of GDNF transgene expressions</w:t>
      </w:r>
      <w:r w:rsidRPr="009909E9">
        <w:rPr>
          <w:rFonts w:ascii="Helvetica" w:hAnsi="Helvetica"/>
          <w:sz w:val="18"/>
          <w:szCs w:val="18"/>
        </w:rPr>
        <w:t xml:space="preserve"> is able to reach deep layers of </w:t>
      </w:r>
      <w:r w:rsidR="00092ABA" w:rsidRPr="009909E9">
        <w:rPr>
          <w:rFonts w:ascii="Helvetica" w:hAnsi="Helvetica"/>
          <w:sz w:val="18"/>
          <w:szCs w:val="18"/>
        </w:rPr>
        <w:t xml:space="preserve">the </w:t>
      </w:r>
      <w:r w:rsidRPr="009909E9">
        <w:rPr>
          <w:rFonts w:ascii="Helvetica" w:hAnsi="Helvetica"/>
          <w:sz w:val="18"/>
          <w:szCs w:val="18"/>
        </w:rPr>
        <w:t xml:space="preserve">brain, and </w:t>
      </w:r>
      <w:r w:rsidR="000C4509" w:rsidRPr="009909E9">
        <w:rPr>
          <w:rFonts w:ascii="Helvetica" w:hAnsi="Helvetica"/>
          <w:sz w:val="18"/>
          <w:szCs w:val="18"/>
        </w:rPr>
        <w:t xml:space="preserve">in mice models </w:t>
      </w:r>
      <w:r w:rsidR="00EB43E0" w:rsidRPr="009909E9">
        <w:rPr>
          <w:rFonts w:ascii="Helvetica" w:hAnsi="Helvetica"/>
          <w:sz w:val="18"/>
          <w:szCs w:val="18"/>
        </w:rPr>
        <w:t>it slows down progression of PD</w:t>
      </w:r>
      <w:r w:rsidR="000C4509" w:rsidRPr="009909E9">
        <w:rPr>
          <w:rFonts w:ascii="Helvetica" w:hAnsi="Helvetica"/>
          <w:sz w:val="18"/>
          <w:szCs w:val="18"/>
        </w:rPr>
        <w:t xml:space="preserve"> </w:t>
      </w:r>
      <w:r w:rsidR="00EB43E0" w:rsidRPr="009909E9">
        <w:rPr>
          <w:rFonts w:ascii="Helvetica" w:hAnsi="Helvetica"/>
          <w:sz w:val="18"/>
          <w:szCs w:val="18"/>
        </w:rPr>
        <w:t xml:space="preserve">by reducing </w:t>
      </w:r>
      <w:r w:rsidR="000C4509" w:rsidRPr="009909E9">
        <w:rPr>
          <w:rFonts w:ascii="Helvetica" w:hAnsi="Helvetica"/>
          <w:sz w:val="18"/>
          <w:szCs w:val="18"/>
        </w:rPr>
        <w:t xml:space="preserve">considerably the loss </w:t>
      </w:r>
      <w:r w:rsidR="000C4509" w:rsidRPr="009909E9">
        <w:rPr>
          <w:rFonts w:ascii="Helvetica" w:hAnsi="Helvetica"/>
          <w:sz w:val="18"/>
          <w:szCs w:val="18"/>
        </w:rPr>
        <w:t>of dopaminergic neurons</w:t>
      </w:r>
      <w:r w:rsidR="000C4509" w:rsidRPr="009909E9">
        <w:rPr>
          <w:rFonts w:ascii="Helvetica" w:hAnsi="Helvetica"/>
          <w:sz w:val="18"/>
          <w:szCs w:val="18"/>
        </w:rPr>
        <w:t>.</w:t>
      </w:r>
      <w:r w:rsidR="00EB43E0" w:rsidRPr="009909E9">
        <w:rPr>
          <w:rFonts w:ascii="Helvetica" w:hAnsi="Helvetica"/>
          <w:sz w:val="18"/>
          <w:szCs w:val="18"/>
        </w:rPr>
        <w:t xml:space="preserve"> </w:t>
      </w:r>
      <w:r w:rsidR="000C4509" w:rsidRPr="009909E9">
        <w:rPr>
          <w:rFonts w:ascii="Helvetica" w:hAnsi="Helvetica"/>
          <w:sz w:val="18"/>
          <w:szCs w:val="18"/>
        </w:rPr>
        <w:t xml:space="preserve">It is </w:t>
      </w:r>
      <w:r w:rsidR="00EB43E0" w:rsidRPr="009909E9">
        <w:rPr>
          <w:rFonts w:ascii="Helvetica" w:hAnsi="Helvetica"/>
          <w:sz w:val="18"/>
          <w:szCs w:val="18"/>
        </w:rPr>
        <w:t xml:space="preserve">also </w:t>
      </w:r>
      <w:r w:rsidR="000C4509" w:rsidRPr="009909E9">
        <w:rPr>
          <w:rFonts w:ascii="Helvetica" w:hAnsi="Helvetica"/>
          <w:sz w:val="18"/>
          <w:szCs w:val="18"/>
        </w:rPr>
        <w:t xml:space="preserve">easy to use, </w:t>
      </w:r>
      <w:r w:rsidR="00EB43E0" w:rsidRPr="009909E9">
        <w:rPr>
          <w:rFonts w:ascii="Helvetica" w:hAnsi="Helvetica"/>
          <w:sz w:val="18"/>
          <w:szCs w:val="18"/>
        </w:rPr>
        <w:t xml:space="preserve">and </w:t>
      </w:r>
      <w:r w:rsidR="000C4509" w:rsidRPr="009909E9">
        <w:rPr>
          <w:rFonts w:ascii="Helvetica" w:hAnsi="Helvetica"/>
          <w:sz w:val="18"/>
          <w:szCs w:val="18"/>
        </w:rPr>
        <w:t>easily customizable</w:t>
      </w:r>
      <w:r w:rsidR="009909E9">
        <w:rPr>
          <w:rFonts w:ascii="Helvetica" w:hAnsi="Helvetica"/>
          <w:sz w:val="18"/>
          <w:szCs w:val="18"/>
        </w:rPr>
        <w:t>;</w:t>
      </w:r>
      <w:r w:rsidR="000C4509" w:rsidRPr="009909E9">
        <w:rPr>
          <w:rFonts w:ascii="Helvetica" w:hAnsi="Helvetica"/>
          <w:sz w:val="18"/>
          <w:szCs w:val="18"/>
        </w:rPr>
        <w:t xml:space="preserve"> if there is a need to design tailored protocols in term of frequency and dosage for each patient. It </w:t>
      </w:r>
      <w:r w:rsidR="00EB43E0" w:rsidRPr="009909E9">
        <w:rPr>
          <w:rFonts w:ascii="Helvetica" w:hAnsi="Helvetica"/>
          <w:sz w:val="18"/>
          <w:szCs w:val="18"/>
        </w:rPr>
        <w:t>is</w:t>
      </w:r>
      <w:r w:rsidR="000C4509" w:rsidRPr="009909E9">
        <w:rPr>
          <w:rFonts w:ascii="Helvetica" w:hAnsi="Helvetica"/>
          <w:sz w:val="18"/>
          <w:szCs w:val="18"/>
        </w:rPr>
        <w:t xml:space="preserve"> </w:t>
      </w:r>
      <w:r w:rsidR="00EB43E0" w:rsidRPr="009909E9">
        <w:rPr>
          <w:rFonts w:ascii="Helvetica" w:hAnsi="Helvetica"/>
          <w:sz w:val="18"/>
          <w:szCs w:val="18"/>
        </w:rPr>
        <w:t xml:space="preserve">also </w:t>
      </w:r>
      <w:r w:rsidR="000C4509" w:rsidRPr="009909E9">
        <w:rPr>
          <w:rFonts w:ascii="Helvetica" w:hAnsi="Helvetica"/>
          <w:sz w:val="18"/>
          <w:szCs w:val="18"/>
        </w:rPr>
        <w:t>easy to deploy</w:t>
      </w:r>
      <w:r w:rsidR="00EB43E0" w:rsidRPr="009909E9">
        <w:rPr>
          <w:rFonts w:ascii="Helvetica" w:hAnsi="Helvetica"/>
          <w:sz w:val="18"/>
          <w:szCs w:val="18"/>
        </w:rPr>
        <w:t xml:space="preserve"> to </w:t>
      </w:r>
      <w:r w:rsidR="009909E9">
        <w:rPr>
          <w:rFonts w:ascii="Helvetica" w:hAnsi="Helvetica"/>
          <w:sz w:val="18"/>
          <w:szCs w:val="18"/>
        </w:rPr>
        <w:t xml:space="preserve">a </w:t>
      </w:r>
      <w:r w:rsidR="00EB43E0" w:rsidRPr="009909E9">
        <w:rPr>
          <w:rFonts w:ascii="Helvetica" w:hAnsi="Helvetica"/>
          <w:sz w:val="18"/>
          <w:szCs w:val="18"/>
        </w:rPr>
        <w:t>large number of</w:t>
      </w:r>
      <w:r w:rsidR="009909E9">
        <w:rPr>
          <w:rFonts w:ascii="Helvetica" w:hAnsi="Helvetica"/>
          <w:sz w:val="18"/>
          <w:szCs w:val="18"/>
        </w:rPr>
        <w:t xml:space="preserve"> patients</w:t>
      </w:r>
      <w:r w:rsidR="000C4509" w:rsidRPr="009909E9">
        <w:rPr>
          <w:rFonts w:ascii="Helvetica" w:hAnsi="Helvetica"/>
          <w:sz w:val="18"/>
          <w:szCs w:val="18"/>
        </w:rPr>
        <w:t xml:space="preserve">. On the downside, </w:t>
      </w:r>
      <w:r w:rsidR="001D06B8" w:rsidRPr="009909E9">
        <w:rPr>
          <w:rFonts w:ascii="Helvetica" w:hAnsi="Helvetica"/>
          <w:sz w:val="18"/>
          <w:szCs w:val="18"/>
        </w:rPr>
        <w:t xml:space="preserve">it </w:t>
      </w:r>
      <w:r w:rsidR="00EB43E0" w:rsidRPr="009909E9">
        <w:rPr>
          <w:rFonts w:ascii="Helvetica" w:hAnsi="Helvetica"/>
          <w:sz w:val="18"/>
          <w:szCs w:val="18"/>
        </w:rPr>
        <w:t>is a technique which</w:t>
      </w:r>
      <w:r w:rsidR="001D06B8" w:rsidRPr="009909E9">
        <w:rPr>
          <w:rFonts w:ascii="Helvetica" w:hAnsi="Helvetica"/>
          <w:sz w:val="18"/>
          <w:szCs w:val="18"/>
        </w:rPr>
        <w:t xml:space="preserve"> spread</w:t>
      </w:r>
      <w:r w:rsidR="00EB43E0" w:rsidRPr="009909E9">
        <w:rPr>
          <w:rFonts w:ascii="Helvetica" w:hAnsi="Helvetica"/>
          <w:sz w:val="18"/>
          <w:szCs w:val="18"/>
        </w:rPr>
        <w:t>s</w:t>
      </w:r>
      <w:r w:rsidR="001D06B8" w:rsidRPr="009909E9">
        <w:rPr>
          <w:rFonts w:ascii="Helvetica" w:hAnsi="Helvetica"/>
          <w:sz w:val="18"/>
          <w:szCs w:val="18"/>
        </w:rPr>
        <w:t xml:space="preserve"> throughout the brain and might be undesirable when there is a need </w:t>
      </w:r>
      <w:r w:rsidR="00EB43E0" w:rsidRPr="009909E9">
        <w:rPr>
          <w:rFonts w:ascii="Helvetica" w:hAnsi="Helvetica"/>
          <w:sz w:val="18"/>
          <w:szCs w:val="18"/>
        </w:rPr>
        <w:t>to</w:t>
      </w:r>
      <w:r w:rsidR="001D06B8" w:rsidRPr="009909E9">
        <w:rPr>
          <w:rFonts w:ascii="Helvetica" w:hAnsi="Helvetica"/>
          <w:sz w:val="18"/>
          <w:szCs w:val="18"/>
        </w:rPr>
        <w:t xml:space="preserve"> target specific areas of the brain</w:t>
      </w:r>
      <w:r w:rsidR="007F7EB7">
        <w:rPr>
          <w:rFonts w:ascii="Helvetica" w:hAnsi="Helvetica"/>
          <w:sz w:val="18"/>
          <w:szCs w:val="18"/>
        </w:rPr>
        <w:t xml:space="preserve"> </w:t>
      </w:r>
      <w:r w:rsidR="007F7EB7">
        <w:rPr>
          <w:rFonts w:ascii="Helvetica" w:hAnsi="Helvetica"/>
          <w:sz w:val="18"/>
          <w:szCs w:val="18"/>
        </w:rPr>
        <w:fldChar w:fldCharType="begin"/>
      </w:r>
      <w:r w:rsidR="007F7EB7">
        <w:rPr>
          <w:rFonts w:ascii="Helvetica" w:hAnsi="Helvetica"/>
          <w:sz w:val="18"/>
          <w:szCs w:val="18"/>
        </w:rPr>
        <w:instrText xml:space="preserve"> ADDIN ZOTERO_ITEM CSL_CITATION {"citationID":"6Js2MlaE","properties":{"formattedCitation":"[1]","plainCitation":"[1]","noteIndex":0},"citationItems":[{"id":381,"uris":["http://zotero.org/users/7286058/items/UAKW9FMU"],"uri":["http://zotero.org/users/7286058/items/UAKW9FMU"],"itemData":{"id":381,"type":"article-journal","abstract":"Glial cell line-derived neurotrophic factor (GDNF) gene therapy could offer a disease-modifying treatment for Parkinson’s disease (PD). Here, we report that plasmid DNA nanoparticles (NPs) encoding human GDNF administered intranasally to rats induce transgene expression in the brain and protect dopamine neurons in a model of PD. To first test whether intranasal administration could transfect cells in the brain, rats were sacrificed 1 week after intranasal pGDNF NPs or the naked plasmid. GDNF ELISA revealed significant increases in GDNF expression throughout the brain for both treatments. To assess whether expression was sufficient to protect dopamine neurons, naked pGDNF and pGDNF DNA NPs were given intranasally 1 week before a unilateral 6-hydroxydopamine lesion in a rat model of PD. Three to four weeks after the lesion, amphetamine-induced rotational behavior was reduced, and dopaminergic fiber density and cell counts in the lesioned substantia nigra and nerve terminal density in the lesioned striatum were significantly preserved in rats given intranasal pGDNF. The NPs afforded a greater level of neuroprotection than the naked plasmid. These results provide proof-of-principle that intranasal administration of pGDNF DNA NPs can offer a non-invasive, non-viral gene therapy approach for early-stage PD.","container-title":"Molecular Neurobiology","DOI":"10.1007/s12035-018-1109-6","ISSN":"0893-7648, 1559-1182","issue":"1","journalAbbreviation":"Mol Neurobiol","language":"en","page":"688-701","source":"DOI.org (Crossref)","title":"Intranasal Delivery of pGDNF DNA Nanoparticles Provides Neuroprotection in the Rat 6-Hydroxydopamine Model of Parkinson’s Disease","URL":"http://link.springer.com/10.1007/s12035-018-1109-6","volume":"56","author":[{"family":"Aly","given":"Amirah E.-E."},{"family":"Harmon","given":"Brendan T."},{"family":"Padegimas","given":"Linas"},{"family":"Sesenoglu-Laird","given":"Ozge"},{"family":"Cooper","given":"Mark J."},{"family":"Waszczak","given":"Barbara L."}],"accessed":{"date-parts":[["2021",10,29]]},"issued":{"date-parts":[["2019",1]]}}}],"schema":"https://github.com/citation-style-language/schema/raw/master/csl-citation.json"} </w:instrText>
      </w:r>
      <w:r w:rsidR="007F7EB7">
        <w:rPr>
          <w:rFonts w:ascii="Helvetica" w:hAnsi="Helvetica"/>
          <w:sz w:val="18"/>
          <w:szCs w:val="18"/>
        </w:rPr>
        <w:fldChar w:fldCharType="separate"/>
      </w:r>
      <w:r w:rsidR="007F7EB7">
        <w:rPr>
          <w:rFonts w:ascii="Helvetica" w:hAnsi="Helvetica"/>
          <w:noProof/>
          <w:sz w:val="18"/>
          <w:szCs w:val="18"/>
        </w:rPr>
        <w:t>[1]</w:t>
      </w:r>
      <w:r w:rsidR="007F7EB7">
        <w:rPr>
          <w:rFonts w:ascii="Helvetica" w:hAnsi="Helvetica"/>
          <w:sz w:val="18"/>
          <w:szCs w:val="18"/>
        </w:rPr>
        <w:fldChar w:fldCharType="end"/>
      </w:r>
      <w:r w:rsidR="001D06B8" w:rsidRPr="009909E9">
        <w:rPr>
          <w:rFonts w:ascii="Helvetica" w:hAnsi="Helvetica"/>
          <w:sz w:val="18"/>
          <w:szCs w:val="18"/>
        </w:rPr>
        <w:t>.</w:t>
      </w:r>
      <w:r w:rsidR="00EB43E0" w:rsidRPr="009909E9">
        <w:rPr>
          <w:rFonts w:ascii="Helvetica" w:hAnsi="Helvetica"/>
          <w:sz w:val="18"/>
          <w:szCs w:val="18"/>
        </w:rPr>
        <w:t xml:space="preserve"> </w:t>
      </w:r>
    </w:p>
    <w:p w14:paraId="19912834" w14:textId="1FFBD9D5" w:rsidR="00D6482E" w:rsidRPr="009909E9" w:rsidRDefault="008532BD" w:rsidP="009909E9">
      <w:pPr>
        <w:pStyle w:val="ListParagraph"/>
        <w:numPr>
          <w:ilvl w:val="0"/>
          <w:numId w:val="19"/>
        </w:numPr>
        <w:rPr>
          <w:rFonts w:ascii="Helvetica" w:hAnsi="Helvetica"/>
          <w:sz w:val="18"/>
          <w:szCs w:val="18"/>
        </w:rPr>
      </w:pPr>
      <w:r w:rsidRPr="009909E9">
        <w:rPr>
          <w:rFonts w:ascii="Helvetica" w:hAnsi="Helvetica"/>
          <w:sz w:val="18"/>
          <w:szCs w:val="18"/>
        </w:rPr>
        <w:t>Transcranial</w:t>
      </w:r>
      <w:r w:rsidR="00E15A39" w:rsidRPr="009909E9">
        <w:rPr>
          <w:rFonts w:ascii="Helvetica" w:hAnsi="Helvetica"/>
          <w:sz w:val="18"/>
          <w:szCs w:val="18"/>
        </w:rPr>
        <w:t xml:space="preserve"> </w:t>
      </w:r>
      <w:r w:rsidRPr="009909E9">
        <w:rPr>
          <w:rFonts w:ascii="Helvetica" w:hAnsi="Helvetica"/>
          <w:sz w:val="18"/>
          <w:szCs w:val="18"/>
        </w:rPr>
        <w:t>direct current stimulation (</w:t>
      </w:r>
      <w:proofErr w:type="spellStart"/>
      <w:r w:rsidRPr="009909E9">
        <w:rPr>
          <w:rFonts w:ascii="Helvetica" w:hAnsi="Helvetica"/>
          <w:sz w:val="18"/>
          <w:szCs w:val="18"/>
        </w:rPr>
        <w:t>tDCS</w:t>
      </w:r>
      <w:proofErr w:type="spellEnd"/>
      <w:r w:rsidRPr="009909E9">
        <w:rPr>
          <w:rFonts w:ascii="Helvetica" w:hAnsi="Helvetica"/>
          <w:sz w:val="18"/>
          <w:szCs w:val="18"/>
        </w:rPr>
        <w:t>) is another non-invasive treatment of PD which uses a low electric current</w:t>
      </w:r>
      <w:r w:rsidR="009144C7" w:rsidRPr="009909E9">
        <w:rPr>
          <w:rFonts w:ascii="Helvetica" w:hAnsi="Helvetica"/>
          <w:sz w:val="18"/>
          <w:szCs w:val="18"/>
        </w:rPr>
        <w:t>,</w:t>
      </w:r>
      <w:r w:rsidRPr="009909E9">
        <w:rPr>
          <w:rFonts w:ascii="Helvetica" w:hAnsi="Helvetica"/>
          <w:sz w:val="18"/>
          <w:szCs w:val="18"/>
        </w:rPr>
        <w:t xml:space="preserve"> </w:t>
      </w:r>
      <w:r w:rsidR="009144C7" w:rsidRPr="009909E9">
        <w:rPr>
          <w:rFonts w:ascii="Helvetica" w:hAnsi="Helvetica"/>
          <w:sz w:val="18"/>
          <w:szCs w:val="18"/>
        </w:rPr>
        <w:t xml:space="preserve">transmitted by electrodes attached to the scalp, </w:t>
      </w:r>
      <w:r w:rsidRPr="009909E9">
        <w:rPr>
          <w:rFonts w:ascii="Helvetica" w:hAnsi="Helvetica"/>
          <w:sz w:val="18"/>
          <w:szCs w:val="18"/>
        </w:rPr>
        <w:t>to modulate cortical excitability and improve patient motor speed and coordination.</w:t>
      </w:r>
      <w:r w:rsidR="00D6482E" w:rsidRPr="009909E9">
        <w:rPr>
          <w:rFonts w:ascii="Helvetica" w:hAnsi="Helvetica"/>
          <w:sz w:val="18"/>
          <w:szCs w:val="18"/>
        </w:rPr>
        <w:t xml:space="preserve"> </w:t>
      </w:r>
      <w:proofErr w:type="spellStart"/>
      <w:r w:rsidR="00C8280E" w:rsidRPr="009909E9">
        <w:rPr>
          <w:rFonts w:ascii="Helvetica" w:hAnsi="Helvetica"/>
          <w:sz w:val="18"/>
          <w:szCs w:val="18"/>
        </w:rPr>
        <w:t>tDCS</w:t>
      </w:r>
      <w:proofErr w:type="spellEnd"/>
      <w:r w:rsidR="00C8280E" w:rsidRPr="009909E9">
        <w:rPr>
          <w:rFonts w:ascii="Helvetica" w:hAnsi="Helvetica"/>
          <w:sz w:val="18"/>
          <w:szCs w:val="18"/>
        </w:rPr>
        <w:t xml:space="preserve"> may have therapeutic potential in PD but it</w:t>
      </w:r>
      <w:r w:rsidR="00D6482E" w:rsidRPr="009909E9">
        <w:rPr>
          <w:rFonts w:ascii="Helvetica" w:hAnsi="Helvetica"/>
          <w:sz w:val="18"/>
          <w:szCs w:val="18"/>
        </w:rPr>
        <w:t xml:space="preserve"> present</w:t>
      </w:r>
      <w:r w:rsidR="00C8280E" w:rsidRPr="009909E9">
        <w:rPr>
          <w:rFonts w:ascii="Helvetica" w:hAnsi="Helvetica"/>
          <w:sz w:val="18"/>
          <w:szCs w:val="18"/>
        </w:rPr>
        <w:t>s</w:t>
      </w:r>
      <w:r w:rsidR="00D6482E" w:rsidRPr="009909E9">
        <w:rPr>
          <w:rFonts w:ascii="Helvetica" w:hAnsi="Helvetica"/>
          <w:sz w:val="18"/>
          <w:szCs w:val="18"/>
        </w:rPr>
        <w:t xml:space="preserve"> challenges</w:t>
      </w:r>
      <w:r w:rsidR="00814A52" w:rsidRPr="009909E9">
        <w:rPr>
          <w:rFonts w:ascii="Helvetica" w:hAnsi="Helvetica"/>
          <w:sz w:val="18"/>
          <w:szCs w:val="18"/>
        </w:rPr>
        <w:t xml:space="preserve"> and source of variability</w:t>
      </w:r>
      <w:r w:rsidR="00D6482E" w:rsidRPr="009909E9">
        <w:rPr>
          <w:rFonts w:ascii="Helvetica" w:hAnsi="Helvetica"/>
          <w:sz w:val="18"/>
          <w:szCs w:val="18"/>
        </w:rPr>
        <w:t xml:space="preserve"> like</w:t>
      </w:r>
      <w:r w:rsidR="007F7EB7">
        <w:rPr>
          <w:rFonts w:ascii="Helvetica" w:hAnsi="Helvetica"/>
          <w:sz w:val="18"/>
          <w:szCs w:val="18"/>
        </w:rPr>
        <w:t xml:space="preserve"> </w:t>
      </w:r>
      <w:r w:rsidR="007F7EB7">
        <w:rPr>
          <w:rFonts w:ascii="Helvetica" w:hAnsi="Helvetica"/>
          <w:sz w:val="18"/>
          <w:szCs w:val="18"/>
        </w:rPr>
        <w:fldChar w:fldCharType="begin"/>
      </w:r>
      <w:r w:rsidR="007F7EB7">
        <w:rPr>
          <w:rFonts w:ascii="Helvetica" w:hAnsi="Helvetica"/>
          <w:sz w:val="18"/>
          <w:szCs w:val="18"/>
        </w:rPr>
        <w:instrText xml:space="preserve"> ADDIN ZOTERO_ITEM CSL_CITATION {"citationID":"Znt5iAzf","properties":{"formattedCitation":"[2]","plainCitation":"[2]","noteIndex":0},"citationItems":[{"id":386,"uris":["http://zotero.org/users/7286058/items/IUICJJ5L"],"uri":["http://zotero.org/users/7286058/items/IUICJJ5L"],"itemData":{"id":386,"type":"article-journal","abstract":"Transcranial direct current stimulation (tDCS) is a popular brain stimulation method that is used to modulate cortical excitability, producing facilitatory or inhibitory effects upon a variety of behaviors. There is, however, a current lack of consensus between studies, with many results suggesting that polarity-specific effects are difficult to obtain. This article explores some of these differences and highlights the experimental parameters that may underlie their occurrence. We provide a general, practical snapshot of tDCS methodology, including what it is used for, how to use it, and considerations for designing an effective and safe experiment. Our aim is to equip researchers who are new to tDCS with the essential knowledge so that they can make informed and well-rounded decisions when designing and running successful experiments. By summarizing the varied approaches, stimulation parameters, and outcomes, this article should help inform future tDCS research in a variety of fields.","container-title":"Frontiers in Neuroscience","DOI":"10.3389/fnins.2017.00641","ISSN":"1662-4548","journalAbbreviation":"Front Neurosci","note":"PMID: 29213226\nPMCID: PMC5702643","page":"641","source":"PubMed Central","title":"Transcranial Direct Current Stimulation (tDCS): A Beginner's Guide for Design and Implementation","title-short":"Transcranial Direct Current Stimulation (tDCS)","URL":"https://www.ncbi.nlm.nih.gov/pmc/articles/PMC5702643/","volume":"11","author":[{"family":"Thair","given":"Hayley"},{"family":"Holloway","given":"Amy L."},{"family":"Newport","given":"Roger"},{"family":"Smith","given":"Alastair D."}],"accessed":{"date-parts":[["2021",10,29]]},"issued":{"date-parts":[["2017",11,22]]}}}],"schema":"https://github.com/citation-style-language/schema/raw/master/csl-citation.json"} </w:instrText>
      </w:r>
      <w:r w:rsidR="007F7EB7">
        <w:rPr>
          <w:rFonts w:ascii="Helvetica" w:hAnsi="Helvetica"/>
          <w:sz w:val="18"/>
          <w:szCs w:val="18"/>
        </w:rPr>
        <w:fldChar w:fldCharType="separate"/>
      </w:r>
      <w:r w:rsidR="007F7EB7">
        <w:rPr>
          <w:rFonts w:ascii="Helvetica" w:hAnsi="Helvetica"/>
          <w:noProof/>
          <w:sz w:val="18"/>
          <w:szCs w:val="18"/>
        </w:rPr>
        <w:t>[2]</w:t>
      </w:r>
      <w:r w:rsidR="007F7EB7">
        <w:rPr>
          <w:rFonts w:ascii="Helvetica" w:hAnsi="Helvetica"/>
          <w:sz w:val="18"/>
          <w:szCs w:val="18"/>
        </w:rPr>
        <w:fldChar w:fldCharType="end"/>
      </w:r>
      <w:r w:rsidR="009909E9">
        <w:rPr>
          <w:rFonts w:ascii="Helvetica" w:hAnsi="Helvetica"/>
          <w:sz w:val="18"/>
          <w:szCs w:val="18"/>
        </w:rPr>
        <w:t>:</w:t>
      </w:r>
    </w:p>
    <w:p w14:paraId="14815623" w14:textId="532BBA45" w:rsidR="00D6482E" w:rsidRPr="009909E9" w:rsidRDefault="00D6482E" w:rsidP="009909E9">
      <w:pPr>
        <w:pStyle w:val="ListParagraph"/>
        <w:numPr>
          <w:ilvl w:val="1"/>
          <w:numId w:val="20"/>
        </w:numPr>
        <w:rPr>
          <w:rFonts w:ascii="Helvetica" w:hAnsi="Helvetica"/>
          <w:sz w:val="18"/>
          <w:szCs w:val="18"/>
        </w:rPr>
      </w:pPr>
      <w:r w:rsidRPr="009909E9">
        <w:rPr>
          <w:rFonts w:ascii="Helvetica" w:hAnsi="Helvetica"/>
          <w:sz w:val="18"/>
          <w:szCs w:val="18"/>
        </w:rPr>
        <w:t>correct placement or strapping of the electrodes,</w:t>
      </w:r>
    </w:p>
    <w:p w14:paraId="0E05FEFF" w14:textId="23417578" w:rsidR="00D6482E" w:rsidRPr="009909E9" w:rsidRDefault="008E448A" w:rsidP="009909E9">
      <w:pPr>
        <w:pStyle w:val="ListParagraph"/>
        <w:numPr>
          <w:ilvl w:val="1"/>
          <w:numId w:val="20"/>
        </w:numPr>
        <w:rPr>
          <w:rFonts w:ascii="Helvetica" w:hAnsi="Helvetica"/>
          <w:sz w:val="18"/>
          <w:szCs w:val="18"/>
        </w:rPr>
      </w:pPr>
      <w:proofErr w:type="spellStart"/>
      <w:r>
        <w:rPr>
          <w:rFonts w:ascii="Helvetica" w:hAnsi="Helvetica"/>
          <w:sz w:val="18"/>
          <w:szCs w:val="18"/>
        </w:rPr>
        <w:t>s</w:t>
      </w:r>
      <w:r w:rsidR="00D6482E" w:rsidRPr="009909E9">
        <w:rPr>
          <w:rFonts w:ascii="Helvetica" w:hAnsi="Helvetica"/>
          <w:sz w:val="18"/>
          <w:szCs w:val="18"/>
        </w:rPr>
        <w:t>choice</w:t>
      </w:r>
      <w:proofErr w:type="spellEnd"/>
      <w:r w:rsidR="00D6482E" w:rsidRPr="009909E9">
        <w:rPr>
          <w:rFonts w:ascii="Helvetica" w:hAnsi="Helvetica"/>
          <w:sz w:val="18"/>
          <w:szCs w:val="18"/>
        </w:rPr>
        <w:t xml:space="preserve"> of gel or saline applied to not only ensure conductivity but also protects against burns due to the heat dissipation from the current</w:t>
      </w:r>
    </w:p>
    <w:p w14:paraId="7025F16B" w14:textId="34013067" w:rsidR="00D6482E" w:rsidRPr="009909E9" w:rsidRDefault="009909E9" w:rsidP="009909E9">
      <w:pPr>
        <w:pStyle w:val="ListParagraph"/>
        <w:numPr>
          <w:ilvl w:val="1"/>
          <w:numId w:val="20"/>
        </w:numPr>
        <w:rPr>
          <w:rFonts w:ascii="Helvetica" w:hAnsi="Helvetica"/>
          <w:sz w:val="18"/>
          <w:szCs w:val="18"/>
        </w:rPr>
      </w:pPr>
      <w:r>
        <w:rPr>
          <w:rFonts w:ascii="Helvetica" w:hAnsi="Helvetica"/>
          <w:sz w:val="18"/>
          <w:szCs w:val="18"/>
        </w:rPr>
        <w:t xml:space="preserve">choice of </w:t>
      </w:r>
      <w:r w:rsidR="00D6482E" w:rsidRPr="009909E9">
        <w:rPr>
          <w:rFonts w:ascii="Helvetica" w:hAnsi="Helvetica"/>
          <w:sz w:val="18"/>
          <w:szCs w:val="18"/>
        </w:rPr>
        <w:t>region of interest targeted by the stimulation</w:t>
      </w:r>
      <w:r>
        <w:rPr>
          <w:rFonts w:ascii="Helvetica" w:hAnsi="Helvetica"/>
          <w:sz w:val="18"/>
          <w:szCs w:val="18"/>
        </w:rPr>
        <w:t xml:space="preserve"> since the stimulation is </w:t>
      </w:r>
      <w:r w:rsidR="007F7EB7">
        <w:rPr>
          <w:rFonts w:ascii="Helvetica" w:hAnsi="Helvetica"/>
          <w:sz w:val="18"/>
          <w:szCs w:val="18"/>
        </w:rPr>
        <w:t>localized</w:t>
      </w:r>
    </w:p>
    <w:p w14:paraId="7551F6D7" w14:textId="743E6DB1" w:rsidR="00D6482E" w:rsidRPr="009909E9" w:rsidRDefault="00814A52" w:rsidP="009909E9">
      <w:pPr>
        <w:pStyle w:val="ListParagraph"/>
        <w:numPr>
          <w:ilvl w:val="1"/>
          <w:numId w:val="20"/>
        </w:numPr>
        <w:rPr>
          <w:rFonts w:ascii="Helvetica" w:hAnsi="Helvetica"/>
          <w:sz w:val="18"/>
          <w:szCs w:val="18"/>
        </w:rPr>
      </w:pPr>
      <w:r w:rsidRPr="009909E9">
        <w:rPr>
          <w:rFonts w:ascii="Helvetica" w:hAnsi="Helvetica"/>
          <w:sz w:val="18"/>
          <w:szCs w:val="18"/>
        </w:rPr>
        <w:t xml:space="preserve">stimulation intensity level and duration </w:t>
      </w:r>
    </w:p>
    <w:p w14:paraId="2519BE31" w14:textId="0EEAEF82" w:rsidR="00724A10" w:rsidRDefault="009909E9" w:rsidP="009D6526">
      <w:pPr>
        <w:rPr>
          <w:rFonts w:ascii="Helvetica" w:hAnsi="Helvetica"/>
          <w:sz w:val="18"/>
          <w:szCs w:val="18"/>
        </w:rPr>
      </w:pPr>
      <w:r>
        <w:rPr>
          <w:rFonts w:ascii="Helvetica" w:hAnsi="Helvetica"/>
          <w:sz w:val="18"/>
          <w:szCs w:val="18"/>
        </w:rPr>
        <w:t>Also,</w:t>
      </w:r>
      <w:r w:rsidR="00C8280E">
        <w:rPr>
          <w:rFonts w:ascii="Helvetica" w:hAnsi="Helvetica"/>
          <w:sz w:val="18"/>
          <w:szCs w:val="18"/>
        </w:rPr>
        <w:t xml:space="preserve"> mild adverse effects have been observed in patients such as headache, moderate fatigue, difficulty concentrating, mood changes and nausea.</w:t>
      </w:r>
    </w:p>
    <w:p w14:paraId="4EF429F0" w14:textId="77777777" w:rsidR="001D06B8" w:rsidRPr="009D6526" w:rsidRDefault="001D06B8" w:rsidP="009D6526">
      <w:pPr>
        <w:rPr>
          <w:rFonts w:ascii="Helvetica" w:hAnsi="Helvetica"/>
          <w:sz w:val="18"/>
          <w:szCs w:val="18"/>
        </w:rPr>
      </w:pPr>
    </w:p>
    <w:p w14:paraId="5B5235AE" w14:textId="07FE2654" w:rsidR="00D9295A" w:rsidRPr="008E448A" w:rsidRDefault="009D6526" w:rsidP="009D6526">
      <w:pPr>
        <w:rPr>
          <w:rFonts w:ascii="Helvetica" w:hAnsi="Helvetica"/>
          <w:b/>
          <w:bCs/>
          <w:sz w:val="18"/>
          <w:szCs w:val="18"/>
        </w:rPr>
      </w:pPr>
      <w:r w:rsidRPr="009D6526">
        <w:rPr>
          <w:rFonts w:ascii="Helvetica" w:hAnsi="Helvetica"/>
          <w:b/>
          <w:bCs/>
          <w:sz w:val="18"/>
          <w:szCs w:val="18"/>
        </w:rPr>
        <w:t>Find another treatment option and discuss how it might be more beneficial than the types of treatment listed above</w:t>
      </w:r>
    </w:p>
    <w:p w14:paraId="2938F11E" w14:textId="221B2F9C" w:rsidR="002D28E9" w:rsidRDefault="00EB588F" w:rsidP="009D6526">
      <w:pPr>
        <w:rPr>
          <w:rFonts w:ascii="Helvetica" w:hAnsi="Helvetica"/>
          <w:sz w:val="18"/>
          <w:szCs w:val="18"/>
        </w:rPr>
      </w:pPr>
      <w:r>
        <w:rPr>
          <w:rFonts w:ascii="Helvetica" w:hAnsi="Helvetica"/>
          <w:sz w:val="18"/>
          <w:szCs w:val="18"/>
        </w:rPr>
        <w:t xml:space="preserve">Although </w:t>
      </w:r>
      <w:r w:rsidR="0045676E">
        <w:rPr>
          <w:rFonts w:ascii="Helvetica" w:hAnsi="Helvetica"/>
          <w:sz w:val="18"/>
          <w:szCs w:val="18"/>
        </w:rPr>
        <w:t>currently there</w:t>
      </w:r>
      <w:r>
        <w:rPr>
          <w:rFonts w:ascii="Helvetica" w:hAnsi="Helvetica"/>
          <w:sz w:val="18"/>
          <w:szCs w:val="18"/>
        </w:rPr>
        <w:t xml:space="preserve"> is no cure of PD, </w:t>
      </w:r>
      <w:r w:rsidR="0045676E">
        <w:rPr>
          <w:rFonts w:ascii="Helvetica" w:hAnsi="Helvetica"/>
          <w:sz w:val="18"/>
          <w:szCs w:val="18"/>
        </w:rPr>
        <w:t>d</w:t>
      </w:r>
      <w:r>
        <w:rPr>
          <w:rFonts w:ascii="Helvetica" w:hAnsi="Helvetica"/>
          <w:sz w:val="18"/>
          <w:szCs w:val="18"/>
        </w:rPr>
        <w:t xml:space="preserve">eep </w:t>
      </w:r>
      <w:r w:rsidR="0045676E">
        <w:rPr>
          <w:rFonts w:ascii="Helvetica" w:hAnsi="Helvetica"/>
          <w:sz w:val="18"/>
          <w:szCs w:val="18"/>
        </w:rPr>
        <w:t>b</w:t>
      </w:r>
      <w:r>
        <w:rPr>
          <w:rFonts w:ascii="Helvetica" w:hAnsi="Helvetica"/>
          <w:sz w:val="18"/>
          <w:szCs w:val="18"/>
        </w:rPr>
        <w:t xml:space="preserve">rain </w:t>
      </w:r>
      <w:r w:rsidR="0045676E">
        <w:rPr>
          <w:rFonts w:ascii="Helvetica" w:hAnsi="Helvetica"/>
          <w:sz w:val="18"/>
          <w:szCs w:val="18"/>
        </w:rPr>
        <w:t>s</w:t>
      </w:r>
      <w:r>
        <w:rPr>
          <w:rFonts w:ascii="Helvetica" w:hAnsi="Helvetica"/>
          <w:sz w:val="18"/>
          <w:szCs w:val="18"/>
        </w:rPr>
        <w:t>timulation</w:t>
      </w:r>
      <w:r w:rsidR="002D28E9">
        <w:rPr>
          <w:rFonts w:ascii="Helvetica" w:hAnsi="Helvetica"/>
          <w:sz w:val="18"/>
          <w:szCs w:val="18"/>
        </w:rPr>
        <w:t xml:space="preserve"> </w:t>
      </w:r>
      <w:r>
        <w:rPr>
          <w:rFonts w:ascii="Helvetica" w:hAnsi="Helvetica"/>
          <w:sz w:val="18"/>
          <w:szCs w:val="18"/>
        </w:rPr>
        <w:t>(</w:t>
      </w:r>
      <w:r w:rsidR="004F0428">
        <w:rPr>
          <w:rFonts w:ascii="Helvetica" w:hAnsi="Helvetica"/>
          <w:sz w:val="18"/>
          <w:szCs w:val="18"/>
        </w:rPr>
        <w:t>DBS) non</w:t>
      </w:r>
      <w:r>
        <w:rPr>
          <w:rFonts w:ascii="Helvetica" w:hAnsi="Helvetica"/>
          <w:sz w:val="18"/>
          <w:szCs w:val="18"/>
        </w:rPr>
        <w:t>-invasive techniques have demonstrated improvement of motor and non-motor neurological symptoms. It seems that more studies are needed to establish the duration of the treatment</w:t>
      </w:r>
      <w:r w:rsidR="008E448A">
        <w:rPr>
          <w:rFonts w:ascii="Helvetica" w:hAnsi="Helvetica"/>
          <w:sz w:val="18"/>
          <w:szCs w:val="18"/>
        </w:rPr>
        <w:t>s</w:t>
      </w:r>
      <w:r>
        <w:rPr>
          <w:rFonts w:ascii="Helvetica" w:hAnsi="Helvetica"/>
          <w:sz w:val="18"/>
          <w:szCs w:val="18"/>
        </w:rPr>
        <w:t>, their long-term efficiency and</w:t>
      </w:r>
      <w:r w:rsidR="005E6384">
        <w:rPr>
          <w:rFonts w:ascii="Helvetica" w:hAnsi="Helvetica"/>
          <w:sz w:val="18"/>
          <w:szCs w:val="18"/>
        </w:rPr>
        <w:t xml:space="preserve"> long-term side-effects</w:t>
      </w:r>
      <w:r w:rsidR="0045676E">
        <w:rPr>
          <w:rFonts w:ascii="Helvetica" w:hAnsi="Helvetica"/>
          <w:sz w:val="18"/>
          <w:szCs w:val="18"/>
        </w:rPr>
        <w:t xml:space="preserve"> </w:t>
      </w:r>
      <w:r w:rsidR="0045676E">
        <w:rPr>
          <w:rFonts w:ascii="Helvetica" w:hAnsi="Helvetica"/>
          <w:sz w:val="18"/>
          <w:szCs w:val="18"/>
        </w:rPr>
        <w:fldChar w:fldCharType="begin"/>
      </w:r>
      <w:r w:rsidR="0045676E">
        <w:rPr>
          <w:rFonts w:ascii="Helvetica" w:hAnsi="Helvetica"/>
          <w:sz w:val="18"/>
          <w:szCs w:val="18"/>
        </w:rPr>
        <w:instrText xml:space="preserve"> ADDIN ZOTERO_ITEM CSL_CITATION {"citationID":"FuSZHupA","properties":{"formattedCitation":"[3]","plainCitation":"[3]","noteIndex":0},"citationItems":[{"id":379,"uris":["http://zotero.org/users/7286058/items/HV5FPAQS"],"uri":["http://zotero.org/users/7286058/items/HV5FPAQS"],"itemData":{"id":379,"type":"article","title":"PubMed Central Full Text PDF","URL":"http://www.ncbi.nlm.nih.gov/pmc/articles/PMC1739437/pdf/v076p01614.pdf","accessed":{"date-parts":[["2021",10,29]]}}}],"schema":"https://github.com/citation-style-language/schema/raw/master/csl-citation.json"} </w:instrText>
      </w:r>
      <w:r w:rsidR="0045676E">
        <w:rPr>
          <w:rFonts w:ascii="Helvetica" w:hAnsi="Helvetica"/>
          <w:sz w:val="18"/>
          <w:szCs w:val="18"/>
        </w:rPr>
        <w:fldChar w:fldCharType="separate"/>
      </w:r>
      <w:r w:rsidR="0045676E">
        <w:rPr>
          <w:rFonts w:ascii="Helvetica" w:hAnsi="Helvetica"/>
          <w:noProof/>
          <w:sz w:val="18"/>
          <w:szCs w:val="18"/>
        </w:rPr>
        <w:t>[3]</w:t>
      </w:r>
      <w:r w:rsidR="0045676E">
        <w:rPr>
          <w:rFonts w:ascii="Helvetica" w:hAnsi="Helvetica"/>
          <w:sz w:val="18"/>
          <w:szCs w:val="18"/>
        </w:rPr>
        <w:fldChar w:fldCharType="end"/>
      </w:r>
      <w:r>
        <w:rPr>
          <w:rFonts w:ascii="Helvetica" w:hAnsi="Helvetica"/>
          <w:sz w:val="18"/>
          <w:szCs w:val="18"/>
        </w:rPr>
        <w:t>.</w:t>
      </w:r>
      <w:r w:rsidR="0045676E">
        <w:rPr>
          <w:rFonts w:ascii="Helvetica" w:hAnsi="Helvetica"/>
          <w:sz w:val="18"/>
          <w:szCs w:val="18"/>
        </w:rPr>
        <w:t xml:space="preserve"> </w:t>
      </w:r>
      <w:r w:rsidR="002D28E9">
        <w:rPr>
          <w:rFonts w:ascii="Helvetica" w:hAnsi="Helvetica"/>
          <w:sz w:val="18"/>
          <w:szCs w:val="18"/>
        </w:rPr>
        <w:t>Focused ultra-sound is FDA-approve</w:t>
      </w:r>
      <w:r w:rsidR="008E448A">
        <w:rPr>
          <w:rFonts w:ascii="Helvetica" w:hAnsi="Helvetica"/>
          <w:sz w:val="18"/>
          <w:szCs w:val="18"/>
        </w:rPr>
        <w:t>d</w:t>
      </w:r>
      <w:r w:rsidR="002D28E9">
        <w:rPr>
          <w:rFonts w:ascii="Helvetica" w:hAnsi="Helvetica"/>
          <w:sz w:val="18"/>
          <w:szCs w:val="18"/>
        </w:rPr>
        <w:t>, use</w:t>
      </w:r>
      <w:r w:rsidR="008E448A">
        <w:rPr>
          <w:rFonts w:ascii="Helvetica" w:hAnsi="Helvetica"/>
          <w:sz w:val="18"/>
          <w:szCs w:val="18"/>
        </w:rPr>
        <w:t>s</w:t>
      </w:r>
      <w:r w:rsidR="002D28E9">
        <w:rPr>
          <w:rFonts w:ascii="Helvetica" w:hAnsi="Helvetica"/>
          <w:sz w:val="18"/>
          <w:szCs w:val="18"/>
        </w:rPr>
        <w:t xml:space="preserve"> MRI to guide high energy waves to destroy specific areas in the brain connected to tremor and unlike DBS</w:t>
      </w:r>
      <w:r w:rsidR="008E448A">
        <w:rPr>
          <w:rFonts w:ascii="Helvetica" w:hAnsi="Helvetica"/>
          <w:sz w:val="18"/>
          <w:szCs w:val="18"/>
        </w:rPr>
        <w:t>,</w:t>
      </w:r>
      <w:r w:rsidR="002D28E9">
        <w:rPr>
          <w:rFonts w:ascii="Helvetica" w:hAnsi="Helvetica"/>
          <w:sz w:val="18"/>
          <w:szCs w:val="18"/>
        </w:rPr>
        <w:t xml:space="preserve"> it is irreversible and </w:t>
      </w:r>
      <w:r w:rsidR="004F0428">
        <w:rPr>
          <w:rFonts w:ascii="Helvetica" w:hAnsi="Helvetica"/>
          <w:sz w:val="18"/>
          <w:szCs w:val="18"/>
        </w:rPr>
        <w:t>permanent</w:t>
      </w:r>
      <w:r w:rsidR="002D28E9">
        <w:rPr>
          <w:rFonts w:ascii="Helvetica" w:hAnsi="Helvetica"/>
          <w:sz w:val="18"/>
          <w:szCs w:val="18"/>
        </w:rPr>
        <w:t xml:space="preserve">. Clinical trials are testing FUS for other PD symptoms such as dyskinesia, additional research is </w:t>
      </w:r>
      <w:r w:rsidR="004F0428">
        <w:rPr>
          <w:rFonts w:ascii="Helvetica" w:hAnsi="Helvetica"/>
          <w:sz w:val="18"/>
          <w:szCs w:val="18"/>
        </w:rPr>
        <w:t>needed</w:t>
      </w:r>
      <w:r w:rsidR="002D28E9">
        <w:rPr>
          <w:rFonts w:ascii="Helvetica" w:hAnsi="Helvetica"/>
          <w:sz w:val="18"/>
          <w:szCs w:val="18"/>
        </w:rPr>
        <w:t xml:space="preserve"> to </w:t>
      </w:r>
      <w:r w:rsidR="004F0428">
        <w:rPr>
          <w:rFonts w:ascii="Helvetica" w:hAnsi="Helvetica"/>
          <w:sz w:val="18"/>
          <w:szCs w:val="18"/>
        </w:rPr>
        <w:t>validate</w:t>
      </w:r>
      <w:r w:rsidR="002D28E9">
        <w:rPr>
          <w:rFonts w:ascii="Helvetica" w:hAnsi="Helvetica"/>
          <w:sz w:val="18"/>
          <w:szCs w:val="18"/>
        </w:rPr>
        <w:t xml:space="preserve"> fully this procedure</w:t>
      </w:r>
      <w:r w:rsidR="004F0428">
        <w:rPr>
          <w:rFonts w:ascii="Helvetica" w:hAnsi="Helvetica"/>
          <w:sz w:val="18"/>
          <w:szCs w:val="18"/>
        </w:rPr>
        <w:t xml:space="preserve"> </w:t>
      </w:r>
      <w:r w:rsidR="004F0428">
        <w:rPr>
          <w:rFonts w:ascii="Helvetica" w:hAnsi="Helvetica"/>
          <w:sz w:val="18"/>
          <w:szCs w:val="18"/>
        </w:rPr>
        <w:fldChar w:fldCharType="begin"/>
      </w:r>
      <w:r w:rsidR="004F0428">
        <w:rPr>
          <w:rFonts w:ascii="Helvetica" w:hAnsi="Helvetica"/>
          <w:sz w:val="18"/>
          <w:szCs w:val="18"/>
        </w:rPr>
        <w:instrText xml:space="preserve"> ADDIN ZOTERO_ITEM CSL_CITATION {"citationID":"xxmcA8gx","properties":{"formattedCitation":"[4]","plainCitation":"[4]","noteIndex":0},"citationItems":[{"id":389,"uris":["http://zotero.org/users/7286058/items/RTRE3Z7A"],"uri":["http://zotero.org/users/7286058/items/RTRE3Z7A"],"itemData":{"id":389,"type":"webpage","abstract":"The Parkinson’s Foundation makes life better for people with Parkinson’s disease by improving care and advancing research toward a cure.","container-title":"Parkinson's Foundation","language":"en","title":"Other Surgical Options","URL":"https://www.parkinson.org/Understanding-Parkinsons/Treatment/Surgical-Treatment-Options/Other-Surgical-Options","accessed":{"date-parts":[["2021",10,29]]}}}],"schema":"https://github.com/citation-style-language/schema/raw/master/csl-citation.json"} </w:instrText>
      </w:r>
      <w:r w:rsidR="004F0428">
        <w:rPr>
          <w:rFonts w:ascii="Helvetica" w:hAnsi="Helvetica"/>
          <w:sz w:val="18"/>
          <w:szCs w:val="18"/>
        </w:rPr>
        <w:fldChar w:fldCharType="separate"/>
      </w:r>
      <w:r w:rsidR="004F0428">
        <w:rPr>
          <w:rFonts w:ascii="Helvetica" w:hAnsi="Helvetica"/>
          <w:noProof/>
          <w:sz w:val="18"/>
          <w:szCs w:val="18"/>
        </w:rPr>
        <w:t>[4]</w:t>
      </w:r>
      <w:r w:rsidR="004F0428">
        <w:rPr>
          <w:rFonts w:ascii="Helvetica" w:hAnsi="Helvetica"/>
          <w:sz w:val="18"/>
          <w:szCs w:val="18"/>
        </w:rPr>
        <w:fldChar w:fldCharType="end"/>
      </w:r>
      <w:r w:rsidR="002D28E9">
        <w:rPr>
          <w:rFonts w:ascii="Helvetica" w:hAnsi="Helvetica"/>
          <w:sz w:val="18"/>
          <w:szCs w:val="18"/>
        </w:rPr>
        <w:t>.</w:t>
      </w:r>
    </w:p>
    <w:p w14:paraId="51AAD31B" w14:textId="08C9D3F6" w:rsidR="009D6526" w:rsidRDefault="009D6526" w:rsidP="009D6526">
      <w:pPr>
        <w:rPr>
          <w:rFonts w:ascii="Helvetica" w:hAnsi="Helvetica"/>
          <w:sz w:val="18"/>
          <w:szCs w:val="18"/>
        </w:rPr>
      </w:pPr>
    </w:p>
    <w:p w14:paraId="44A8AA9A" w14:textId="77777777" w:rsidR="004F0428" w:rsidRPr="004F0428" w:rsidRDefault="004F0428" w:rsidP="004F0428">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4F0428">
        <w:rPr>
          <w:rFonts w:ascii="Helvetica" w:hAnsi="Helvetica"/>
          <w:sz w:val="18"/>
        </w:rPr>
        <w:t>[1]</w:t>
      </w:r>
      <w:r w:rsidRPr="004F0428">
        <w:rPr>
          <w:rFonts w:ascii="Helvetica" w:hAnsi="Helvetica"/>
          <w:sz w:val="18"/>
        </w:rPr>
        <w:tab/>
        <w:t xml:space="preserve">A. E.-E. Aly, B. T. Harmon, L. </w:t>
      </w:r>
      <w:proofErr w:type="spellStart"/>
      <w:r w:rsidRPr="004F0428">
        <w:rPr>
          <w:rFonts w:ascii="Helvetica" w:hAnsi="Helvetica"/>
          <w:sz w:val="18"/>
        </w:rPr>
        <w:t>Padegimas</w:t>
      </w:r>
      <w:proofErr w:type="spellEnd"/>
      <w:r w:rsidRPr="004F0428">
        <w:rPr>
          <w:rFonts w:ascii="Helvetica" w:hAnsi="Helvetica"/>
          <w:sz w:val="18"/>
        </w:rPr>
        <w:t xml:space="preserve">, O. </w:t>
      </w:r>
      <w:proofErr w:type="spellStart"/>
      <w:r w:rsidRPr="004F0428">
        <w:rPr>
          <w:rFonts w:ascii="Helvetica" w:hAnsi="Helvetica"/>
          <w:sz w:val="18"/>
        </w:rPr>
        <w:t>Sesenoglu</w:t>
      </w:r>
      <w:proofErr w:type="spellEnd"/>
      <w:r w:rsidRPr="004F0428">
        <w:rPr>
          <w:rFonts w:ascii="Helvetica" w:hAnsi="Helvetica"/>
          <w:sz w:val="18"/>
        </w:rPr>
        <w:t xml:space="preserve">-Laird, M. J. Cooper, and B. L. </w:t>
      </w:r>
      <w:proofErr w:type="spellStart"/>
      <w:r w:rsidRPr="004F0428">
        <w:rPr>
          <w:rFonts w:ascii="Helvetica" w:hAnsi="Helvetica"/>
          <w:sz w:val="18"/>
        </w:rPr>
        <w:t>Waszczak</w:t>
      </w:r>
      <w:proofErr w:type="spellEnd"/>
      <w:r w:rsidRPr="004F0428">
        <w:rPr>
          <w:rFonts w:ascii="Helvetica" w:hAnsi="Helvetica"/>
          <w:sz w:val="18"/>
        </w:rPr>
        <w:t xml:space="preserve">, “Intranasal Delivery of </w:t>
      </w:r>
      <w:proofErr w:type="spellStart"/>
      <w:r w:rsidRPr="004F0428">
        <w:rPr>
          <w:rFonts w:ascii="Helvetica" w:hAnsi="Helvetica"/>
          <w:sz w:val="18"/>
        </w:rPr>
        <w:t>pGDNF</w:t>
      </w:r>
      <w:proofErr w:type="spellEnd"/>
      <w:r w:rsidRPr="004F0428">
        <w:rPr>
          <w:rFonts w:ascii="Helvetica" w:hAnsi="Helvetica"/>
          <w:sz w:val="18"/>
        </w:rPr>
        <w:t xml:space="preserve"> DNA Nanoparticles Provides Neuroprotection in the Rat 6-Hydroxydopamine Model of Parkinson’s Disease,” </w:t>
      </w:r>
      <w:r w:rsidRPr="004F0428">
        <w:rPr>
          <w:rFonts w:ascii="Helvetica" w:hAnsi="Helvetica"/>
          <w:i/>
          <w:iCs/>
          <w:sz w:val="18"/>
        </w:rPr>
        <w:t xml:space="preserve">Mol. </w:t>
      </w:r>
      <w:proofErr w:type="spellStart"/>
      <w:r w:rsidRPr="004F0428">
        <w:rPr>
          <w:rFonts w:ascii="Helvetica" w:hAnsi="Helvetica"/>
          <w:i/>
          <w:iCs/>
          <w:sz w:val="18"/>
        </w:rPr>
        <w:t>Neurobiol</w:t>
      </w:r>
      <w:proofErr w:type="spellEnd"/>
      <w:r w:rsidRPr="004F0428">
        <w:rPr>
          <w:rFonts w:ascii="Helvetica" w:hAnsi="Helvetica"/>
          <w:i/>
          <w:iCs/>
          <w:sz w:val="18"/>
        </w:rPr>
        <w:t>.</w:t>
      </w:r>
      <w:r w:rsidRPr="004F0428">
        <w:rPr>
          <w:rFonts w:ascii="Helvetica" w:hAnsi="Helvetica"/>
          <w:sz w:val="18"/>
        </w:rPr>
        <w:t xml:space="preserve">, vol. 56, no. 1, pp. 688–701, Jan. 2019, </w:t>
      </w:r>
      <w:proofErr w:type="spellStart"/>
      <w:r w:rsidRPr="004F0428">
        <w:rPr>
          <w:rFonts w:ascii="Helvetica" w:hAnsi="Helvetica"/>
          <w:sz w:val="18"/>
        </w:rPr>
        <w:t>doi</w:t>
      </w:r>
      <w:proofErr w:type="spellEnd"/>
      <w:r w:rsidRPr="004F0428">
        <w:rPr>
          <w:rFonts w:ascii="Helvetica" w:hAnsi="Helvetica"/>
          <w:sz w:val="18"/>
        </w:rPr>
        <w:t>: 10.1007/s12035-018-1109-6.</w:t>
      </w:r>
    </w:p>
    <w:p w14:paraId="15A5C165" w14:textId="77777777" w:rsidR="004F0428" w:rsidRPr="004F0428" w:rsidRDefault="004F0428" w:rsidP="004F0428">
      <w:pPr>
        <w:pStyle w:val="Bibliography"/>
        <w:rPr>
          <w:rFonts w:ascii="Helvetica" w:hAnsi="Helvetica"/>
          <w:sz w:val="18"/>
        </w:rPr>
      </w:pPr>
      <w:r w:rsidRPr="004F0428">
        <w:rPr>
          <w:rFonts w:ascii="Helvetica" w:hAnsi="Helvetica"/>
          <w:sz w:val="18"/>
        </w:rPr>
        <w:t>[2]</w:t>
      </w:r>
      <w:r w:rsidRPr="004F0428">
        <w:rPr>
          <w:rFonts w:ascii="Helvetica" w:hAnsi="Helvetica"/>
          <w:sz w:val="18"/>
        </w:rPr>
        <w:tab/>
        <w:t xml:space="preserve">H. </w:t>
      </w:r>
      <w:proofErr w:type="spellStart"/>
      <w:r w:rsidRPr="004F0428">
        <w:rPr>
          <w:rFonts w:ascii="Helvetica" w:hAnsi="Helvetica"/>
          <w:sz w:val="18"/>
        </w:rPr>
        <w:t>Thair</w:t>
      </w:r>
      <w:proofErr w:type="spellEnd"/>
      <w:r w:rsidRPr="004F0428">
        <w:rPr>
          <w:rFonts w:ascii="Helvetica" w:hAnsi="Helvetica"/>
          <w:sz w:val="18"/>
        </w:rPr>
        <w:t>, A. L. Holloway, R. Newport, and A. D. Smith, “Transcranial Direct Current Stimulation (</w:t>
      </w:r>
      <w:proofErr w:type="spellStart"/>
      <w:r w:rsidRPr="004F0428">
        <w:rPr>
          <w:rFonts w:ascii="Helvetica" w:hAnsi="Helvetica"/>
          <w:sz w:val="18"/>
        </w:rPr>
        <w:t>tDCS</w:t>
      </w:r>
      <w:proofErr w:type="spellEnd"/>
      <w:r w:rsidRPr="004F0428">
        <w:rPr>
          <w:rFonts w:ascii="Helvetica" w:hAnsi="Helvetica"/>
          <w:sz w:val="18"/>
        </w:rPr>
        <w:t xml:space="preserve">): A Beginner’s Guide for Design and Implementation,” </w:t>
      </w:r>
      <w:r w:rsidRPr="004F0428">
        <w:rPr>
          <w:rFonts w:ascii="Helvetica" w:hAnsi="Helvetica"/>
          <w:i/>
          <w:iCs/>
          <w:sz w:val="18"/>
        </w:rPr>
        <w:t xml:space="preserve">Front. </w:t>
      </w:r>
      <w:proofErr w:type="spellStart"/>
      <w:r w:rsidRPr="004F0428">
        <w:rPr>
          <w:rFonts w:ascii="Helvetica" w:hAnsi="Helvetica"/>
          <w:i/>
          <w:iCs/>
          <w:sz w:val="18"/>
        </w:rPr>
        <w:t>Neurosci</w:t>
      </w:r>
      <w:proofErr w:type="spellEnd"/>
      <w:r w:rsidRPr="004F0428">
        <w:rPr>
          <w:rFonts w:ascii="Helvetica" w:hAnsi="Helvetica"/>
          <w:i/>
          <w:iCs/>
          <w:sz w:val="18"/>
        </w:rPr>
        <w:t>.</w:t>
      </w:r>
      <w:r w:rsidRPr="004F0428">
        <w:rPr>
          <w:rFonts w:ascii="Helvetica" w:hAnsi="Helvetica"/>
          <w:sz w:val="18"/>
        </w:rPr>
        <w:t xml:space="preserve">, vol. 11, p. 641, Nov. 2017, </w:t>
      </w:r>
      <w:proofErr w:type="spellStart"/>
      <w:r w:rsidRPr="004F0428">
        <w:rPr>
          <w:rFonts w:ascii="Helvetica" w:hAnsi="Helvetica"/>
          <w:sz w:val="18"/>
        </w:rPr>
        <w:t>doi</w:t>
      </w:r>
      <w:proofErr w:type="spellEnd"/>
      <w:r w:rsidRPr="004F0428">
        <w:rPr>
          <w:rFonts w:ascii="Helvetica" w:hAnsi="Helvetica"/>
          <w:sz w:val="18"/>
        </w:rPr>
        <w:t>: 10.3389/fnins.2017.00641.</w:t>
      </w:r>
    </w:p>
    <w:p w14:paraId="12F9054E" w14:textId="77777777" w:rsidR="004F0428" w:rsidRPr="004F0428" w:rsidRDefault="004F0428" w:rsidP="004F0428">
      <w:pPr>
        <w:pStyle w:val="Bibliography"/>
        <w:rPr>
          <w:rFonts w:ascii="Helvetica" w:hAnsi="Helvetica"/>
          <w:sz w:val="18"/>
        </w:rPr>
      </w:pPr>
      <w:r w:rsidRPr="004F0428">
        <w:rPr>
          <w:rFonts w:ascii="Helvetica" w:hAnsi="Helvetica"/>
          <w:sz w:val="18"/>
        </w:rPr>
        <w:t>[3]</w:t>
      </w:r>
      <w:r w:rsidRPr="004F0428">
        <w:rPr>
          <w:rFonts w:ascii="Helvetica" w:hAnsi="Helvetica"/>
          <w:sz w:val="18"/>
        </w:rPr>
        <w:tab/>
        <w:t>“PubMed Central Full Text PDF.” Accessed: Oct. 29, 2021. [Online]. Available: http://www.ncbi.nlm.nih.gov/pmc/articles/PMC1739437/pdf/v076p01614.pdf</w:t>
      </w:r>
    </w:p>
    <w:p w14:paraId="764D2AFE" w14:textId="77777777" w:rsidR="004F0428" w:rsidRPr="004F0428" w:rsidRDefault="004F0428" w:rsidP="004F0428">
      <w:pPr>
        <w:pStyle w:val="Bibliography"/>
        <w:rPr>
          <w:rFonts w:ascii="Helvetica" w:hAnsi="Helvetica"/>
          <w:sz w:val="18"/>
        </w:rPr>
      </w:pPr>
      <w:r w:rsidRPr="004F0428">
        <w:rPr>
          <w:rFonts w:ascii="Helvetica" w:hAnsi="Helvetica"/>
          <w:sz w:val="18"/>
        </w:rPr>
        <w:t>[4]</w:t>
      </w:r>
      <w:r w:rsidRPr="004F0428">
        <w:rPr>
          <w:rFonts w:ascii="Helvetica" w:hAnsi="Helvetica"/>
          <w:sz w:val="18"/>
        </w:rPr>
        <w:tab/>
        <w:t xml:space="preserve">“Other Surgical Options,” </w:t>
      </w:r>
      <w:r w:rsidRPr="004F0428">
        <w:rPr>
          <w:rFonts w:ascii="Helvetica" w:hAnsi="Helvetica"/>
          <w:i/>
          <w:iCs/>
          <w:sz w:val="18"/>
        </w:rPr>
        <w:t>Parkinson’s Foundation</w:t>
      </w:r>
      <w:r w:rsidRPr="004F0428">
        <w:rPr>
          <w:rFonts w:ascii="Helvetica" w:hAnsi="Helvetica"/>
          <w:sz w:val="18"/>
        </w:rPr>
        <w:t>. https://www.parkinson.org/Understanding-Parkinsons/Treatment/Surgical-Treatment-Options/Other-Surgical-Options (accessed Oct. 29, 2021).</w:t>
      </w:r>
    </w:p>
    <w:p w14:paraId="41D53226" w14:textId="2F58B3B2" w:rsidR="004F0428" w:rsidRPr="009D6526" w:rsidRDefault="004F0428" w:rsidP="009D6526">
      <w:pPr>
        <w:rPr>
          <w:rFonts w:ascii="Helvetica" w:hAnsi="Helvetica"/>
          <w:sz w:val="18"/>
          <w:szCs w:val="18"/>
        </w:rPr>
      </w:pPr>
      <w:r>
        <w:rPr>
          <w:rFonts w:ascii="Helvetica" w:hAnsi="Helvetica"/>
          <w:sz w:val="18"/>
          <w:szCs w:val="18"/>
        </w:rPr>
        <w:fldChar w:fldCharType="end"/>
      </w:r>
    </w:p>
    <w:sectPr w:rsidR="004F0428" w:rsidRPr="009D652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71C6E" w14:textId="77777777" w:rsidR="00D73696" w:rsidRDefault="00D73696" w:rsidP="00E42CFE">
      <w:r>
        <w:separator/>
      </w:r>
    </w:p>
  </w:endnote>
  <w:endnote w:type="continuationSeparator" w:id="0">
    <w:p w14:paraId="6A0A79D2" w14:textId="77777777" w:rsidR="00D73696" w:rsidRDefault="00D73696"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46976" w14:textId="77777777" w:rsidR="00D73696" w:rsidRDefault="00D73696" w:rsidP="00E42CFE">
      <w:r>
        <w:separator/>
      </w:r>
    </w:p>
  </w:footnote>
  <w:footnote w:type="continuationSeparator" w:id="0">
    <w:p w14:paraId="422D5347" w14:textId="77777777" w:rsidR="00D73696" w:rsidRDefault="00D73696"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E3D1A"/>
    <w:multiLevelType w:val="multilevel"/>
    <w:tmpl w:val="8F54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A6538B"/>
    <w:multiLevelType w:val="hybridMultilevel"/>
    <w:tmpl w:val="8C147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1497D"/>
    <w:multiLevelType w:val="multilevel"/>
    <w:tmpl w:val="1400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E625B"/>
    <w:multiLevelType w:val="hybridMultilevel"/>
    <w:tmpl w:val="131EC932"/>
    <w:lvl w:ilvl="0" w:tplc="FFFFFFFF">
      <w:start w:val="1"/>
      <w:numFmt w:val="bullet"/>
      <w:lvlText w:val=""/>
      <w:lvlJc w:val="left"/>
      <w:pPr>
        <w:ind w:left="360" w:hanging="360"/>
      </w:pPr>
      <w:rPr>
        <w:rFonts w:ascii="Symbol" w:hAnsi="Symbol" w:hint="default"/>
      </w:rPr>
    </w:lvl>
    <w:lvl w:ilvl="1" w:tplc="DD98AFD8">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3B2AA3"/>
    <w:multiLevelType w:val="hybridMultilevel"/>
    <w:tmpl w:val="BF20DB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4"/>
  </w:num>
  <w:num w:numId="2">
    <w:abstractNumId w:val="3"/>
  </w:num>
  <w:num w:numId="3">
    <w:abstractNumId w:val="2"/>
  </w:num>
  <w:num w:numId="4">
    <w:abstractNumId w:val="12"/>
  </w:num>
  <w:num w:numId="5">
    <w:abstractNumId w:val="9"/>
  </w:num>
  <w:num w:numId="6">
    <w:abstractNumId w:val="16"/>
  </w:num>
  <w:num w:numId="7">
    <w:abstractNumId w:val="8"/>
  </w:num>
  <w:num w:numId="8">
    <w:abstractNumId w:val="11"/>
  </w:num>
  <w:num w:numId="9">
    <w:abstractNumId w:val="5"/>
  </w:num>
  <w:num w:numId="10">
    <w:abstractNumId w:val="19"/>
  </w:num>
  <w:num w:numId="11">
    <w:abstractNumId w:val="17"/>
  </w:num>
  <w:num w:numId="12">
    <w:abstractNumId w:val="0"/>
  </w:num>
  <w:num w:numId="13">
    <w:abstractNumId w:val="10"/>
  </w:num>
  <w:num w:numId="14">
    <w:abstractNumId w:val="18"/>
  </w:num>
  <w:num w:numId="15">
    <w:abstractNumId w:val="1"/>
  </w:num>
  <w:num w:numId="16">
    <w:abstractNumId w:val="4"/>
  </w:num>
  <w:num w:numId="17">
    <w:abstractNumId w:val="6"/>
  </w:num>
  <w:num w:numId="18">
    <w:abstractNumId w:val="7"/>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44A0"/>
    <w:rsid w:val="00016669"/>
    <w:rsid w:val="00025E26"/>
    <w:rsid w:val="00043ADE"/>
    <w:rsid w:val="0006168E"/>
    <w:rsid w:val="000748F9"/>
    <w:rsid w:val="00090441"/>
    <w:rsid w:val="00092ABA"/>
    <w:rsid w:val="000A1924"/>
    <w:rsid w:val="000B221B"/>
    <w:rsid w:val="000B719B"/>
    <w:rsid w:val="000C4509"/>
    <w:rsid w:val="000D1E31"/>
    <w:rsid w:val="000D28E7"/>
    <w:rsid w:val="000D44AA"/>
    <w:rsid w:val="000E107C"/>
    <w:rsid w:val="000E69C8"/>
    <w:rsid w:val="000F0326"/>
    <w:rsid w:val="00111086"/>
    <w:rsid w:val="00120BC6"/>
    <w:rsid w:val="00141D88"/>
    <w:rsid w:val="00160C61"/>
    <w:rsid w:val="00166A2D"/>
    <w:rsid w:val="0017476B"/>
    <w:rsid w:val="00174FEA"/>
    <w:rsid w:val="00175A22"/>
    <w:rsid w:val="00187EBB"/>
    <w:rsid w:val="001A59A3"/>
    <w:rsid w:val="001A6BEA"/>
    <w:rsid w:val="001B223D"/>
    <w:rsid w:val="001C0C92"/>
    <w:rsid w:val="001C12C7"/>
    <w:rsid w:val="001C685D"/>
    <w:rsid w:val="001D06B8"/>
    <w:rsid w:val="001D0EEA"/>
    <w:rsid w:val="001D29DE"/>
    <w:rsid w:val="001D2F20"/>
    <w:rsid w:val="001D4905"/>
    <w:rsid w:val="001F6D33"/>
    <w:rsid w:val="00213C53"/>
    <w:rsid w:val="002277A9"/>
    <w:rsid w:val="00227B94"/>
    <w:rsid w:val="00243F65"/>
    <w:rsid w:val="00262B5B"/>
    <w:rsid w:val="002811A1"/>
    <w:rsid w:val="00295929"/>
    <w:rsid w:val="00296125"/>
    <w:rsid w:val="002C20D7"/>
    <w:rsid w:val="002D28E9"/>
    <w:rsid w:val="002D3EF3"/>
    <w:rsid w:val="002F2879"/>
    <w:rsid w:val="00301C29"/>
    <w:rsid w:val="00302C00"/>
    <w:rsid w:val="0030578B"/>
    <w:rsid w:val="00307030"/>
    <w:rsid w:val="003070A2"/>
    <w:rsid w:val="003243B4"/>
    <w:rsid w:val="00335736"/>
    <w:rsid w:val="00335E54"/>
    <w:rsid w:val="003567BC"/>
    <w:rsid w:val="00357A27"/>
    <w:rsid w:val="0036421C"/>
    <w:rsid w:val="00372100"/>
    <w:rsid w:val="0038305D"/>
    <w:rsid w:val="00386678"/>
    <w:rsid w:val="00387DF5"/>
    <w:rsid w:val="00391AF1"/>
    <w:rsid w:val="00392527"/>
    <w:rsid w:val="003937C6"/>
    <w:rsid w:val="003A2E9B"/>
    <w:rsid w:val="003A56D6"/>
    <w:rsid w:val="003B08B6"/>
    <w:rsid w:val="003C4B72"/>
    <w:rsid w:val="003D2AFF"/>
    <w:rsid w:val="003E5D1F"/>
    <w:rsid w:val="00403579"/>
    <w:rsid w:val="00413DF3"/>
    <w:rsid w:val="004150DD"/>
    <w:rsid w:val="00415425"/>
    <w:rsid w:val="00422E15"/>
    <w:rsid w:val="0043136B"/>
    <w:rsid w:val="0045293B"/>
    <w:rsid w:val="0045676E"/>
    <w:rsid w:val="00464257"/>
    <w:rsid w:val="00491ED1"/>
    <w:rsid w:val="004A1E5E"/>
    <w:rsid w:val="004A605F"/>
    <w:rsid w:val="004B0D0D"/>
    <w:rsid w:val="004B51F5"/>
    <w:rsid w:val="004C6E3C"/>
    <w:rsid w:val="004D576B"/>
    <w:rsid w:val="004E2856"/>
    <w:rsid w:val="004F0428"/>
    <w:rsid w:val="004F7928"/>
    <w:rsid w:val="00507144"/>
    <w:rsid w:val="00512F33"/>
    <w:rsid w:val="005408E0"/>
    <w:rsid w:val="0054640B"/>
    <w:rsid w:val="00590979"/>
    <w:rsid w:val="00597BD8"/>
    <w:rsid w:val="005B2CFE"/>
    <w:rsid w:val="005B4F90"/>
    <w:rsid w:val="005B6968"/>
    <w:rsid w:val="005C04A6"/>
    <w:rsid w:val="005D3DEF"/>
    <w:rsid w:val="005E6384"/>
    <w:rsid w:val="005F2F4A"/>
    <w:rsid w:val="005F3B49"/>
    <w:rsid w:val="00602785"/>
    <w:rsid w:val="00624968"/>
    <w:rsid w:val="00624DA1"/>
    <w:rsid w:val="00626ACA"/>
    <w:rsid w:val="00640213"/>
    <w:rsid w:val="00690ADF"/>
    <w:rsid w:val="006B6D40"/>
    <w:rsid w:val="006C6B6D"/>
    <w:rsid w:val="006E5035"/>
    <w:rsid w:val="006E7BA6"/>
    <w:rsid w:val="006F666A"/>
    <w:rsid w:val="0071007F"/>
    <w:rsid w:val="007161A1"/>
    <w:rsid w:val="00724A10"/>
    <w:rsid w:val="00741955"/>
    <w:rsid w:val="00742FD5"/>
    <w:rsid w:val="00765819"/>
    <w:rsid w:val="007805A2"/>
    <w:rsid w:val="00787393"/>
    <w:rsid w:val="00792BE3"/>
    <w:rsid w:val="007B6931"/>
    <w:rsid w:val="007E06DF"/>
    <w:rsid w:val="007E0B70"/>
    <w:rsid w:val="007F7EB7"/>
    <w:rsid w:val="00814A52"/>
    <w:rsid w:val="00816671"/>
    <w:rsid w:val="0082001B"/>
    <w:rsid w:val="0082693A"/>
    <w:rsid w:val="00842DA8"/>
    <w:rsid w:val="00843A97"/>
    <w:rsid w:val="008532BD"/>
    <w:rsid w:val="00863058"/>
    <w:rsid w:val="00886F6E"/>
    <w:rsid w:val="00897FBA"/>
    <w:rsid w:val="008B4C22"/>
    <w:rsid w:val="008D013E"/>
    <w:rsid w:val="008D0EB9"/>
    <w:rsid w:val="008E01F0"/>
    <w:rsid w:val="008E448A"/>
    <w:rsid w:val="008E485E"/>
    <w:rsid w:val="009144C7"/>
    <w:rsid w:val="00962A5F"/>
    <w:rsid w:val="00975BAB"/>
    <w:rsid w:val="00984A72"/>
    <w:rsid w:val="009909E9"/>
    <w:rsid w:val="00991B02"/>
    <w:rsid w:val="009A1714"/>
    <w:rsid w:val="009A331A"/>
    <w:rsid w:val="009A56F4"/>
    <w:rsid w:val="009C44C0"/>
    <w:rsid w:val="009C7403"/>
    <w:rsid w:val="009D52CD"/>
    <w:rsid w:val="009D6526"/>
    <w:rsid w:val="009E5D54"/>
    <w:rsid w:val="009F696B"/>
    <w:rsid w:val="00A02A48"/>
    <w:rsid w:val="00A03357"/>
    <w:rsid w:val="00A05B36"/>
    <w:rsid w:val="00A06BC4"/>
    <w:rsid w:val="00A301FA"/>
    <w:rsid w:val="00A40D69"/>
    <w:rsid w:val="00A461CB"/>
    <w:rsid w:val="00A5276E"/>
    <w:rsid w:val="00A55120"/>
    <w:rsid w:val="00A5564A"/>
    <w:rsid w:val="00A75688"/>
    <w:rsid w:val="00A90293"/>
    <w:rsid w:val="00A94307"/>
    <w:rsid w:val="00A97A17"/>
    <w:rsid w:val="00AB54A9"/>
    <w:rsid w:val="00AC4198"/>
    <w:rsid w:val="00AC475D"/>
    <w:rsid w:val="00AD0F0C"/>
    <w:rsid w:val="00AF2407"/>
    <w:rsid w:val="00B0075D"/>
    <w:rsid w:val="00B01505"/>
    <w:rsid w:val="00B366C9"/>
    <w:rsid w:val="00B65301"/>
    <w:rsid w:val="00B67D43"/>
    <w:rsid w:val="00B70D36"/>
    <w:rsid w:val="00B71467"/>
    <w:rsid w:val="00B71E6C"/>
    <w:rsid w:val="00B756D1"/>
    <w:rsid w:val="00B82442"/>
    <w:rsid w:val="00BA200D"/>
    <w:rsid w:val="00BD4A81"/>
    <w:rsid w:val="00BE7503"/>
    <w:rsid w:val="00BF158A"/>
    <w:rsid w:val="00C13361"/>
    <w:rsid w:val="00C76EE8"/>
    <w:rsid w:val="00C82255"/>
    <w:rsid w:val="00C8280E"/>
    <w:rsid w:val="00C94BF0"/>
    <w:rsid w:val="00C97FAE"/>
    <w:rsid w:val="00CA0B9A"/>
    <w:rsid w:val="00CB3CDC"/>
    <w:rsid w:val="00CC2400"/>
    <w:rsid w:val="00CD26E1"/>
    <w:rsid w:val="00CD527E"/>
    <w:rsid w:val="00CF0B99"/>
    <w:rsid w:val="00CF1B56"/>
    <w:rsid w:val="00CF49E8"/>
    <w:rsid w:val="00D32306"/>
    <w:rsid w:val="00D32CCF"/>
    <w:rsid w:val="00D3555A"/>
    <w:rsid w:val="00D36945"/>
    <w:rsid w:val="00D37277"/>
    <w:rsid w:val="00D44B13"/>
    <w:rsid w:val="00D554E0"/>
    <w:rsid w:val="00D5761F"/>
    <w:rsid w:val="00D6482E"/>
    <w:rsid w:val="00D66DDF"/>
    <w:rsid w:val="00D73696"/>
    <w:rsid w:val="00D740EA"/>
    <w:rsid w:val="00D81C26"/>
    <w:rsid w:val="00D86927"/>
    <w:rsid w:val="00D92130"/>
    <w:rsid w:val="00D9295A"/>
    <w:rsid w:val="00DA6DFC"/>
    <w:rsid w:val="00DA7781"/>
    <w:rsid w:val="00DC7FF9"/>
    <w:rsid w:val="00DE3936"/>
    <w:rsid w:val="00DE4AA4"/>
    <w:rsid w:val="00DF631E"/>
    <w:rsid w:val="00E0719B"/>
    <w:rsid w:val="00E101D6"/>
    <w:rsid w:val="00E13E2F"/>
    <w:rsid w:val="00E15A39"/>
    <w:rsid w:val="00E257B3"/>
    <w:rsid w:val="00E31971"/>
    <w:rsid w:val="00E32455"/>
    <w:rsid w:val="00E4015B"/>
    <w:rsid w:val="00E40EDD"/>
    <w:rsid w:val="00E42CFE"/>
    <w:rsid w:val="00E460CC"/>
    <w:rsid w:val="00E47C59"/>
    <w:rsid w:val="00E653A9"/>
    <w:rsid w:val="00E677BC"/>
    <w:rsid w:val="00E71897"/>
    <w:rsid w:val="00E75658"/>
    <w:rsid w:val="00E766E1"/>
    <w:rsid w:val="00E80859"/>
    <w:rsid w:val="00E8508B"/>
    <w:rsid w:val="00E87A9A"/>
    <w:rsid w:val="00E87EE7"/>
    <w:rsid w:val="00E90A08"/>
    <w:rsid w:val="00E94BF1"/>
    <w:rsid w:val="00EB43E0"/>
    <w:rsid w:val="00EB588F"/>
    <w:rsid w:val="00EC7113"/>
    <w:rsid w:val="00ED6B95"/>
    <w:rsid w:val="00EF244D"/>
    <w:rsid w:val="00EF5D53"/>
    <w:rsid w:val="00F0622B"/>
    <w:rsid w:val="00F418ED"/>
    <w:rsid w:val="00F42FE7"/>
    <w:rsid w:val="00F622BA"/>
    <w:rsid w:val="00F62EAB"/>
    <w:rsid w:val="00F6574F"/>
    <w:rsid w:val="00F80280"/>
    <w:rsid w:val="00F84A6E"/>
    <w:rsid w:val="00FA3408"/>
    <w:rsid w:val="00FB12EC"/>
    <w:rsid w:val="00FB18AF"/>
    <w:rsid w:val="00FB6FBA"/>
    <w:rsid w:val="00FD4A07"/>
    <w:rsid w:val="00FE067C"/>
    <w:rsid w:val="00FF3E51"/>
    <w:rsid w:val="00FF69D5"/>
    <w:rsid w:val="00FF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paragraph" w:styleId="Bibliography">
    <w:name w:val="Bibliography"/>
    <w:basedOn w:val="Normal"/>
    <w:next w:val="Normal"/>
    <w:uiPriority w:val="37"/>
    <w:unhideWhenUsed/>
    <w:rsid w:val="00D9295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17278259">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03677740">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6029">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32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2021-10-30T01:48:00Z</cp:lastPrinted>
  <dcterms:created xsi:type="dcterms:W3CDTF">2021-10-30T01:48:00Z</dcterms:created>
  <dcterms:modified xsi:type="dcterms:W3CDTF">2021-10-30T01:48:00Z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id="t75NWA9z"/&gt;&lt;style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