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major parameters of the tumor model in Module 3?</w:t>
      </w:r>
    </w:p>
    <w:p w14:paraId="5E526195" w14:textId="1DE5031D" w:rsidR="004020FD" w:rsidRDefault="004020FD" w:rsidP="004020FD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The researchers found that there are three major types of intervention </w:t>
      </w:r>
      <w:r w:rsidR="00DD36EE">
        <w:rPr>
          <w:rFonts w:ascii="Arial" w:hAnsi="Arial" w:cs="Arial"/>
        </w:rPr>
        <w:t>impacting the density of cycling or non-cycling CSCs and DCs:</w:t>
      </w:r>
    </w:p>
    <w:p w14:paraId="7F4594A5" w14:textId="4E0CEE43" w:rsidR="00DD36EE" w:rsidRPr="00886FD9" w:rsidRDefault="00DD36EE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Reducing DC lifetime or lifespan of DC </w:t>
      </w:r>
      <w:r w:rsidR="00785E65" w:rsidRPr="00886FD9">
        <w:rPr>
          <w:rFonts w:ascii="Arial" w:hAnsi="Arial" w:cs="Arial"/>
        </w:rPr>
        <w:t xml:space="preserve">(and </w:t>
      </w:r>
      <w:r w:rsidR="004B6881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minimal and maximal age of </w:t>
      </w:r>
      <w:r w:rsidR="00886FD9" w:rsidRPr="00886FD9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initial DC subpopulation) </w:t>
      </w:r>
      <w:r w:rsidRPr="00886FD9">
        <w:rPr>
          <w:rFonts w:ascii="Arial" w:hAnsi="Arial" w:cs="Arial"/>
        </w:rPr>
        <w:t>increases cycling CSC density</w:t>
      </w:r>
      <w:r w:rsidR="004B6881">
        <w:rPr>
          <w:rFonts w:ascii="Arial" w:hAnsi="Arial" w:cs="Arial"/>
        </w:rPr>
        <w:t>. It</w:t>
      </w:r>
      <w:r w:rsidRPr="00886FD9">
        <w:rPr>
          <w:rFonts w:ascii="Arial" w:hAnsi="Arial" w:cs="Arial"/>
        </w:rPr>
        <w:t xml:space="preserve"> decreases </w:t>
      </w:r>
      <w:r w:rsidR="00CA7D04">
        <w:rPr>
          <w:rFonts w:ascii="Arial" w:hAnsi="Arial" w:cs="Arial"/>
        </w:rPr>
        <w:t>DC</w:t>
      </w:r>
      <w:r w:rsidRPr="00886FD9">
        <w:rPr>
          <w:rFonts w:ascii="Arial" w:hAnsi="Arial" w:cs="Arial"/>
        </w:rPr>
        <w:t xml:space="preserve"> density and macroscopic growth rate</w:t>
      </w:r>
      <w:r w:rsidR="00225B30">
        <w:rPr>
          <w:rFonts w:ascii="Arial" w:hAnsi="Arial" w:cs="Arial"/>
        </w:rPr>
        <w:t xml:space="preserve"> (no</w:t>
      </w:r>
      <w:r w:rsidR="000005D2">
        <w:rPr>
          <w:rFonts w:ascii="Arial" w:hAnsi="Arial" w:cs="Arial"/>
        </w:rPr>
        <w:t xml:space="preserve"> </w:t>
      </w:r>
      <w:r w:rsidR="00225B30">
        <w:rPr>
          <w:rFonts w:ascii="Arial" w:hAnsi="Arial" w:cs="Arial"/>
        </w:rPr>
        <w:t>effect on non-cycling CSC density)</w:t>
      </w:r>
      <w:r w:rsidRPr="00886FD9">
        <w:rPr>
          <w:rFonts w:ascii="Arial" w:hAnsi="Arial" w:cs="Arial"/>
        </w:rPr>
        <w:t>.</w:t>
      </w:r>
    </w:p>
    <w:p w14:paraId="5D5DEB2C" w14:textId="37395581" w:rsidR="000B0B51" w:rsidRPr="00886FD9" w:rsidRDefault="00DD36EE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>Reducing the proliferation rate or decreasing the probability of entering the cell cycle (p</w:t>
      </w:r>
      <w:r w:rsidRPr="00886FD9">
        <w:rPr>
          <w:rFonts w:ascii="Arial" w:hAnsi="Arial" w:cs="Arial"/>
          <w:vertAlign w:val="subscript"/>
        </w:rPr>
        <w:t>0</w:t>
      </w:r>
      <w:r w:rsidRPr="00886FD9">
        <w:rPr>
          <w:rFonts w:ascii="Arial" w:hAnsi="Arial" w:cs="Arial"/>
        </w:rPr>
        <w:t>) decreases cycling CSC, DS density, and macroscopic growth rate</w:t>
      </w:r>
      <w:r w:rsidR="000005D2">
        <w:rPr>
          <w:rFonts w:ascii="Arial" w:hAnsi="Arial" w:cs="Arial"/>
        </w:rPr>
        <w:t xml:space="preserve"> (no effect on non-cycling CSC density)</w:t>
      </w:r>
      <w:r w:rsidRPr="00886FD9">
        <w:rPr>
          <w:rFonts w:ascii="Arial" w:hAnsi="Arial" w:cs="Arial"/>
        </w:rPr>
        <w:t>.</w:t>
      </w:r>
    </w:p>
    <w:p w14:paraId="6D436748" w14:textId="33F4AC30" w:rsidR="00F907DE" w:rsidRPr="00886FD9" w:rsidRDefault="000B0B51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>Increasing differentiation,</w:t>
      </w:r>
      <w:r w:rsidR="00F907DE" w:rsidRPr="00886FD9">
        <w:rPr>
          <w:rFonts w:ascii="Arial" w:hAnsi="Arial" w:cs="Arial"/>
        </w:rPr>
        <w:t xml:space="preserve"> </w:t>
      </w:r>
      <w:r w:rsidR="00886FD9" w:rsidRPr="00886FD9">
        <w:rPr>
          <w:rFonts w:ascii="Arial" w:hAnsi="Arial" w:cs="Arial"/>
        </w:rPr>
        <w:t>by:</w:t>
      </w:r>
    </w:p>
    <w:p w14:paraId="50D9E252" w14:textId="1B9CE67F" w:rsidR="000B0B51" w:rsidRPr="00886FD9" w:rsidRDefault="00785E65" w:rsidP="003B0A85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increasing </w:t>
      </w:r>
      <w:r w:rsidR="00F907DE" w:rsidRPr="00886FD9">
        <w:rPr>
          <w:rFonts w:ascii="Arial" w:hAnsi="Arial" w:cs="Arial"/>
        </w:rPr>
        <w:t>the maximal differentiation rate (</w:t>
      </w:r>
      <w:proofErr w:type="spellStart"/>
      <w:r w:rsidR="00F907DE" w:rsidRPr="00886FD9">
        <w:rPr>
          <w:rFonts w:ascii="Arial" w:hAnsi="Arial" w:cs="Arial"/>
          <w:b/>
          <w:bCs/>
        </w:rPr>
        <w:t>p</w:t>
      </w:r>
      <w:r w:rsidR="00F907DE" w:rsidRPr="00886FD9">
        <w:rPr>
          <w:rFonts w:ascii="Arial" w:hAnsi="Arial" w:cs="Arial"/>
          <w:b/>
          <w:bCs/>
          <w:vertAlign w:val="subscript"/>
        </w:rPr>
        <w:t>max</w:t>
      </w:r>
      <w:proofErr w:type="spellEnd"/>
      <w:r w:rsidR="00F907DE" w:rsidRPr="00886FD9">
        <w:rPr>
          <w:rFonts w:ascii="Arial" w:hAnsi="Arial" w:cs="Arial"/>
        </w:rPr>
        <w:t>)</w:t>
      </w:r>
    </w:p>
    <w:p w14:paraId="0DD14F42" w14:textId="77777777" w:rsidR="004B6881" w:rsidRPr="004B6881" w:rsidRDefault="00F907DE" w:rsidP="004B688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Increasing the density of CSC neighbors by decreasing </w:t>
      </w:r>
      <w:r w:rsidR="00B53327" w:rsidRPr="00886FD9">
        <w:rPr>
          <w:rFonts w:ascii="Arial" w:hAnsi="Arial" w:cs="Arial"/>
        </w:rPr>
        <w:t xml:space="preserve">the </w:t>
      </w:r>
      <w:r w:rsidRPr="00886FD9">
        <w:rPr>
          <w:rFonts w:ascii="Arial" w:hAnsi="Arial" w:cs="Arial"/>
        </w:rPr>
        <w:t xml:space="preserve">dampening coefficient </w:t>
      </w:r>
      <w:r w:rsidRPr="00886FD9">
        <w:rPr>
          <w:rFonts w:ascii="Arial" w:hAnsi="Arial" w:cs="Arial"/>
          <w:b/>
          <w:bCs/>
        </w:rPr>
        <w:t>k</w:t>
      </w:r>
    </w:p>
    <w:p w14:paraId="7BC8E90E" w14:textId="6E45FB94" w:rsidR="00B82EEA" w:rsidRPr="004B6881" w:rsidRDefault="00B82EEA" w:rsidP="004B688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B6881">
        <w:rPr>
          <w:rFonts w:ascii="Arial" w:hAnsi="Arial" w:cs="Arial"/>
        </w:rPr>
        <w:t>Decreasing the number of CSC</w:t>
      </w:r>
      <w:r w:rsidRPr="004B6881">
        <w:rPr>
          <w:rFonts w:ascii="Helvetica" w:hAnsi="Helvetica" w:cs="Helvetica"/>
          <w:color w:val="000000"/>
          <w:sz w:val="13"/>
          <w:szCs w:val="13"/>
        </w:rPr>
        <w:t xml:space="preserve"> </w:t>
      </w:r>
      <w:r w:rsidRPr="004B6881">
        <w:rPr>
          <w:rFonts w:ascii="Arial" w:hAnsi="Arial" w:cs="Arial"/>
          <w:color w:val="000000"/>
        </w:rPr>
        <w:t xml:space="preserve">neighbors giving the half-maximal differentiated rate, </w:t>
      </w:r>
      <w:r w:rsidRPr="004B6881">
        <w:rPr>
          <w:rFonts w:ascii="Arial" w:hAnsi="Arial" w:cs="Arial"/>
          <w:b/>
          <w:bCs/>
          <w:color w:val="000000"/>
        </w:rPr>
        <w:t>a</w:t>
      </w:r>
    </w:p>
    <w:p w14:paraId="42CBE730" w14:textId="15092092" w:rsidR="00886FD9" w:rsidRDefault="00886FD9" w:rsidP="004B688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B82EEA">
        <w:rPr>
          <w:rFonts w:ascii="Arial" w:hAnsi="Arial" w:cs="Arial"/>
        </w:rPr>
        <w:t xml:space="preserve">educes </w:t>
      </w:r>
      <w:r>
        <w:rPr>
          <w:rFonts w:ascii="Arial" w:hAnsi="Arial" w:cs="Arial"/>
        </w:rPr>
        <w:t xml:space="preserve">the </w:t>
      </w:r>
      <w:r w:rsidR="00B82EEA">
        <w:rPr>
          <w:rFonts w:ascii="Arial" w:hAnsi="Arial" w:cs="Arial"/>
        </w:rPr>
        <w:t xml:space="preserve">number of non-cycling </w:t>
      </w:r>
      <w:r w:rsidR="004B6881">
        <w:rPr>
          <w:rFonts w:ascii="Arial" w:hAnsi="Arial" w:cs="Arial"/>
        </w:rPr>
        <w:t>CSCs and</w:t>
      </w:r>
      <w:r w:rsidR="00B82E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B82EEA">
        <w:rPr>
          <w:rFonts w:ascii="Arial" w:hAnsi="Arial" w:cs="Arial"/>
        </w:rPr>
        <w:t>macroscopic growth rate</w:t>
      </w:r>
      <w:r w:rsidR="00D960CB">
        <w:rPr>
          <w:rFonts w:ascii="Arial" w:hAnsi="Arial" w:cs="Arial"/>
        </w:rPr>
        <w:t xml:space="preserve"> (no effect on cycling CSC</w:t>
      </w:r>
      <w:r w:rsidR="004B6881">
        <w:rPr>
          <w:rFonts w:ascii="Arial" w:hAnsi="Arial" w:cs="Arial"/>
        </w:rPr>
        <w:t>s</w:t>
      </w:r>
      <w:r w:rsidR="00D960CB">
        <w:rPr>
          <w:rFonts w:ascii="Arial" w:hAnsi="Arial" w:cs="Arial"/>
        </w:rPr>
        <w:t xml:space="preserve"> or DCs)</w:t>
      </w:r>
      <w:r w:rsidR="0014067C">
        <w:rPr>
          <w:rFonts w:ascii="Arial" w:hAnsi="Arial" w:cs="Arial"/>
        </w:rPr>
        <w:t>.</w:t>
      </w:r>
    </w:p>
    <w:p w14:paraId="1B7E6AE4" w14:textId="77777777" w:rsidR="00855EE9" w:rsidRPr="00321C85" w:rsidRDefault="00855EE9" w:rsidP="00855EE9">
      <w:pPr>
        <w:shd w:val="clear" w:color="auto" w:fill="FFFFFF"/>
        <w:ind w:firstLine="360"/>
        <w:rPr>
          <w:rFonts w:ascii="Arial" w:hAnsi="Arial" w:cs="Arial"/>
        </w:rPr>
      </w:pPr>
    </w:p>
    <w:p w14:paraId="20B8DD57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main features of the total number of tumor cells as a function of time?</w:t>
      </w:r>
    </w:p>
    <w:p w14:paraId="7C1ADEC9" w14:textId="77777777" w:rsidR="00967A29" w:rsidRPr="00967A29" w:rsidRDefault="00967A29" w:rsidP="0014067C">
      <w:pPr>
        <w:shd w:val="clear" w:color="auto" w:fill="FFFFFF"/>
        <w:rPr>
          <w:rFonts w:ascii="Arial" w:hAnsi="Arial" w:cs="Arial"/>
          <w:b/>
          <w:bCs/>
        </w:rPr>
      </w:pPr>
      <w:r w:rsidRPr="005E1351">
        <w:rPr>
          <w:rFonts w:ascii="Arial" w:hAnsi="Arial" w:cs="Arial"/>
        </w:rPr>
        <w:t>The</w:t>
      </w:r>
      <w:r w:rsidRPr="00967A29">
        <w:rPr>
          <w:rFonts w:ascii="Arial" w:hAnsi="Arial" w:cs="Arial"/>
          <w:b/>
          <w:bCs/>
        </w:rPr>
        <w:t xml:space="preserve">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total number of tumor cells over time</w:t>
      </w:r>
      <w:r w:rsidRPr="00967A29">
        <w:rPr>
          <w:rFonts w:ascii="Arial" w:hAnsi="Arial" w:cs="Arial"/>
          <w:b/>
          <w:bCs/>
        </w:rPr>
        <w:t xml:space="preserve"> follows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a dynamic pattern</w:t>
      </w:r>
      <w:r w:rsidRPr="00967A29">
        <w:rPr>
          <w:rFonts w:ascii="Arial" w:hAnsi="Arial" w:cs="Arial"/>
          <w:b/>
          <w:bCs/>
        </w:rPr>
        <w:t xml:space="preserve"> </w:t>
      </w:r>
      <w:r w:rsidRPr="001E4F3C">
        <w:rPr>
          <w:rFonts w:ascii="Arial" w:hAnsi="Arial" w:cs="Arial"/>
        </w:rPr>
        <w:t xml:space="preserve">influenced by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CSC proliferation, differentiation, and DC death rates</w:t>
      </w:r>
      <w:r w:rsidRPr="00967A29">
        <w:rPr>
          <w:rFonts w:ascii="Arial" w:hAnsi="Arial" w:cs="Arial"/>
          <w:b/>
          <w:bCs/>
        </w:rPr>
        <w:t xml:space="preserve">. </w:t>
      </w:r>
    </w:p>
    <w:p w14:paraId="4A7C3C7E" w14:textId="7B1CDDBB" w:rsidR="00967A29" w:rsidRPr="001E4F3C" w:rsidRDefault="00967A29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>Three phases are identified:</w:t>
      </w:r>
    </w:p>
    <w:p w14:paraId="4F3AF0C2" w14:textId="57C86ED2" w:rsidR="00967A29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</w:t>
      </w:r>
      <w:r w:rsidR="00967A29" w:rsidRPr="001E4F3C">
        <w:rPr>
          <w:rFonts w:ascii="Arial" w:hAnsi="Arial" w:cs="Arial"/>
        </w:rPr>
        <w:t>Initial</w:t>
      </w:r>
      <w:r w:rsidRPr="001E4F3C">
        <w:rPr>
          <w:rFonts w:ascii="Arial" w:hAnsi="Arial" w:cs="Arial"/>
        </w:rPr>
        <w:t xml:space="preserve"> growth phase</w:t>
      </w:r>
    </w:p>
    <w:p w14:paraId="73DFC27C" w14:textId="2F33D212" w:rsidR="001E4F3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>Followed by the exponential phase qualified as a “macroscopic growth rate”</w:t>
      </w:r>
    </w:p>
    <w:p w14:paraId="6CC2ABE4" w14:textId="52E362E1" w:rsidR="0014067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final phase is when the population growth decreases up to a “quasi-steady state”; at which the number of cells remains </w:t>
      </w:r>
      <w:r w:rsidR="00902810" w:rsidRPr="001E4F3C">
        <w:rPr>
          <w:rFonts w:ascii="Arial" w:hAnsi="Arial" w:cs="Arial"/>
        </w:rPr>
        <w:t>constant</w:t>
      </w:r>
      <w:r w:rsidRPr="001E4F3C">
        <w:rPr>
          <w:rFonts w:ascii="Arial" w:hAnsi="Arial" w:cs="Arial"/>
        </w:rPr>
        <w:t>.</w:t>
      </w:r>
    </w:p>
    <w:p w14:paraId="64171AA5" w14:textId="257CFD47" w:rsidR="001455ED" w:rsidRDefault="00690099" w:rsidP="001455ED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main novelty of the approach discussed in the lecture from earlier cancer treatments?</w:t>
      </w:r>
    </w:p>
    <w:p w14:paraId="76B5DE79" w14:textId="77777777" w:rsidR="005E1351" w:rsidRDefault="00D658F2" w:rsidP="005E1351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D658F2">
        <w:rPr>
          <w:rFonts w:ascii="Arial" w:hAnsi="Arial" w:cs="Arial"/>
        </w:rPr>
        <w:t xml:space="preserve">The model predicts that targeting differentiation alone </w:t>
      </w:r>
      <w:r w:rsidR="00366E59">
        <w:rPr>
          <w:rFonts w:ascii="Arial" w:hAnsi="Arial" w:cs="Arial"/>
        </w:rPr>
        <w:t>to be successful in curing cancer</w:t>
      </w:r>
      <w:r w:rsidRPr="00D658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must </w:t>
      </w:r>
      <w:r w:rsidRPr="00D658F2">
        <w:rPr>
          <w:rFonts w:ascii="Arial" w:hAnsi="Arial" w:cs="Arial"/>
        </w:rPr>
        <w:t>be combined with antiproliferative agents</w:t>
      </w:r>
      <w:r>
        <w:rPr>
          <w:rFonts w:ascii="Arial" w:hAnsi="Arial" w:cs="Arial"/>
        </w:rPr>
        <w:t>.</w:t>
      </w:r>
      <w:r w:rsidR="004B1435">
        <w:rPr>
          <w:rFonts w:ascii="Arial" w:hAnsi="Arial" w:cs="Arial"/>
        </w:rPr>
        <w:t xml:space="preserve"> In addition, t</w:t>
      </w:r>
      <w:r w:rsidR="000E2EAB">
        <w:rPr>
          <w:rFonts w:ascii="Arial" w:hAnsi="Arial" w:cs="Arial"/>
        </w:rPr>
        <w:t xml:space="preserve">he approach differentiates from previous </w:t>
      </w:r>
      <w:r w:rsidR="00C5269F">
        <w:rPr>
          <w:rFonts w:ascii="Arial" w:hAnsi="Arial" w:cs="Arial"/>
        </w:rPr>
        <w:t>models by incorporating environmental feedback and the influence of neighboring cells on differentiation.</w:t>
      </w:r>
      <w:r w:rsidR="00E43C45">
        <w:rPr>
          <w:rFonts w:ascii="Arial" w:hAnsi="Arial" w:cs="Arial"/>
        </w:rPr>
        <w:t xml:space="preserve"> </w:t>
      </w:r>
    </w:p>
    <w:p w14:paraId="54AC4677" w14:textId="6C9E6DB3" w:rsidR="00690099" w:rsidRPr="005E1351" w:rsidRDefault="00690099" w:rsidP="005E135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  <w:r w:rsidRPr="005E1351">
        <w:rPr>
          <w:rFonts w:ascii="Arial" w:hAnsi="Arial" w:cs="Arial"/>
        </w:rPr>
        <w:t>What is the relation between the extreme (max and min) values of the differentiation rate and the extreme values of the cell density?</w:t>
      </w:r>
    </w:p>
    <w:p w14:paraId="6CDE5E37" w14:textId="77777777" w:rsidR="001455ED" w:rsidRPr="00321C85" w:rsidRDefault="001455ED" w:rsidP="001455ED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70181B6B" w14:textId="77777777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lastRenderedPageBreak/>
        <w:t>What is the relation between the proliferation rate and the number of vacancies around the cell?</w:t>
      </w:r>
    </w:p>
    <w:p w14:paraId="1CF29648" w14:textId="77777777" w:rsidR="00FB646F" w:rsidRPr="00321C85" w:rsidRDefault="00FB646F" w:rsidP="00690099">
      <w:pPr>
        <w:rPr>
          <w:rFonts w:ascii="Arial" w:hAnsi="Arial" w:cs="Arial"/>
        </w:rPr>
      </w:pPr>
    </w:p>
    <w:p w14:paraId="471D99E5" w14:textId="23CB3FD6" w:rsidR="00E94F4F" w:rsidRPr="00321C85" w:rsidRDefault="00E94F4F" w:rsidP="00690099">
      <w:pPr>
        <w:rPr>
          <w:rFonts w:ascii="Arial" w:hAnsi="Arial" w:cs="Arial"/>
        </w:rPr>
      </w:pPr>
    </w:p>
    <w:p w14:paraId="7E35BFDB" w14:textId="429E1F25" w:rsidR="00C855B3" w:rsidRPr="00321C85" w:rsidRDefault="00E94F4F" w:rsidP="00690099">
      <w:pPr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 </w:t>
      </w:r>
    </w:p>
    <w:sectPr w:rsidR="00C855B3" w:rsidRPr="00321C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C4916" w14:textId="77777777" w:rsidR="00DA1AC0" w:rsidRDefault="00DA1AC0" w:rsidP="00E42CFE">
      <w:r>
        <w:separator/>
      </w:r>
    </w:p>
  </w:endnote>
  <w:endnote w:type="continuationSeparator" w:id="0">
    <w:p w14:paraId="44AC8F8D" w14:textId="77777777" w:rsidR="00DA1AC0" w:rsidRDefault="00DA1AC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F13E2" w14:textId="77777777" w:rsidR="00DA1AC0" w:rsidRDefault="00DA1AC0" w:rsidP="00E42CFE">
      <w:r>
        <w:separator/>
      </w:r>
    </w:p>
  </w:footnote>
  <w:footnote w:type="continuationSeparator" w:id="0">
    <w:p w14:paraId="4F982BEA" w14:textId="77777777" w:rsidR="00DA1AC0" w:rsidRDefault="00DA1AC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321149"/>
    <w:multiLevelType w:val="hybridMultilevel"/>
    <w:tmpl w:val="BF3E5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3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8"/>
  </w:num>
  <w:num w:numId="5" w16cid:durableId="1344013940">
    <w:abstractNumId w:val="22"/>
  </w:num>
  <w:num w:numId="6" w16cid:durableId="395012634">
    <w:abstractNumId w:val="38"/>
  </w:num>
  <w:num w:numId="7" w16cid:durableId="951326616">
    <w:abstractNumId w:val="18"/>
  </w:num>
  <w:num w:numId="8" w16cid:durableId="1233931840">
    <w:abstractNumId w:val="27"/>
  </w:num>
  <w:num w:numId="9" w16cid:durableId="1250965529">
    <w:abstractNumId w:val="9"/>
  </w:num>
  <w:num w:numId="10" w16cid:durableId="1694191537">
    <w:abstractNumId w:val="41"/>
  </w:num>
  <w:num w:numId="11" w16cid:durableId="1918443478">
    <w:abstractNumId w:val="39"/>
  </w:num>
  <w:num w:numId="12" w16cid:durableId="1037698301">
    <w:abstractNumId w:val="0"/>
  </w:num>
  <w:num w:numId="13" w16cid:durableId="491330979">
    <w:abstractNumId w:val="23"/>
  </w:num>
  <w:num w:numId="14" w16cid:durableId="441919138">
    <w:abstractNumId w:val="40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7"/>
  </w:num>
  <w:num w:numId="20" w16cid:durableId="1678187624">
    <w:abstractNumId w:val="7"/>
  </w:num>
  <w:num w:numId="21" w16cid:durableId="1212107984">
    <w:abstractNumId w:val="24"/>
  </w:num>
  <w:num w:numId="22" w16cid:durableId="754784430">
    <w:abstractNumId w:val="31"/>
  </w:num>
  <w:num w:numId="23" w16cid:durableId="284703170">
    <w:abstractNumId w:val="17"/>
  </w:num>
  <w:num w:numId="24" w16cid:durableId="67776856">
    <w:abstractNumId w:val="33"/>
  </w:num>
  <w:num w:numId="25" w16cid:durableId="1969775875">
    <w:abstractNumId w:val="8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5"/>
  </w:num>
  <w:num w:numId="29" w16cid:durableId="1176918667">
    <w:abstractNumId w:val="34"/>
  </w:num>
  <w:num w:numId="30" w16cid:durableId="63142479">
    <w:abstractNumId w:val="5"/>
  </w:num>
  <w:num w:numId="31" w16cid:durableId="1535539115">
    <w:abstractNumId w:val="13"/>
  </w:num>
  <w:num w:numId="32" w16cid:durableId="2082293646">
    <w:abstractNumId w:val="32"/>
  </w:num>
  <w:num w:numId="33" w16cid:durableId="2106657034">
    <w:abstractNumId w:val="20"/>
  </w:num>
  <w:num w:numId="34" w16cid:durableId="1306394998">
    <w:abstractNumId w:val="16"/>
  </w:num>
  <w:num w:numId="35" w16cid:durableId="1594587759">
    <w:abstractNumId w:val="19"/>
  </w:num>
  <w:num w:numId="36" w16cid:durableId="1801267434">
    <w:abstractNumId w:val="30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1"/>
  </w:num>
  <w:num w:numId="40" w16cid:durableId="442966289">
    <w:abstractNumId w:val="25"/>
  </w:num>
  <w:num w:numId="41" w16cid:durableId="241527463">
    <w:abstractNumId w:val="29"/>
  </w:num>
  <w:num w:numId="42" w16cid:durableId="1570917353">
    <w:abstractNumId w:val="42"/>
  </w:num>
  <w:num w:numId="43" w16cid:durableId="1374574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10EB9"/>
    <w:rsid w:val="00111086"/>
    <w:rsid w:val="00120BC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25B30"/>
    <w:rsid w:val="00227B94"/>
    <w:rsid w:val="0023008A"/>
    <w:rsid w:val="00236A35"/>
    <w:rsid w:val="00243D93"/>
    <w:rsid w:val="00243F65"/>
    <w:rsid w:val="002545BB"/>
    <w:rsid w:val="00261093"/>
    <w:rsid w:val="00262B5B"/>
    <w:rsid w:val="002644CB"/>
    <w:rsid w:val="00273449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57A27"/>
    <w:rsid w:val="0036421C"/>
    <w:rsid w:val="00365C48"/>
    <w:rsid w:val="00366E59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B0A85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1435"/>
    <w:rsid w:val="004B51F5"/>
    <w:rsid w:val="004B6881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805A2"/>
    <w:rsid w:val="007807F7"/>
    <w:rsid w:val="00780B35"/>
    <w:rsid w:val="00783A20"/>
    <w:rsid w:val="00785E65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21E86"/>
    <w:rsid w:val="009241B1"/>
    <w:rsid w:val="00926388"/>
    <w:rsid w:val="00950C78"/>
    <w:rsid w:val="00960CB8"/>
    <w:rsid w:val="00962A5F"/>
    <w:rsid w:val="00967A29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7316"/>
    <w:rsid w:val="00AD0F0C"/>
    <w:rsid w:val="00AD5FBC"/>
    <w:rsid w:val="00AE1D53"/>
    <w:rsid w:val="00AE5564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A200D"/>
    <w:rsid w:val="00BA2386"/>
    <w:rsid w:val="00BA60CB"/>
    <w:rsid w:val="00BD4A81"/>
    <w:rsid w:val="00BE7503"/>
    <w:rsid w:val="00BE7AB9"/>
    <w:rsid w:val="00BF158A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B9A"/>
    <w:rsid w:val="00CA7D04"/>
    <w:rsid w:val="00CB3CDC"/>
    <w:rsid w:val="00CC2400"/>
    <w:rsid w:val="00CD26E1"/>
    <w:rsid w:val="00CD527E"/>
    <w:rsid w:val="00CE0A93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5185"/>
    <w:rsid w:val="00D960CB"/>
    <w:rsid w:val="00D97A66"/>
    <w:rsid w:val="00DA1AC0"/>
    <w:rsid w:val="00DB1171"/>
    <w:rsid w:val="00DC5392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34</cp:revision>
  <cp:lastPrinted>2024-08-28T00:05:00Z</cp:lastPrinted>
  <dcterms:created xsi:type="dcterms:W3CDTF">2025-01-22T00:50:00Z</dcterms:created>
  <dcterms:modified xsi:type="dcterms:W3CDTF">2025-01-31T19:28:00Z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