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18E4" w14:textId="6DE8E97B" w:rsidR="00690099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 xml:space="preserve">What are the </w:t>
      </w:r>
      <w:r w:rsidR="00640C01">
        <w:rPr>
          <w:rFonts w:ascii="Arial" w:hAnsi="Arial" w:cs="Arial"/>
        </w:rPr>
        <w:t>main areas of cell- and rule-based applications</w:t>
      </w:r>
      <w:r w:rsidRPr="00321C85">
        <w:rPr>
          <w:rFonts w:ascii="Arial" w:hAnsi="Arial" w:cs="Arial"/>
        </w:rPr>
        <w:t>?</w:t>
      </w:r>
    </w:p>
    <w:p w14:paraId="036A6941" w14:textId="22B66568" w:rsidR="00903105" w:rsidRPr="009E349B" w:rsidRDefault="00903105" w:rsidP="0008640B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9E349B">
        <w:rPr>
          <w:rFonts w:ascii="Arial" w:hAnsi="Arial" w:cs="Arial"/>
        </w:rPr>
        <w:t>Cell-based and rule-based modeling approaches are commonly used to study multi-cellular biological systems (MCBS). These models simulate the behavior of individual cells, their functions within MCBS, and their interactions with other cells and the environment. Rule-based approaches are often employed in agent-based modeling (ABM), where each cell acts as an independent agent governed by specific rules. Cell-based approaches can also include grid-based methods like cellular automata. Both modeling techniques investigate processes such as cell division, migration, apoptosis, differentiation, proliferation, and tissue organization. Applications include studying angiogenesis, tumor growth, and epithelial morphogenesis.</w:t>
      </w:r>
    </w:p>
    <w:p w14:paraId="49678576" w14:textId="6D443D19" w:rsidR="00640C01" w:rsidRDefault="00640C01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the phenomenon of self-metastases shown in Module 4 and its role in tumor migrations?</w:t>
      </w:r>
    </w:p>
    <w:p w14:paraId="2EF5D2AD" w14:textId="742BFAC9" w:rsidR="00785103" w:rsidRPr="00785103" w:rsidRDefault="00785103" w:rsidP="009E349B">
      <w:pPr>
        <w:shd w:val="clear" w:color="auto" w:fill="FFFFFF"/>
        <w:spacing w:before="100" w:beforeAutospacing="1" w:after="100" w:afterAutospacing="1"/>
      </w:pPr>
      <w:r w:rsidRPr="00785103">
        <w:rPr>
          <w:rFonts w:ascii="Arial" w:hAnsi="Arial" w:cs="Arial"/>
        </w:rPr>
        <w:t xml:space="preserve">Self-metastasis refers to the process </w:t>
      </w:r>
      <w:r w:rsidR="001520E3">
        <w:rPr>
          <w:rFonts w:ascii="Arial" w:hAnsi="Arial" w:cs="Arial"/>
        </w:rPr>
        <w:t>of</w:t>
      </w:r>
      <w:r w:rsidRPr="00785103">
        <w:rPr>
          <w:rFonts w:ascii="Arial" w:hAnsi="Arial" w:cs="Arial"/>
        </w:rPr>
        <w:t xml:space="preserve"> </w:t>
      </w:r>
      <w:r w:rsidR="001520E3">
        <w:rPr>
          <w:rFonts w:ascii="Arial" w:hAnsi="Arial" w:cs="Arial"/>
        </w:rPr>
        <w:t>self-seeding,</w:t>
      </w:r>
      <w:r w:rsidRPr="00785103">
        <w:rPr>
          <w:rFonts w:ascii="Arial" w:hAnsi="Arial" w:cs="Arial"/>
        </w:rPr>
        <w:t xml:space="preserve"> </w:t>
      </w:r>
      <w:r w:rsidR="001520E3">
        <w:rPr>
          <w:rFonts w:ascii="Arial" w:hAnsi="Arial" w:cs="Arial"/>
        </w:rPr>
        <w:t>in</w:t>
      </w:r>
      <w:r w:rsidRPr="00785103">
        <w:rPr>
          <w:rFonts w:ascii="Arial" w:hAnsi="Arial" w:cs="Arial"/>
        </w:rPr>
        <w:t xml:space="preserve"> wh</w:t>
      </w:r>
      <w:r w:rsidR="001520E3">
        <w:rPr>
          <w:rFonts w:ascii="Arial" w:hAnsi="Arial" w:cs="Arial"/>
        </w:rPr>
        <w:t>ich</w:t>
      </w:r>
      <w:r w:rsidRPr="00785103">
        <w:rPr>
          <w:rFonts w:ascii="Arial" w:hAnsi="Arial" w:cs="Arial"/>
        </w:rPr>
        <w:t xml:space="preserve"> cancer stem cells migrate away from the primary tumor</w:t>
      </w:r>
      <w:r w:rsidR="001520E3">
        <w:rPr>
          <w:rFonts w:ascii="Arial" w:hAnsi="Arial" w:cs="Arial"/>
        </w:rPr>
        <w:t>,</w:t>
      </w:r>
      <w:r w:rsidRPr="00785103">
        <w:rPr>
          <w:rFonts w:ascii="Arial" w:hAnsi="Arial" w:cs="Arial"/>
        </w:rPr>
        <w:t xml:space="preserve"> seed independent clusters elsewhere</w:t>
      </w:r>
      <w:r w:rsidR="001520E3">
        <w:rPr>
          <w:rFonts w:ascii="Arial" w:hAnsi="Arial" w:cs="Arial"/>
        </w:rPr>
        <w:t>,</w:t>
      </w:r>
      <w:r w:rsidRPr="00785103">
        <w:rPr>
          <w:rFonts w:ascii="Arial" w:hAnsi="Arial" w:cs="Arial"/>
        </w:rPr>
        <w:t xml:space="preserve"> and reappear at the periphery of the primary site. </w:t>
      </w:r>
      <w:r>
        <w:rPr>
          <w:rFonts w:ascii="Arial" w:hAnsi="Arial" w:cs="Arial"/>
        </w:rPr>
        <w:t>Cells in the tumor core are mostly quiescent, while those at the periphery are more proliferative</w:t>
      </w:r>
      <w:r w:rsidR="001520E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contributing to tumor expansion.</w:t>
      </w:r>
    </w:p>
    <w:p w14:paraId="11576944" w14:textId="7C4A0C90" w:rsidR="00640C01" w:rsidRDefault="00640C01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the meaning of quorum sensing in the tumor?</w:t>
      </w:r>
    </w:p>
    <w:p w14:paraId="3CC0622D" w14:textId="77777777" w:rsidR="001520E3" w:rsidRDefault="001520E3" w:rsidP="001520E3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1520E3">
        <w:rPr>
          <w:rFonts w:ascii="Arial" w:hAnsi="Arial" w:cs="Arial"/>
        </w:rPr>
        <w:t>Quorum sensing within tumors serves as a control mechanism that aids a cell in determining whether to differentiate or proliferate based on feedback received from neighboring cells. The distance at which a cell can gather feedback from its neighbors has been identified as the most critical factor influencing the transition from tissue homeostasis to uncontrolled malignant growth (</w:t>
      </w:r>
      <w:proofErr w:type="spellStart"/>
      <w:r w:rsidRPr="001520E3">
        <w:rPr>
          <w:rFonts w:ascii="Arial" w:hAnsi="Arial" w:cs="Arial"/>
        </w:rPr>
        <w:t>Agur</w:t>
      </w:r>
      <w:proofErr w:type="spellEnd"/>
      <w:r w:rsidRPr="001520E3">
        <w:rPr>
          <w:rFonts w:ascii="Arial" w:hAnsi="Arial" w:cs="Arial"/>
        </w:rPr>
        <w:t xml:space="preserve"> et al 2010).</w:t>
      </w:r>
    </w:p>
    <w:p w14:paraId="60B61E1F" w14:textId="443BBBBB" w:rsidR="001520E3" w:rsidRDefault="001520E3" w:rsidP="001520E3">
      <w:pPr>
        <w:shd w:val="clear" w:color="auto" w:fill="FFFFFF"/>
        <w:rPr>
          <w:rFonts w:ascii="Arial" w:hAnsi="Arial" w:cs="Arial"/>
        </w:rPr>
      </w:pPr>
      <w:r w:rsidRPr="001520E3">
        <w:rPr>
          <w:rFonts w:ascii="Arial" w:hAnsi="Arial" w:cs="Arial"/>
        </w:rPr>
        <w:t>4. What are the major features of the cell- and rule-based methods?</w:t>
      </w:r>
    </w:p>
    <w:p w14:paraId="16A39976" w14:textId="77777777" w:rsidR="00712633" w:rsidRDefault="00712633" w:rsidP="001520E3">
      <w:pPr>
        <w:shd w:val="clear" w:color="auto" w:fill="FFFFFF"/>
        <w:rPr>
          <w:rFonts w:ascii="Arial" w:hAnsi="Arial" w:cs="Arial"/>
        </w:rPr>
      </w:pPr>
    </w:p>
    <w:p w14:paraId="2CE3FEF8" w14:textId="14E405FB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Operate on a discrete lattice structure</w:t>
      </w:r>
    </w:p>
    <w:p w14:paraId="709B4452" w14:textId="1F4EAA5A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Cell or components exist in finite, discrete states (‘alive’, ‘dead’)</w:t>
      </w:r>
    </w:p>
    <w:p w14:paraId="3C174351" w14:textId="79DAB560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Cell behavior depends on the states of neighboring cells within a defined local neighborhood</w:t>
      </w:r>
    </w:p>
    <w:p w14:paraId="542330F5" w14:textId="717BB0A2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Use simple deterministic or stochastic rules for state transition based on local interactions</w:t>
      </w:r>
    </w:p>
    <w:p w14:paraId="19C77DC7" w14:textId="0B3440A4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In many implementations, all the lattice sites are updated simultaneously at discrete fixed-time steps</w:t>
      </w:r>
    </w:p>
    <w:p w14:paraId="1DA989EF" w14:textId="3DF85213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Capture local signaling effects and stochasticity</w:t>
      </w:r>
    </w:p>
    <w:p w14:paraId="338F6AB4" w14:textId="4A0564A2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Model individual cells or components rather than population-level dynamics</w:t>
      </w:r>
    </w:p>
    <w:p w14:paraId="3164C59A" w14:textId="635B7290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Suitable for modeling small to medium-scale biological systems</w:t>
      </w:r>
    </w:p>
    <w:p w14:paraId="2AE4338B" w14:textId="5F108949" w:rsidR="00712633" w:rsidRPr="00B70322" w:rsidRDefault="00712633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 xml:space="preserve">Can incorporate </w:t>
      </w:r>
      <w:r w:rsidR="00C32438" w:rsidRPr="00B70322">
        <w:rPr>
          <w:rFonts w:ascii="Arial" w:hAnsi="Arial" w:cs="Arial"/>
        </w:rPr>
        <w:t>various cell behaviors such as division, migration, apoptosis</w:t>
      </w:r>
      <w:r w:rsidR="00B70322" w:rsidRPr="00B70322">
        <w:rPr>
          <w:rFonts w:ascii="Arial" w:hAnsi="Arial" w:cs="Arial"/>
        </w:rPr>
        <w:t>,</w:t>
      </w:r>
      <w:r w:rsidR="00C32438" w:rsidRPr="00B70322">
        <w:rPr>
          <w:rFonts w:ascii="Arial" w:hAnsi="Arial" w:cs="Arial"/>
        </w:rPr>
        <w:t xml:space="preserve"> and differentiation</w:t>
      </w:r>
    </w:p>
    <w:p w14:paraId="5360FE74" w14:textId="42129CA7" w:rsidR="00C32438" w:rsidRDefault="00C32438" w:rsidP="00B70322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</w:rPr>
      </w:pPr>
      <w:r w:rsidRPr="00B70322">
        <w:rPr>
          <w:rFonts w:ascii="Arial" w:hAnsi="Arial" w:cs="Arial"/>
        </w:rPr>
        <w:t>Can be combined with other biological mod</w:t>
      </w:r>
      <w:r w:rsidR="00B70322" w:rsidRPr="00B70322">
        <w:rPr>
          <w:rFonts w:ascii="Arial" w:hAnsi="Arial" w:cs="Arial"/>
        </w:rPr>
        <w:t>e</w:t>
      </w:r>
      <w:r w:rsidRPr="00B70322">
        <w:rPr>
          <w:rFonts w:ascii="Arial" w:hAnsi="Arial" w:cs="Arial"/>
        </w:rPr>
        <w:t xml:space="preserve">ling </w:t>
      </w:r>
      <w:r w:rsidR="00B70322" w:rsidRPr="00B70322">
        <w:rPr>
          <w:rFonts w:ascii="Arial" w:hAnsi="Arial" w:cs="Arial"/>
        </w:rPr>
        <w:t>approaches</w:t>
      </w:r>
      <w:r w:rsidRPr="00B70322">
        <w:rPr>
          <w:rFonts w:ascii="Arial" w:hAnsi="Arial" w:cs="Arial"/>
        </w:rPr>
        <w:t xml:space="preserve"> like continuum models</w:t>
      </w:r>
    </w:p>
    <w:p w14:paraId="4EE4234D" w14:textId="77777777" w:rsidR="00B70322" w:rsidRPr="00B70322" w:rsidRDefault="00B70322" w:rsidP="00B70322">
      <w:pPr>
        <w:shd w:val="clear" w:color="auto" w:fill="FFFFFF"/>
        <w:rPr>
          <w:rFonts w:ascii="Arial" w:hAnsi="Arial" w:cs="Arial"/>
        </w:rPr>
      </w:pPr>
    </w:p>
    <w:p w14:paraId="13946681" w14:textId="44AE809F" w:rsidR="0008640B" w:rsidRPr="00DB770E" w:rsidRDefault="0008640B" w:rsidP="00DB770E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DB770E">
        <w:rPr>
          <w:rFonts w:ascii="Arial" w:hAnsi="Arial" w:cs="Arial"/>
        </w:rPr>
        <w:lastRenderedPageBreak/>
        <w:t>What is the novel treatment discussed in Modules 2 &amp; 3?</w:t>
      </w:r>
    </w:p>
    <w:p w14:paraId="557CF49C" w14:textId="7A587551" w:rsidR="0037176F" w:rsidRPr="0037176F" w:rsidRDefault="0037176F" w:rsidP="0037176F">
      <w:pPr>
        <w:rPr>
          <w:rFonts w:ascii="Arial" w:hAnsi="Arial" w:cs="Arial"/>
          <w:color w:val="000000"/>
        </w:rPr>
      </w:pPr>
      <w:r w:rsidRPr="0037176F">
        <w:rPr>
          <w:rFonts w:ascii="Arial" w:hAnsi="Arial" w:cs="Arial"/>
          <w:color w:val="000000"/>
        </w:rPr>
        <w:t>T</w:t>
      </w:r>
      <w:r w:rsidRPr="0037176F">
        <w:rPr>
          <w:rFonts w:ascii="Arial" w:hAnsi="Arial" w:cs="Arial"/>
          <w:color w:val="000000"/>
        </w:rPr>
        <w:t>he CSC hypothesis suggests that an efficient anticancer treatment should eliminate as many CSCs as</w:t>
      </w:r>
      <w:r>
        <w:rPr>
          <w:rFonts w:ascii="Arial" w:hAnsi="Arial" w:cs="Arial"/>
          <w:color w:val="000000"/>
        </w:rPr>
        <w:t xml:space="preserve"> </w:t>
      </w:r>
      <w:r w:rsidRPr="0037176F">
        <w:rPr>
          <w:rFonts w:ascii="Arial" w:hAnsi="Arial" w:cs="Arial"/>
          <w:color w:val="000000"/>
        </w:rPr>
        <w:t>possible (cycling and non-</w:t>
      </w:r>
      <w:r w:rsidRPr="0037176F">
        <w:rPr>
          <w:rFonts w:ascii="Arial" w:hAnsi="Arial" w:cs="Arial"/>
          <w:color w:val="000000"/>
        </w:rPr>
        <w:t>cycling</w:t>
      </w:r>
      <w:r w:rsidRPr="0037176F">
        <w:rPr>
          <w:rFonts w:ascii="Arial" w:hAnsi="Arial" w:cs="Arial"/>
          <w:color w:val="000000"/>
        </w:rPr>
        <w:t>), while ‘‘non-stem’’ (i.e.,</w:t>
      </w:r>
      <w:r>
        <w:rPr>
          <w:rFonts w:ascii="Arial" w:hAnsi="Arial" w:cs="Arial"/>
          <w:color w:val="000000"/>
        </w:rPr>
        <w:t xml:space="preserve"> </w:t>
      </w:r>
      <w:r w:rsidRPr="0037176F">
        <w:rPr>
          <w:rFonts w:ascii="Arial" w:hAnsi="Arial" w:cs="Arial"/>
          <w:color w:val="000000"/>
        </w:rPr>
        <w:t>differentiated) tumor cells will eventually</w:t>
      </w:r>
      <w:r>
        <w:rPr>
          <w:rFonts w:ascii="Arial" w:hAnsi="Arial" w:cs="Arial"/>
          <w:color w:val="000000"/>
        </w:rPr>
        <w:t xml:space="preserve"> </w:t>
      </w:r>
      <w:r w:rsidRPr="0037176F">
        <w:rPr>
          <w:rFonts w:ascii="Arial" w:hAnsi="Arial" w:cs="Arial"/>
          <w:color w:val="000000"/>
        </w:rPr>
        <w:t>die out without intervention.</w:t>
      </w:r>
      <w:r w:rsidRPr="0037176F">
        <w:rPr>
          <w:rFonts w:ascii="Arial" w:hAnsi="Arial" w:cs="Arial"/>
          <w:color w:val="000000"/>
        </w:rPr>
        <w:t xml:space="preserve"> </w:t>
      </w:r>
      <w:r w:rsidRPr="0037176F">
        <w:rPr>
          <w:rFonts w:ascii="Arial" w:hAnsi="Arial" w:cs="Arial"/>
        </w:rPr>
        <w:t>To target both cycling and non-cycling CSCs</w:t>
      </w:r>
      <w:r>
        <w:rPr>
          <w:rFonts w:ascii="Arial" w:hAnsi="Arial" w:cs="Arial"/>
        </w:rPr>
        <w:t xml:space="preserve"> and the total number of cells</w:t>
      </w:r>
      <w:r w:rsidRPr="0037176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optimal cancer</w:t>
      </w:r>
      <w:r w:rsidRPr="0037176F">
        <w:rPr>
          <w:rFonts w:ascii="Arial" w:hAnsi="Arial" w:cs="Arial"/>
        </w:rPr>
        <w:t xml:space="preserve"> treatment must combine differentiation therapy with antiproliferative agents.</w:t>
      </w:r>
    </w:p>
    <w:p w14:paraId="2558BD07" w14:textId="77777777" w:rsidR="0037176F" w:rsidRDefault="0037176F" w:rsidP="007161C5">
      <w:pPr>
        <w:pStyle w:val="p1"/>
        <w:rPr>
          <w:sz w:val="24"/>
          <w:szCs w:val="24"/>
        </w:rPr>
      </w:pPr>
    </w:p>
    <w:p w14:paraId="09C0845D" w14:textId="77777777" w:rsidR="007161C5" w:rsidRDefault="007161C5" w:rsidP="007161C5">
      <w:pPr>
        <w:pStyle w:val="p1"/>
        <w:rPr>
          <w:sz w:val="24"/>
          <w:szCs w:val="24"/>
        </w:rPr>
      </w:pPr>
    </w:p>
    <w:p w14:paraId="52671375" w14:textId="189ABC93" w:rsidR="00640C01" w:rsidRPr="007161C5" w:rsidRDefault="00BE0F64" w:rsidP="007161C5">
      <w:pPr>
        <w:pStyle w:val="p1"/>
        <w:numPr>
          <w:ilvl w:val="0"/>
          <w:numId w:val="46"/>
        </w:numPr>
        <w:rPr>
          <w:sz w:val="24"/>
          <w:szCs w:val="24"/>
        </w:rPr>
      </w:pPr>
      <w:r w:rsidRPr="007161C5">
        <w:rPr>
          <w:sz w:val="24"/>
          <w:szCs w:val="24"/>
        </w:rPr>
        <w:t>What are the groups of cells involved in tumor evolution (Module 2 &amp; 3)?</w:t>
      </w:r>
    </w:p>
    <w:p w14:paraId="7E5BA2FF" w14:textId="77777777" w:rsidR="00797F36" w:rsidRDefault="00797F36" w:rsidP="00690099">
      <w:pPr>
        <w:rPr>
          <w:rFonts w:ascii="Arial" w:hAnsi="Arial" w:cs="Arial"/>
        </w:rPr>
      </w:pPr>
    </w:p>
    <w:p w14:paraId="0CBCCDB5" w14:textId="61623F9C" w:rsidR="00551AEB" w:rsidRDefault="00FC28F5" w:rsidP="00690099">
      <w:pPr>
        <w:rPr>
          <w:rFonts w:ascii="Arial" w:hAnsi="Arial" w:cs="Arial"/>
        </w:rPr>
      </w:pPr>
      <w:r>
        <w:rPr>
          <w:rFonts w:ascii="Arial" w:hAnsi="Arial" w:cs="Arial"/>
        </w:rPr>
        <w:t>There are two groups of cells involved in the tumor evolution:</w:t>
      </w:r>
    </w:p>
    <w:p w14:paraId="7CAD0F6E" w14:textId="597E9E87" w:rsidR="00FC28F5" w:rsidRPr="00FC28F5" w:rsidRDefault="00FC28F5" w:rsidP="00FC28F5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FC28F5">
        <w:rPr>
          <w:rFonts w:ascii="Arial" w:hAnsi="Arial" w:cs="Arial"/>
        </w:rPr>
        <w:t>Cancer stem cells (CSCs): they are responsible for tumor growth, relapse, and resistance to therapies and exist in two states:</w:t>
      </w:r>
    </w:p>
    <w:p w14:paraId="0EBD4F41" w14:textId="5C38E9C6" w:rsidR="00FC28F5" w:rsidRPr="00FC28F5" w:rsidRDefault="00FC28F5" w:rsidP="00FC28F5">
      <w:pPr>
        <w:pStyle w:val="ListParagraph"/>
        <w:numPr>
          <w:ilvl w:val="1"/>
          <w:numId w:val="47"/>
        </w:numPr>
        <w:rPr>
          <w:rFonts w:ascii="Arial" w:hAnsi="Arial" w:cs="Arial"/>
        </w:rPr>
      </w:pPr>
      <w:r w:rsidRPr="00FC28F5">
        <w:rPr>
          <w:rFonts w:ascii="Arial" w:hAnsi="Arial" w:cs="Arial"/>
        </w:rPr>
        <w:t>Non-cycling CSCs: that can differentiate into differentiated cancer cells (DCs)</w:t>
      </w:r>
    </w:p>
    <w:p w14:paraId="10CEAE0C" w14:textId="480DEC48" w:rsidR="00FC28F5" w:rsidRPr="00FC28F5" w:rsidRDefault="00FC28F5" w:rsidP="00FC28F5">
      <w:pPr>
        <w:pStyle w:val="ListParagraph"/>
        <w:numPr>
          <w:ilvl w:val="1"/>
          <w:numId w:val="47"/>
        </w:numPr>
        <w:rPr>
          <w:rFonts w:ascii="Arial" w:hAnsi="Arial" w:cs="Arial"/>
        </w:rPr>
      </w:pPr>
      <w:r w:rsidRPr="00FC28F5">
        <w:rPr>
          <w:rFonts w:ascii="Arial" w:hAnsi="Arial" w:cs="Arial"/>
        </w:rPr>
        <w:t>Cycling CSCs: that can differentiate into two non-cycling CSCs</w:t>
      </w:r>
    </w:p>
    <w:p w14:paraId="091EB911" w14:textId="2BA23791" w:rsidR="00FC28F5" w:rsidRPr="00A11638" w:rsidRDefault="00FC28F5" w:rsidP="00A11638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A11638">
        <w:rPr>
          <w:rFonts w:ascii="Arial" w:hAnsi="Arial" w:cs="Arial"/>
        </w:rPr>
        <w:t>Differentiated Cancer Cells (DCs)</w:t>
      </w:r>
      <w:r w:rsidR="00130082" w:rsidRPr="00A11638">
        <w:rPr>
          <w:rFonts w:ascii="Arial" w:hAnsi="Arial" w:cs="Arial"/>
        </w:rPr>
        <w:t xml:space="preserve">: these cells have a limited life span and do not </w:t>
      </w:r>
      <w:r w:rsidR="00C61057">
        <w:rPr>
          <w:rFonts w:ascii="Arial" w:hAnsi="Arial" w:cs="Arial"/>
        </w:rPr>
        <w:t>live</w:t>
      </w:r>
      <w:r w:rsidR="00130082" w:rsidRPr="00A11638">
        <w:rPr>
          <w:rFonts w:ascii="Arial" w:hAnsi="Arial" w:cs="Arial"/>
        </w:rPr>
        <w:t xml:space="preserve"> indefinitely. At their death</w:t>
      </w:r>
      <w:r w:rsidR="00A11638" w:rsidRPr="00A11638">
        <w:rPr>
          <w:rFonts w:ascii="Arial" w:hAnsi="Arial" w:cs="Arial"/>
        </w:rPr>
        <w:t>,</w:t>
      </w:r>
      <w:r w:rsidR="00130082" w:rsidRPr="00A11638">
        <w:rPr>
          <w:rFonts w:ascii="Arial" w:hAnsi="Arial" w:cs="Arial"/>
        </w:rPr>
        <w:t xml:space="preserve"> they create space for CSCs to expand.</w:t>
      </w:r>
    </w:p>
    <w:p w14:paraId="7E35BFDB" w14:textId="7BA5527F" w:rsidR="00C855B3" w:rsidRPr="00321C85" w:rsidRDefault="00C855B3" w:rsidP="00690099">
      <w:pPr>
        <w:rPr>
          <w:rFonts w:ascii="Arial" w:hAnsi="Arial" w:cs="Arial"/>
        </w:rPr>
      </w:pPr>
    </w:p>
    <w:sectPr w:rsidR="00C855B3" w:rsidRPr="00321C8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43D28" w14:textId="77777777" w:rsidR="00A23A96" w:rsidRDefault="00A23A96" w:rsidP="00E42CFE">
      <w:r>
        <w:separator/>
      </w:r>
    </w:p>
  </w:endnote>
  <w:endnote w:type="continuationSeparator" w:id="0">
    <w:p w14:paraId="427F1101" w14:textId="77777777" w:rsidR="00A23A96" w:rsidRDefault="00A23A96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59198" w14:textId="77777777" w:rsidR="00A23A96" w:rsidRDefault="00A23A96" w:rsidP="00E42CFE">
      <w:r>
        <w:separator/>
      </w:r>
    </w:p>
  </w:footnote>
  <w:footnote w:type="continuationSeparator" w:id="0">
    <w:p w14:paraId="7DC37AD5" w14:textId="77777777" w:rsidR="00A23A96" w:rsidRDefault="00A23A96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1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0"/>
  </w:num>
  <w:num w:numId="5" w16cid:durableId="1344013940">
    <w:abstractNumId w:val="23"/>
  </w:num>
  <w:num w:numId="6" w16cid:durableId="395012634">
    <w:abstractNumId w:val="43"/>
  </w:num>
  <w:num w:numId="7" w16cid:durableId="951326616">
    <w:abstractNumId w:val="19"/>
  </w:num>
  <w:num w:numId="8" w16cid:durableId="1233931840">
    <w:abstractNumId w:val="28"/>
  </w:num>
  <w:num w:numId="9" w16cid:durableId="1250965529">
    <w:abstractNumId w:val="10"/>
  </w:num>
  <w:num w:numId="10" w16cid:durableId="1694191537">
    <w:abstractNumId w:val="48"/>
  </w:num>
  <w:num w:numId="11" w16cid:durableId="1918443478">
    <w:abstractNumId w:val="44"/>
  </w:num>
  <w:num w:numId="12" w16cid:durableId="1037698301">
    <w:abstractNumId w:val="0"/>
  </w:num>
  <w:num w:numId="13" w16cid:durableId="491330979">
    <w:abstractNumId w:val="24"/>
  </w:num>
  <w:num w:numId="14" w16cid:durableId="441919138">
    <w:abstractNumId w:val="45"/>
  </w:num>
  <w:num w:numId="15" w16cid:durableId="179510703">
    <w:abstractNumId w:val="1"/>
  </w:num>
  <w:num w:numId="16" w16cid:durableId="638533165">
    <w:abstractNumId w:val="15"/>
  </w:num>
  <w:num w:numId="17" w16cid:durableId="1919047837">
    <w:abstractNumId w:val="11"/>
  </w:num>
  <w:num w:numId="18" w16cid:durableId="1672833298">
    <w:abstractNumId w:val="3"/>
  </w:num>
  <w:num w:numId="19" w16cid:durableId="589779244">
    <w:abstractNumId w:val="42"/>
  </w:num>
  <w:num w:numId="20" w16cid:durableId="1678187624">
    <w:abstractNumId w:val="8"/>
  </w:num>
  <w:num w:numId="21" w16cid:durableId="1212107984">
    <w:abstractNumId w:val="25"/>
  </w:num>
  <w:num w:numId="22" w16cid:durableId="754784430">
    <w:abstractNumId w:val="34"/>
  </w:num>
  <w:num w:numId="23" w16cid:durableId="284703170">
    <w:abstractNumId w:val="18"/>
  </w:num>
  <w:num w:numId="24" w16cid:durableId="67776856">
    <w:abstractNumId w:val="36"/>
  </w:num>
  <w:num w:numId="25" w16cid:durableId="1969775875">
    <w:abstractNumId w:val="9"/>
  </w:num>
  <w:num w:numId="26" w16cid:durableId="392775139">
    <w:abstractNumId w:val="16"/>
  </w:num>
  <w:num w:numId="27" w16cid:durableId="1359968157">
    <w:abstractNumId w:val="13"/>
  </w:num>
  <w:num w:numId="28" w16cid:durableId="2093818591">
    <w:abstractNumId w:val="40"/>
  </w:num>
  <w:num w:numId="29" w16cid:durableId="1176918667">
    <w:abstractNumId w:val="38"/>
  </w:num>
  <w:num w:numId="30" w16cid:durableId="63142479">
    <w:abstractNumId w:val="6"/>
  </w:num>
  <w:num w:numId="31" w16cid:durableId="1535539115">
    <w:abstractNumId w:val="14"/>
  </w:num>
  <w:num w:numId="32" w16cid:durableId="2082293646">
    <w:abstractNumId w:val="35"/>
  </w:num>
  <w:num w:numId="33" w16cid:durableId="2106657034">
    <w:abstractNumId w:val="21"/>
  </w:num>
  <w:num w:numId="34" w16cid:durableId="1306394998">
    <w:abstractNumId w:val="17"/>
  </w:num>
  <w:num w:numId="35" w16cid:durableId="1594587759">
    <w:abstractNumId w:val="20"/>
  </w:num>
  <w:num w:numId="36" w16cid:durableId="1801267434">
    <w:abstractNumId w:val="32"/>
  </w:num>
  <w:num w:numId="37" w16cid:durableId="433331852">
    <w:abstractNumId w:val="7"/>
  </w:num>
  <w:num w:numId="38" w16cid:durableId="92820635">
    <w:abstractNumId w:val="12"/>
  </w:num>
  <w:num w:numId="39" w16cid:durableId="1217549872">
    <w:abstractNumId w:val="22"/>
  </w:num>
  <w:num w:numId="40" w16cid:durableId="442966289">
    <w:abstractNumId w:val="26"/>
  </w:num>
  <w:num w:numId="41" w16cid:durableId="241527463">
    <w:abstractNumId w:val="31"/>
  </w:num>
  <w:num w:numId="42" w16cid:durableId="1570917353">
    <w:abstractNumId w:val="49"/>
  </w:num>
  <w:num w:numId="43" w16cid:durableId="137457496">
    <w:abstractNumId w:val="27"/>
  </w:num>
  <w:num w:numId="44" w16cid:durableId="1506242974">
    <w:abstractNumId w:val="5"/>
  </w:num>
  <w:num w:numId="45" w16cid:durableId="1582790930">
    <w:abstractNumId w:val="33"/>
  </w:num>
  <w:num w:numId="46" w16cid:durableId="1710716608">
    <w:abstractNumId w:val="37"/>
  </w:num>
  <w:num w:numId="47" w16cid:durableId="1932548448">
    <w:abstractNumId w:val="46"/>
  </w:num>
  <w:num w:numId="48" w16cid:durableId="1649825920">
    <w:abstractNumId w:val="39"/>
  </w:num>
  <w:num w:numId="49" w16cid:durableId="1179464455">
    <w:abstractNumId w:val="29"/>
  </w:num>
  <w:num w:numId="50" w16cid:durableId="46952276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48F9"/>
    <w:rsid w:val="0008053F"/>
    <w:rsid w:val="0008640B"/>
    <w:rsid w:val="000876CD"/>
    <w:rsid w:val="00090441"/>
    <w:rsid w:val="00090642"/>
    <w:rsid w:val="00094596"/>
    <w:rsid w:val="000949F0"/>
    <w:rsid w:val="000A1924"/>
    <w:rsid w:val="000A43B1"/>
    <w:rsid w:val="000B0B51"/>
    <w:rsid w:val="000B0FE6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846"/>
    <w:rsid w:val="00130082"/>
    <w:rsid w:val="00132ABD"/>
    <w:rsid w:val="0014067C"/>
    <w:rsid w:val="00141D88"/>
    <w:rsid w:val="001455ED"/>
    <w:rsid w:val="001520E3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13C93"/>
    <w:rsid w:val="00225B30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50B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3CB5"/>
    <w:rsid w:val="00335736"/>
    <w:rsid w:val="0033596F"/>
    <w:rsid w:val="00352978"/>
    <w:rsid w:val="00357A27"/>
    <w:rsid w:val="0036421C"/>
    <w:rsid w:val="00365C48"/>
    <w:rsid w:val="00366E59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23300"/>
    <w:rsid w:val="00535C1F"/>
    <w:rsid w:val="00541E9C"/>
    <w:rsid w:val="00542E79"/>
    <w:rsid w:val="0054640B"/>
    <w:rsid w:val="00551AEB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1398F"/>
    <w:rsid w:val="006140B0"/>
    <w:rsid w:val="00621A1A"/>
    <w:rsid w:val="00623BE3"/>
    <w:rsid w:val="006263BB"/>
    <w:rsid w:val="00626ACA"/>
    <w:rsid w:val="006362E6"/>
    <w:rsid w:val="00640213"/>
    <w:rsid w:val="00640B70"/>
    <w:rsid w:val="00640C01"/>
    <w:rsid w:val="00643D53"/>
    <w:rsid w:val="0064606E"/>
    <w:rsid w:val="00671ACC"/>
    <w:rsid w:val="0067230C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54C16"/>
    <w:rsid w:val="00765819"/>
    <w:rsid w:val="007705F3"/>
    <w:rsid w:val="00772CE2"/>
    <w:rsid w:val="007805A2"/>
    <w:rsid w:val="007807F7"/>
    <w:rsid w:val="00780B35"/>
    <w:rsid w:val="00783A20"/>
    <w:rsid w:val="00785103"/>
    <w:rsid w:val="00785E65"/>
    <w:rsid w:val="00787393"/>
    <w:rsid w:val="00792BE3"/>
    <w:rsid w:val="00797F3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E1627"/>
    <w:rsid w:val="00902810"/>
    <w:rsid w:val="00903105"/>
    <w:rsid w:val="00904A39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670BC"/>
    <w:rsid w:val="00A717C4"/>
    <w:rsid w:val="00A75688"/>
    <w:rsid w:val="00A75D20"/>
    <w:rsid w:val="00A86246"/>
    <w:rsid w:val="00A865A6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13D46"/>
    <w:rsid w:val="00B14DF7"/>
    <w:rsid w:val="00B20BED"/>
    <w:rsid w:val="00B34047"/>
    <w:rsid w:val="00B366C9"/>
    <w:rsid w:val="00B4313B"/>
    <w:rsid w:val="00B44BF1"/>
    <w:rsid w:val="00B51A08"/>
    <w:rsid w:val="00B53327"/>
    <w:rsid w:val="00B65301"/>
    <w:rsid w:val="00B67780"/>
    <w:rsid w:val="00B67D43"/>
    <w:rsid w:val="00B70322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0F64"/>
    <w:rsid w:val="00BE7503"/>
    <w:rsid w:val="00BE7AB9"/>
    <w:rsid w:val="00BF158A"/>
    <w:rsid w:val="00BF2339"/>
    <w:rsid w:val="00BF398C"/>
    <w:rsid w:val="00C2031D"/>
    <w:rsid w:val="00C32438"/>
    <w:rsid w:val="00C33492"/>
    <w:rsid w:val="00C5269F"/>
    <w:rsid w:val="00C56EC4"/>
    <w:rsid w:val="00C61057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1069"/>
    <w:rsid w:val="00D5761F"/>
    <w:rsid w:val="00D57828"/>
    <w:rsid w:val="00D658F2"/>
    <w:rsid w:val="00D66CB6"/>
    <w:rsid w:val="00D66DDF"/>
    <w:rsid w:val="00D740EA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B770E"/>
    <w:rsid w:val="00DC5392"/>
    <w:rsid w:val="00DC755B"/>
    <w:rsid w:val="00DC7FF9"/>
    <w:rsid w:val="00DD1D62"/>
    <w:rsid w:val="00DD36EE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475F"/>
    <w:rsid w:val="00E649E7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2A44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0E9D"/>
    <w:rsid w:val="00F9204D"/>
    <w:rsid w:val="00F97874"/>
    <w:rsid w:val="00FA2215"/>
    <w:rsid w:val="00FB12EC"/>
    <w:rsid w:val="00FB18AF"/>
    <w:rsid w:val="00FB2B4B"/>
    <w:rsid w:val="00FB646F"/>
    <w:rsid w:val="00FB6FBA"/>
    <w:rsid w:val="00FC28F5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31</cp:revision>
  <cp:lastPrinted>2024-08-28T00:05:00Z</cp:lastPrinted>
  <dcterms:created xsi:type="dcterms:W3CDTF">2025-02-05T01:36:00Z</dcterms:created>
  <dcterms:modified xsi:type="dcterms:W3CDTF">2025-02-14T12:35:00Z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