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BE6B00" w:rsidRDefault="00EE0B47" w:rsidP="00EE0B47">
      <w:pPr>
        <w:rPr>
          <w:rFonts w:asciiTheme="minorHAnsi" w:hAnsiTheme="minorHAnsi" w:cstheme="minorHAnsi"/>
          <w:b/>
          <w:bCs/>
        </w:rPr>
      </w:pPr>
      <w:r w:rsidRPr="00BE6B00">
        <w:rPr>
          <w:rFonts w:asciiTheme="minorHAnsi" w:hAnsiTheme="minorHAnsi" w:cstheme="minorHAnsi"/>
          <w:b/>
          <w:bCs/>
        </w:rPr>
        <w:t>Provide a summary (at least one page) of one concept in the paper that you found interesting</w:t>
      </w:r>
      <w:r w:rsidR="00477D80" w:rsidRPr="00BE6B00">
        <w:rPr>
          <w:rFonts w:asciiTheme="minorHAnsi" w:hAnsiTheme="minorHAnsi" w:cstheme="minorHAnsi"/>
          <w:b/>
          <w:bCs/>
        </w:rPr>
        <w:t xml:space="preserve">? </w:t>
      </w:r>
    </w:p>
    <w:p w14:paraId="7112EE19" w14:textId="0CE14B8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155CAC">
        <w:rPr>
          <w:rFonts w:asciiTheme="minorHAnsi" w:hAnsiTheme="minorHAnsi" w:cstheme="minorHAnsi"/>
        </w:rPr>
        <w:t xml:space="preserve">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{"citationID":"7OgAEpw7","properties":{"formattedCitation":"[1]","plainCitation":"[1]","noteIndex":0},"citationItems":[{"id":1042,"uris":["http://zotero.org/users/7286058/items/EINJ9ZR8"],"itemData":{"id":1042,"type":"article-journal","abstract":"The ability to detect pathogenic and physiologically relevant molecules in the body with high sensitivity and speciﬁcity offers a powerful opportunity in the early diagnosis and treatment of diseases. Early detection and diagnosis can be used to greatly reduce the cost of patient care associated with the advanced stages of many diseases. However, despite their widespread clinical use, these techniques have a number of potential limitations. For example, a number of diagnostic devices have slow response times and are burdensome to patients. Furthermore, these assays are expensive and cost the health care industry billions of dollars every year. Therefore, there is a need to develop more efﬁcient and reliable sensing and detection technologies. A biosensor is commonly deﬁned as an analytical device that uses a biological recognition system to target molecules or macromolecules. Biosensors can be coupled to a physiochemical transducer that converts this recognition into a detectable output signal. Typically biosensors are comprised of three components: (1) the detector, which identiﬁes the stimulus; (2) the transducer, which converts this stimulus to a useful output; and (3) the signal processing system, which involves ampliﬁcation and display of the output in an appropriate format. The goal of this combination is to utilize the high sensitivity and selectivity of biological sensing for analytical purposes in various ﬁelds of research and technology. We review here some of the main advances in this ﬁeld over the past few years, explore the application prospects, and discuss the issues, approaches, and challenges, with the aim of stimulating a broader interest in developing biosensors and improving their applications in medical diagnosis.","container-title":"Journal of Applied Biomedicine","DOI":"10.1016/j.jab.2013.02.001","ISSN":"1214021X, 12140287","issue":"1","journalAbbreviation":"J Appl Biomed","language":"en","page":"1-15","source":"DOI.org (Crossref)","title":"Advances in biosensors: Principle, architecture and applications","title-short":"Advances in biosensors","URL":"http://jab.zsf.jcu.cz/doi/10.1016/j.jab.2013.02.001.html","volume":"12","author":[{"family":"Perumal","given":"Veeradasan"},{"family":"Hashim","given":"Uda"}],"accessed":{"date-parts":[["2022",3,31]]},"issued":{"date-parts":[["2014",1,1]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[1]</w:t>
      </w:r>
      <w:r w:rsidR="00155CAC">
        <w:rPr>
          <w:rFonts w:asciiTheme="minorHAnsi" w:hAnsiTheme="minorHAnsi" w:cstheme="minorHAnsi"/>
        </w:rPr>
        <w:fldChar w:fldCharType="end"/>
      </w:r>
      <w:r w:rsidR="006D4AD6">
        <w:rPr>
          <w:rFonts w:asciiTheme="minorHAnsi" w:hAnsiTheme="minorHAnsi" w:cstheme="minorHAnsi"/>
        </w:rPr>
        <w:t>.</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5C3392A5" w:rsidR="00EA5747" w:rsidRP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48FC5483" w14:textId="77777777" w:rsidR="00EA5747" w:rsidRPr="008A7B5C" w:rsidRDefault="008B1B3B" w:rsidP="008A7B5C">
      <w:pPr>
        <w:pStyle w:val="ListParagraph"/>
        <w:numPr>
          <w:ilvl w:val="0"/>
          <w:numId w:val="33"/>
        </w:numPr>
        <w:rPr>
          <w:rFonts w:cstheme="minorHAnsi"/>
        </w:rPr>
      </w:pPr>
      <w:proofErr w:type="spellStart"/>
      <w:r w:rsidRPr="008A7B5C">
        <w:rPr>
          <w:rFonts w:cstheme="minorHAnsi"/>
        </w:rPr>
        <w:t>amperometric</w:t>
      </w:r>
      <w:proofErr w:type="spellEnd"/>
      <w:r w:rsidR="00845173" w:rsidRPr="008A7B5C">
        <w:rPr>
          <w:rFonts w:cstheme="minorHAnsi"/>
        </w:rPr>
        <w:t>: measurement of a current from oxidation of an electroactive species</w:t>
      </w:r>
      <w:r w:rsidR="00EA5747" w:rsidRPr="008A7B5C">
        <w:rPr>
          <w:rFonts w:cstheme="minorHAnsi"/>
        </w:rPr>
        <w:t>.</w:t>
      </w:r>
    </w:p>
    <w:p w14:paraId="00D2E46A" w14:textId="77777777" w:rsidR="00EA5747" w:rsidRPr="008A7B5C" w:rsidRDefault="008B1B3B" w:rsidP="008A7B5C">
      <w:pPr>
        <w:pStyle w:val="ListParagraph"/>
        <w:numPr>
          <w:ilvl w:val="0"/>
          <w:numId w:val="33"/>
        </w:numPr>
        <w:rPr>
          <w:rFonts w:cstheme="minorHAnsi"/>
        </w:rPr>
      </w:pPr>
      <w:r w:rsidRPr="008A7B5C">
        <w:rPr>
          <w:rFonts w:cstheme="minorHAnsi"/>
        </w:rPr>
        <w:t>potentiometric</w:t>
      </w:r>
      <w:r w:rsidR="00845173" w:rsidRPr="008A7B5C">
        <w:rPr>
          <w:rFonts w:cstheme="minorHAnsi"/>
        </w:rPr>
        <w:t xml:space="preserve">: relies on the use of an </w:t>
      </w:r>
      <w:proofErr w:type="spellStart"/>
      <w:r w:rsidR="00845173" w:rsidRPr="008A7B5C">
        <w:rPr>
          <w:rFonts w:cstheme="minorHAnsi"/>
        </w:rPr>
        <w:t>ion</w:t>
      </w:r>
      <w:proofErr w:type="spellEnd"/>
      <w:r w:rsidR="00845173" w:rsidRPr="008A7B5C">
        <w:rPr>
          <w:rFonts w:cstheme="minorHAnsi"/>
        </w:rPr>
        <w:t>-selective electrode and ion-sensitive field</w:t>
      </w:r>
      <w:r w:rsidR="00EA5747" w:rsidRPr="008A7B5C">
        <w:rPr>
          <w:rFonts w:cstheme="minorHAnsi"/>
        </w:rPr>
        <w:t>.</w:t>
      </w:r>
    </w:p>
    <w:p w14:paraId="0C218718" w14:textId="06E0EA62" w:rsidR="00EA5747" w:rsidRPr="008A7B5C" w:rsidRDefault="008B1B3B" w:rsidP="008A7B5C">
      <w:pPr>
        <w:pStyle w:val="ListParagraph"/>
        <w:numPr>
          <w:ilvl w:val="0"/>
          <w:numId w:val="33"/>
        </w:numPr>
        <w:rPr>
          <w:rFonts w:cstheme="minorHAnsi"/>
        </w:rPr>
      </w:pPr>
      <w:r w:rsidRPr="008A7B5C">
        <w:rPr>
          <w:rFonts w:cstheme="minorHAnsi"/>
        </w:rPr>
        <w:t>conductometric</w:t>
      </w:r>
      <w:r w:rsidR="00B22C2C" w:rsidRPr="008A7B5C">
        <w:rPr>
          <w:rFonts w:cstheme="minorHAnsi"/>
        </w:rPr>
        <w:t>: measurement of electrolyte conductivity</w:t>
      </w:r>
      <w:r w:rsidR="000C5DE6" w:rsidRPr="008A7B5C">
        <w:rPr>
          <w:rFonts w:cstheme="minorHAnsi"/>
        </w:rPr>
        <w:t xml:space="preserve"> which varies with the changes in concentration of ionic species</w:t>
      </w:r>
      <w:r w:rsidR="008A7B5C" w:rsidRPr="008A7B5C">
        <w:rPr>
          <w:rFonts w:cstheme="minorHAnsi"/>
        </w:rPr>
        <w:t>.</w:t>
      </w:r>
    </w:p>
    <w:p w14:paraId="4D0274CC" w14:textId="773C400D" w:rsidR="00EA5747" w:rsidRPr="008A7B5C" w:rsidRDefault="008A7B5C" w:rsidP="008A7B5C">
      <w:pPr>
        <w:pStyle w:val="ListParagraph"/>
        <w:numPr>
          <w:ilvl w:val="0"/>
          <w:numId w:val="33"/>
        </w:numPr>
        <w:spacing w:after="0" w:line="240" w:lineRule="auto"/>
        <w:rPr>
          <w:rFonts w:cstheme="minorHAnsi"/>
        </w:rPr>
      </w:pPr>
      <w:r w:rsidRPr="008A7B5C">
        <w:rPr>
          <w:rFonts w:cstheme="minorHAnsi"/>
        </w:rPr>
        <w:t xml:space="preserve">electrical impedance spectroscopy (EIS): consists of a 3-electrode system, a </w:t>
      </w:r>
      <w:proofErr w:type="spellStart"/>
      <w:r w:rsidRPr="008A7B5C">
        <w:rPr>
          <w:rFonts w:cstheme="minorHAnsi"/>
        </w:rPr>
        <w:t>potentiostat</w:t>
      </w:r>
      <w:proofErr w:type="spellEnd"/>
      <w:r w:rsidRPr="008A7B5C">
        <w:rPr>
          <w:rFonts w:cstheme="minorHAnsi"/>
        </w:rPr>
        <w:t xml:space="preserve"> and a frequency response </w:t>
      </w:r>
      <w:proofErr w:type="spellStart"/>
      <w:r w:rsidRPr="008A7B5C">
        <w:rPr>
          <w:rFonts w:cstheme="minorHAnsi"/>
        </w:rPr>
        <w:t>analyser</w:t>
      </w:r>
      <w:proofErr w:type="spellEnd"/>
      <w:r w:rsidRPr="008A7B5C">
        <w:rPr>
          <w:rFonts w:cstheme="minorHAnsi"/>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00FDDD4C"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05A47B8E" w14:textId="1B0F70AE" w:rsidR="00090E23" w:rsidRDefault="00736130" w:rsidP="00F3175C">
      <w:pPr>
        <w:rPr>
          <w:rFonts w:asciiTheme="minorHAnsi" w:hAnsiTheme="minorHAnsi" w:cstheme="minorHAnsi"/>
        </w:rPr>
      </w:pPr>
      <w:r>
        <w:rPr>
          <w:rFonts w:asciiTheme="minorHAnsi" w:hAnsiTheme="minorHAnsi" w:cstheme="minorHAnsi"/>
        </w:rPr>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090E23">
        <w:rPr>
          <w:rFonts w:asciiTheme="minorHAnsi" w:hAnsiTheme="minorHAnsi" w:cstheme="minorHAnsi"/>
        </w:rPr>
        <w:t>:</w:t>
      </w:r>
    </w:p>
    <w:p w14:paraId="1AA114C4" w14:textId="5E082BC8"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w:t>
      </w:r>
      <w:r w:rsidR="00F03D1D" w:rsidRPr="00917C44">
        <w:rPr>
          <w:rFonts w:cstheme="minorHAnsi"/>
          <w:sz w:val="24"/>
          <w:szCs w:val="24"/>
        </w:rPr>
        <w:lastRenderedPageBreak/>
        <w:t xml:space="preserve">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r w:rsidR="006642F8">
        <w:rPr>
          <w:rFonts w:cstheme="minorHAnsi"/>
          <w:sz w:val="24"/>
          <w:szCs w:val="24"/>
        </w:rPr>
        <w:t xml:space="preserve"> Transducer surface is generally a thin gold film.</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37AF675A" w:rsidR="00EE0B47" w:rsidRPr="00BE6B00" w:rsidRDefault="00EE0B47" w:rsidP="00EE0B47">
      <w:pPr>
        <w:rPr>
          <w:rFonts w:asciiTheme="minorHAnsi" w:hAnsiTheme="minorHAnsi" w:cstheme="minorHAnsi"/>
          <w:b/>
          <w:bCs/>
        </w:rPr>
      </w:pPr>
      <w:r w:rsidRPr="00BE6B00">
        <w:rPr>
          <w:rFonts w:asciiTheme="minorHAnsi" w:hAnsiTheme="minorHAnsi" w:cstheme="minorHAnsi"/>
          <w:b/>
          <w:bCs/>
        </w:rPr>
        <w:t>Note how your knowledge of receptor-ligand interactions could help you in determining a new approach for a biomedical engineering application</w:t>
      </w:r>
      <w:r w:rsidR="00685E2D" w:rsidRPr="00BE6B00">
        <w:rPr>
          <w:rFonts w:asciiTheme="minorHAnsi" w:hAnsiTheme="minorHAnsi" w:cstheme="minorHAnsi"/>
          <w:b/>
          <w:bCs/>
        </w:rPr>
        <w:t>.</w:t>
      </w:r>
    </w:p>
    <w:p w14:paraId="66792A63" w14:textId="149A6D0B" w:rsidR="00E87952" w:rsidRPr="008D4EF3" w:rsidRDefault="007543F2" w:rsidP="00BE6B00">
      <w:pPr>
        <w:rPr>
          <w:rFonts w:asciiTheme="minorHAnsi" w:hAnsiTheme="minorHAnsi" w:cstheme="minorHAnsi"/>
        </w:rPr>
      </w:pPr>
      <w:r w:rsidRPr="008D4EF3">
        <w:rPr>
          <w:rFonts w:asciiTheme="minorHAnsi" w:hAnsiTheme="minorHAnsi" w:cstheme="minorHAnsi"/>
        </w:rPr>
        <w:t xml:space="preserve">Oral microbiome includes up to 1000 microbial species comprising bacteria, fungi, viruses, archaea and protozoa. The vast majority of </w:t>
      </w:r>
      <w:r w:rsidR="00BE6B00" w:rsidRPr="008D4EF3">
        <w:rPr>
          <w:rFonts w:asciiTheme="minorHAnsi" w:hAnsiTheme="minorHAnsi" w:cstheme="minorHAnsi"/>
        </w:rPr>
        <w:t>viruses in the oral cavity are bacteriophages; ab</w:t>
      </w:r>
      <w:r w:rsidR="00116A03" w:rsidRPr="008D4EF3">
        <w:rPr>
          <w:rFonts w:asciiTheme="minorHAnsi" w:hAnsiTheme="minorHAnsi" w:cstheme="minorHAnsi"/>
        </w:rPr>
        <w:t>o</w:t>
      </w:r>
      <w:r w:rsidR="00BE6B00" w:rsidRPr="008D4EF3">
        <w:rPr>
          <w:rFonts w:asciiTheme="minorHAnsi" w:hAnsiTheme="minorHAnsi" w:cstheme="minorHAnsi"/>
        </w:rPr>
        <w:t xml:space="preserve">ut 700 bacterial species live in the oral cavity making it the second largest bacterial community in the human body after the gut. </w:t>
      </w:r>
      <w:r w:rsidR="005733D2" w:rsidRPr="008D4EF3">
        <w:rPr>
          <w:rFonts w:asciiTheme="minorHAnsi" w:hAnsiTheme="minorHAnsi" w:cstheme="minorHAnsi"/>
        </w:rPr>
        <w:t>Like many functions in the human body, oral microbiome in a healthy individual maintains interspecies relationships and host-microbial interactions in homeostasis (</w:t>
      </w:r>
      <w:proofErr w:type="spellStart"/>
      <w:r w:rsidR="005733D2" w:rsidRPr="008D4EF3">
        <w:rPr>
          <w:rFonts w:asciiTheme="minorHAnsi" w:hAnsiTheme="minorHAnsi" w:cstheme="minorHAnsi"/>
        </w:rPr>
        <w:t>eurobiosis</w:t>
      </w:r>
      <w:proofErr w:type="spellEnd"/>
      <w:r w:rsidR="005733D2" w:rsidRPr="008D4EF3">
        <w:rPr>
          <w:rFonts w:asciiTheme="minorHAnsi" w:hAnsiTheme="minorHAnsi" w:cstheme="minorHAnsi"/>
        </w:rPr>
        <w:t xml:space="preserve">). The human host immune response </w:t>
      </w:r>
      <w:r w:rsidR="0079342E" w:rsidRPr="008D4EF3">
        <w:rPr>
          <w:rFonts w:asciiTheme="minorHAnsi" w:hAnsiTheme="minorHAnsi" w:cstheme="minorHAnsi"/>
        </w:rPr>
        <w:t>must balance between aggressive immune response for pathogen elimination and protection of beneficial oral microbes which prevent colonization of pathogens.</w:t>
      </w:r>
      <w:r w:rsidR="004347A4" w:rsidRPr="008D4EF3">
        <w:rPr>
          <w:rFonts w:asciiTheme="minorHAnsi" w:hAnsiTheme="minorHAnsi" w:cstheme="minorHAnsi"/>
        </w:rPr>
        <w:t xml:space="preserve"> Shift in </w:t>
      </w:r>
      <w:proofErr w:type="spellStart"/>
      <w:r w:rsidR="004347A4" w:rsidRPr="008D4EF3">
        <w:rPr>
          <w:rFonts w:asciiTheme="minorHAnsi" w:hAnsiTheme="minorHAnsi" w:cstheme="minorHAnsi"/>
        </w:rPr>
        <w:t>eubiotic</w:t>
      </w:r>
      <w:proofErr w:type="spellEnd"/>
      <w:r w:rsidR="004347A4" w:rsidRPr="008D4EF3">
        <w:rPr>
          <w:rFonts w:asciiTheme="minorHAnsi" w:hAnsiTheme="minorHAnsi" w:cstheme="minorHAnsi"/>
        </w:rPr>
        <w:t xml:space="preserve"> balance can lead to parasitic state promoting disease (dysbiosis).</w:t>
      </w:r>
      <w:r w:rsidR="00E87952" w:rsidRPr="008D4EF3">
        <w:rPr>
          <w:rFonts w:asciiTheme="minorHAnsi" w:hAnsiTheme="minorHAnsi" w:cstheme="minorHAnsi"/>
        </w:rPr>
        <w:t xml:space="preserve"> Dysbiosis is characterized by </w:t>
      </w:r>
      <w:r w:rsidR="005156D0" w:rsidRPr="008D4EF3">
        <w:rPr>
          <w:rFonts w:asciiTheme="minorHAnsi" w:hAnsiTheme="minorHAnsi" w:cstheme="minorHAnsi"/>
        </w:rPr>
        <w:t>1) l</w:t>
      </w:r>
      <w:r w:rsidR="00E87952" w:rsidRPr="008D4EF3">
        <w:rPr>
          <w:rFonts w:asciiTheme="minorHAnsi" w:hAnsiTheme="minorHAnsi" w:cstheme="minorHAnsi"/>
        </w:rPr>
        <w:t>oss of microbial diversity</w:t>
      </w:r>
      <w:r w:rsidR="005156D0" w:rsidRPr="008D4EF3">
        <w:rPr>
          <w:rFonts w:asciiTheme="minorHAnsi" w:hAnsiTheme="minorHAnsi" w:cstheme="minorHAnsi"/>
        </w:rPr>
        <w:t xml:space="preserve">; 2) loss of beneficial microbes which are part of the nitrate-nitrite-nitric pathway exposing the host to carcinogenic metabolites and detrimental vascular changes </w:t>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{"citationID":"w88lIEJu","properties":{"formattedCitation":"[2]","plainCitation":"[2]","noteIndex":0},"citationItems":[{"id":1115,"uris":["http://zotero.org/users/7286058/items/GU4U7ZXD"],"itemData":{"id":1115,"type":"article-journal","abstract":"Mammalian immune system development depends on instruction from resident commensal microorganisms. Diseases associated with abnormal immune responses towards environmental and self antigens have been rapidly increasing over the last 50 years. These diseases include inflammatory bowel disease (IBD), multiple sclerosis (MS), type I diabetes (T1D), allergies and asthma. The observation that people with immune mediated diseases house a different microbial community when compared to healthy individuals suggests that pathogenesis arises from improper training of the immune system by the microbiota. However, with hundreds of different microorganisms on our bodies it is hard to know which of these contribute to health and more importantly how? Microbiologists studying pathogenic organisms have long adhered to Koch's postulates to directly relate a certain disease to a specific microbe, raising the question of whether this might be true of commensal–host relationships as well. Emerging evidence supports that rather than one or two dominant organisms inducing host health, the composition of the entire community of microbial residents influences a balanced immune response. Thus, perturbations to the structure of complex commensal communities (referred to as dysbiosis) can lead to deficient education of the host immune system and subsequent development of immune mediated diseases. Here we will overview the literature that describes the causes of dysbiosis and the mechanisms evolved by the host to prevent these changes to community structure. Building off these studies, we will categorize the different types of dysbiosis and define how collections of microorganisms can influence the host response. This research has broad implications for future therapies that go beyond the introduction of a single organism to induce health. We propose that identifying mechanisms to re-establish a healthy complex microbiota after dysbiosis has occurred, a process we will refer to as rebiosis, will be fundamental to treating complex immune diseases.","container-title":"Cellular Microbiology","DOI":"10.1111/cmi.12308","ISSN":"1462-5822","issue":"7","language":"en","note":"_eprint: https://onlinelibrary.wiley.com/doi/pdf/10.1111/cmi.12308","page":"1024-1033","source":"Wiley Online Library","title":"Defining dysbiosis and its influence on host immunity and disease","URL":"http://onlinelibrary.wiley.com/doi/abs/10.1111/cmi.12308","volume":"16","author":[{"family":"Petersen","given":"Charisse"},{"family":"Round","given":"June L."}],"accessed":{"date-parts":[["2022",4,3]]},"issued":{"date-parts":[["2014"]]}}}],"schema":"https://github.com/citation-style-language/schema/raw/master/csl-citation.json"}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[2]</w:t>
      </w:r>
      <w:r w:rsidR="00D830DB" w:rsidRPr="008D4EF3">
        <w:rPr>
          <w:rFonts w:asciiTheme="minorHAnsi" w:hAnsiTheme="minorHAnsi" w:cstheme="minorHAnsi"/>
        </w:rPr>
        <w:fldChar w:fldCharType="end"/>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{"citationID":"ZS9UuUAH","properties":{"formattedCitation":"[3]","plainCitation":"[3]","noteIndex":0},"citationItems":[{"id":1121,"uris":["http://zotero.org/users/7286058/items/33JTBVMG"],"itemData":{"id":1121,"type":"article-journal","abstract":"Microbes appear in every corner of human life, and microbes affect every aspect of human life. The human oral cavity contains a number of different habitats. Synergy and interaction of variable oral microorganisms help human body against invasion of undesirable stimulation outside. However, imbalance of microbial ﬂora contributes to oral diseases and systemic diseases. Oral microbiomes play an important role in the human microbial community and human health. The use of recently developed molecular methods has greatly expanded our knowledge of the composition and function of the oral microbiome in health and disease. Studies in oral microbiomes and their interactions with microbiomes in variable body sites and variable health condition are critical in our cognition of our body and how to make effect on human health improvement.","container-title":"Protein &amp; Cell","DOI":"10.1007/s13238-018-0548-1","ISSN":"1674-800X, 1674-8018","issue":"5","journalAbbreviation":"Protein Cell","language":"en","page":"488-500","source":"DOI.org (Crossref)","title":"Oral microbiomes: more and more importance in oral cavity and whole body","title-short":"Oral microbiomes","URL":"http://link.springer.com/10.1007/s13238-018-0548-1","volume":"9","author":[{"family":"Gao","given":"Lu"},{"family":"Xu","given":"Tiansong"},{"family":"Huang","given":"Gang"},{"family":"Jiang","given":"Song"},{"family":"Gu","given":"Yan"},{"family":"Chen","given":"Feng"}],"accessed":{"date-parts":[["2022",4,3]]},"issued":{"date-parts":[["2018",5]]}}}],"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[3]</w:t>
      </w:r>
      <w:r w:rsidR="00D830DB" w:rsidRPr="008D4EF3">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{"citationID":"ExrZ5NW5","properties":{"formattedCitation":"[4]","plainCitation":"[4]","noteIndex":0},"citationItems":[{"id":1087,"uris":["http://zotero.org/users/7286058/items/9V7GEGUA"],"itemData":{"id":1087,"type":"article-journal","container-title":"Periodontology 2000","DOI":"10.1111/prd.12002","ISSN":"0906-6713","issue":"1","journalAbbreviation":"Periodontol 2000","note":"PMID: 24320956\nPMCID: PMC4500791","page":"57-80","source":"PubMed Central","title":"Inflammatory and immune pathways in the pathogenesis of periodontal disease","URL":"https://www.ncbi.nlm.nih.gov/pmc/articles/PMC4500791/","volume":"64","author":[{"family":"Cekici","given":"Ali"},{"family":"Kantarci","given":"Alpdogan"},{"family":"Hasturk","given":"Hatice"},{"family":"Van Dyke","given":"Thomas E."}],"accessed":{"date-parts":[["2022",4,2]]},"issued":{"date-parts":[["2014",2]]}}}],"schema":"https://github.com/citation-style-language/schema/raw/master/csl-citation.json"}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[4]</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{"citationID":"2bZ6BwdG","properties":{"formattedCitation":"[5]","plainCitation":"[5]","noteIndex":0},"citationItems":[{"id":1091,"uris":["http://zotero.org/users/7286058/items/GG3YL9KE"],"itemData":{"id":1091,"type":"article-journal","abstract":"The current paradigm of onset and progression of periodontitis includes oral dysbiosis directed by inﬂammophilic bacteria, leading to altered resolution of inﬂammation and lack of regulation of the inﬂammatory responses. In the construction of explanatory models of the etiopathogenesis of periodontal disease, autoimmune mechanisms were among the ﬁrst to be explored and historically, for more than ﬁve decades, they have been described in an isolated manner as part of the tissue damage process observed in periodontitis, however direct participation of these mechanisms in the tissue damage is still controversial. Autoimmunity is affected by genetic and environmental factors, leading to an imbalance between the effector and regulatory responses, mostly associated with failed resolution mechanisms. However, dysbiosis/infection and chronic inﬂammation could trigger autoimmunity by several mechanisms including bystander activation, dysregulation of toll-like receptors, ampliﬁcation of autoimmunity by cytokines, epitope spreading, autoantigens complementarity, autoantigens overproduction, microbial translocation, molecular mimicry, superantigens, and activation or inhibition of receptors related to autoimmunity by microorganisms. Even though autoreactivity in periodontitis is biologically plausible, the associated mechanisms could be related to non-pathologic responses which could even explain non-recognized physiological functions. In this review we shall discuss from a descriptive point of view, the autoimmune mechanisms related to periodontitis physio-pathogenesis and the participation of oral dysbiosis on local periodontal autoimmune responses as well as on different systemic inﬂammatory diseases.","container-title":"Frontiers in Immunology","DOI":"10.3389/fimmu.2020.591255","ISSN":"1664-3224","journalAbbreviation":"Front. Immunol.","language":"en","page":"591255","source":"DOI.org (Crossref)","title":"Oral Dysbiosis and Autoimmunity: From Local Periodontal Responses to an Imbalanced Systemic Immunity. A Review","title-short":"Oral Dysbiosis and Autoimmunity","URL":"https://www.frontiersin.org/articles/10.3389/fimmu.2020.591255/full","volume":"11","author":[{"family":"Suárez","given":"Lina J."},{"family":"Garzón","given":"Hernan"},{"family":"Arboleda","given":"Silie"},{"family":"Rodríguez","given":"Adriana"}],"accessed":{"date-parts":[["2022",4,2]]},"issued":{"date-parts":[["2020",12,8]]}}}],"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[5]</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{"citationID":"fDLDIvsR","properties":{"formattedCitation":"[6]","plainCitation":"[6]","noteIndex":0},"citationItems":[{"id":1086,"uris":["http://zotero.org/users/7286058/items/DJFILDBP"],"itemData":{"id":1086,"type":"article-journal","abstract":"The oralome is the summary of the dynamic interactions orchestrated between the ecological community of oral microorganisms (comprised of up to approximately 1000 species of bacteria, fungi, viruses, archaea and protozoa - the oral microbiome) that live in the oral cavity and the host. These microorganisms form a complex ecosystem that thrive in the dynamic oral environment in a symbiotic relationship with the human host. However, the microbial composition is signiﬁcantly affected by interspecies and host-microbial interactions, which in turn, can impact the health and disease status of the host. In this review, we discuss the composition of the oralome and inter-species and host-microbial interactions that take place in the oral cavity and examine how these interactions change from healthy (eubiotic) to disease (dysbiotic) states. We further discuss the dysbiotic signatures associated with periodontitis and caries and their sequalae, (e.g., tooth/bone loss and pulpitis), and the systemic diseases associated with these oral diseases, such as infective endocarditis, atherosclerosis, diabetes, Alzheimer’s disease and head and neck/oral cancer. We then discuss current computational techniques to assess dysbiotic oral microbiome changes. Lastly, we discuss current and novel techniques for modulation of the dysbiotic oral microbiome that may help in disease prevention and treatment, including standard hygiene methods, prebiotics, probiotics, use of nano-sized drug delivery systems (nano-DDS), extracellular polymeric matrix (EPM) disruption, and host response modulators.","container-title":"Computational and Structural Biotechnology Journal","DOI":"10.1016/j.csbj.2021.02.010","ISSN":"20010370","journalAbbreviation":"Computational and Structural Biotechnology Journal","language":"en","page":"1335-1360","source":"DOI.org (Crossref)","title":"The oralome and its dysbiosis: New insights into oral microbiome-host interactions","title-short":"The oralome and its dysbiosis","URL":"https://linkinghub.elsevier.com/retrieve/pii/S2001037021000611","volume":"19","author":[{"family":"Radaic","given":"Allan"},{"family":"Kapila","given":"Yvonne L."}],"accessed":{"date-parts":[["2022",4,2]]},"issued":{"date-parts":[["2021"]]}}}],"schema":"https://github.com/citation-style-language/schema/raw/master/csl-citation.json"}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[6]</w:t>
      </w:r>
      <w:r w:rsidR="00155CAC">
        <w:rPr>
          <w:rFonts w:asciiTheme="minorHAnsi" w:hAnsiTheme="minorHAnsi" w:cstheme="minorHAnsi"/>
        </w:rPr>
        <w:fldChar w:fldCharType="end"/>
      </w:r>
      <w:r w:rsidR="005156D0" w:rsidRPr="008D4EF3">
        <w:rPr>
          <w:rFonts w:asciiTheme="minorHAnsi" w:hAnsiTheme="minorHAnsi" w:cstheme="minorHAnsi"/>
        </w:rPr>
        <w:t xml:space="preserve">, and 3) outgrowth of pathogens </w:t>
      </w:r>
      <w:r w:rsidR="00240F19" w:rsidRPr="008D4EF3">
        <w:rPr>
          <w:rFonts w:asciiTheme="minorHAnsi" w:hAnsiTheme="minorHAnsi" w:cstheme="minorHAnsi"/>
        </w:rPr>
        <w:t xml:space="preserve">specifically </w:t>
      </w:r>
      <w:proofErr w:type="spellStart"/>
      <w:r w:rsidR="00240F19" w:rsidRPr="008D4EF3">
        <w:rPr>
          <w:rFonts w:asciiTheme="minorHAnsi" w:hAnsiTheme="minorHAnsi" w:cstheme="minorHAnsi"/>
          <w:i/>
          <w:iCs/>
        </w:rPr>
        <w:t>P.gingivalis</w:t>
      </w:r>
      <w:proofErr w:type="spellEnd"/>
      <w:r w:rsidR="00240F19" w:rsidRPr="008D4EF3">
        <w:rPr>
          <w:rFonts w:asciiTheme="minorHAnsi" w:hAnsiTheme="minorHAnsi" w:cstheme="minorHAnsi"/>
        </w:rPr>
        <w:t xml:space="preserve">, </w:t>
      </w:r>
      <w:proofErr w:type="spellStart"/>
      <w:r w:rsidR="00240F19" w:rsidRPr="008D4EF3">
        <w:rPr>
          <w:rFonts w:asciiTheme="minorHAnsi" w:hAnsiTheme="minorHAnsi" w:cstheme="minorHAnsi"/>
          <w:i/>
          <w:iCs/>
        </w:rPr>
        <w:t>F.nucleatum</w:t>
      </w:r>
      <w:proofErr w:type="spellEnd"/>
      <w:r w:rsidR="00240F19" w:rsidRPr="008D4EF3">
        <w:rPr>
          <w:rFonts w:asciiTheme="minorHAnsi" w:hAnsiTheme="minorHAnsi" w:cstheme="minorHAnsi"/>
        </w:rPr>
        <w:t xml:space="preserve"> which have been associated to </w:t>
      </w:r>
      <w:r w:rsidR="00996D09" w:rsidRPr="008D4EF3">
        <w:rPr>
          <w:rFonts w:asciiTheme="minorHAnsi" w:hAnsiTheme="minorHAnsi" w:cstheme="minorHAnsi"/>
        </w:rPr>
        <w:t>periodontal</w:t>
      </w:r>
      <w:r w:rsidR="00240F19" w:rsidRPr="008D4EF3">
        <w:rPr>
          <w:rFonts w:asciiTheme="minorHAnsi" w:hAnsiTheme="minorHAnsi" w:cstheme="minorHAnsi"/>
        </w:rPr>
        <w:t xml:space="preserve"> disease, various cancers (head, neck, colorectal), atherosclerosis,  and Alzheimer’s disease</w:t>
      </w:r>
      <w:r w:rsidR="003D77C8" w:rsidRPr="008D4EF3">
        <w:rPr>
          <w:rFonts w:asciiTheme="minorHAnsi" w:hAnsiTheme="minorHAnsi" w:cstheme="minorHAnsi"/>
        </w:rPr>
        <w:t>:</w:t>
      </w:r>
    </w:p>
    <w:p w14:paraId="787AA375" w14:textId="060ACBC0" w:rsidR="003D77C8" w:rsidRPr="004F74C4" w:rsidRDefault="003D77C8"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P.gingivalis</w:t>
      </w:r>
      <w:proofErr w:type="spellEnd"/>
      <w:proofErr w:type="gramEnd"/>
      <w:r w:rsidRPr="004F74C4">
        <w:rPr>
          <w:rFonts w:cstheme="minorHAnsi"/>
          <w:sz w:val="24"/>
          <w:szCs w:val="24"/>
        </w:rPr>
        <w:t xml:space="preserve">: a variety of studies have shown that </w:t>
      </w:r>
      <w:proofErr w:type="spellStart"/>
      <w:r w:rsidRPr="004F02B2">
        <w:rPr>
          <w:rFonts w:cstheme="minorHAnsi"/>
          <w:i/>
          <w:iCs/>
          <w:sz w:val="24"/>
          <w:szCs w:val="24"/>
        </w:rPr>
        <w:t>P.gingivalis</w:t>
      </w:r>
      <w:proofErr w:type="spellEnd"/>
      <w:r w:rsidRPr="004F74C4">
        <w:rPr>
          <w:rFonts w:cstheme="minorHAnsi"/>
          <w:sz w:val="24"/>
          <w:szCs w:val="24"/>
        </w:rPr>
        <w:t xml:space="preserve">, led to a significant increase in </w:t>
      </w:r>
      <w:r w:rsidRPr="004F74C4">
        <w:rPr>
          <w:rFonts w:cstheme="minorHAnsi"/>
          <w:sz w:val="24"/>
          <w:szCs w:val="24"/>
        </w:rPr>
        <w:sym w:font="Symbol" w:char="F061"/>
      </w:r>
      <w:r w:rsidRPr="004F74C4">
        <w:rPr>
          <w:rFonts w:cstheme="minorHAnsi"/>
          <w:sz w:val="24"/>
          <w:szCs w:val="24"/>
        </w:rPr>
        <w:t xml:space="preserve">-defensin, boosting oral squamous cell carcinoma (OSCC) cell proliferation, induced </w:t>
      </w:r>
      <w:r w:rsidRPr="004F74C4">
        <w:rPr>
          <w:rFonts w:cstheme="minorHAnsi"/>
          <w:sz w:val="24"/>
          <w:szCs w:val="24"/>
        </w:rPr>
        <w:sym w:font="Symbol" w:char="F062"/>
      </w:r>
      <w:r w:rsidRPr="004F74C4">
        <w:rPr>
          <w:rFonts w:cstheme="minorHAnsi"/>
          <w:sz w:val="24"/>
          <w:szCs w:val="24"/>
        </w:rPr>
        <w:t>-catenin</w:t>
      </w:r>
      <w:r w:rsidRPr="004F74C4">
        <w:rPr>
          <w:rFonts w:cstheme="minorHAnsi"/>
          <w:sz w:val="24"/>
          <w:szCs w:val="24"/>
        </w:rPr>
        <w:t xml:space="preserve"> destruction complex by gingipain-dependent proteolytic processing, contributing to cancer pathogenesis</w:t>
      </w:r>
      <w:r w:rsidR="0091491D" w:rsidRPr="004F74C4">
        <w:rPr>
          <w:rFonts w:cstheme="minorHAnsi"/>
          <w:sz w:val="24"/>
          <w:szCs w:val="24"/>
        </w:rPr>
        <w:t>, and activated PI3K pathway</w:t>
      </w:r>
      <w:r w:rsidR="00776A01">
        <w:rPr>
          <w:rFonts w:cstheme="minorHAnsi"/>
          <w:sz w:val="24"/>
          <w:szCs w:val="24"/>
        </w:rPr>
        <w:t>,</w:t>
      </w:r>
      <w:r w:rsidR="0091491D" w:rsidRPr="004F74C4">
        <w:rPr>
          <w:rFonts w:cstheme="minorHAnsi"/>
          <w:sz w:val="24"/>
          <w:szCs w:val="24"/>
        </w:rPr>
        <w:t xml:space="preserve"> promoting proliferation of gingival epithelia cells.</w:t>
      </w:r>
    </w:p>
    <w:p w14:paraId="3B2AA561" w14:textId="32764FE4" w:rsidR="0091491D" w:rsidRDefault="0091491D"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lastRenderedPageBreak/>
        <w:t>F.nucleatum</w:t>
      </w:r>
      <w:proofErr w:type="spellEnd"/>
      <w:proofErr w:type="gramEnd"/>
      <w:r w:rsidRPr="004F74C4">
        <w:rPr>
          <w:rFonts w:cstheme="minorHAnsi"/>
          <w:sz w:val="24"/>
          <w:szCs w:val="24"/>
        </w:rPr>
        <w:t xml:space="preserve">: was found to </w:t>
      </w:r>
      <w:r w:rsidR="00FD2030">
        <w:rPr>
          <w:rFonts w:cstheme="minorHAnsi"/>
          <w:sz w:val="24"/>
          <w:szCs w:val="24"/>
        </w:rPr>
        <w:t xml:space="preserve">contribute to </w:t>
      </w:r>
      <w:r w:rsidRPr="004F74C4">
        <w:rPr>
          <w:rFonts w:cstheme="minorHAnsi"/>
          <w:sz w:val="24"/>
          <w:szCs w:val="24"/>
        </w:rPr>
        <w:t>colorectal cancer growth via T</w:t>
      </w:r>
      <w:r w:rsidR="0071509A" w:rsidRPr="004F74C4">
        <w:rPr>
          <w:rFonts w:cstheme="minorHAnsi"/>
          <w:sz w:val="24"/>
          <w:szCs w:val="24"/>
        </w:rPr>
        <w:t xml:space="preserve">LR4, myeloid differentiation primary response 88 (MyD88) protein activation, and upregulation of microRNA 81a and 4802. </w:t>
      </w:r>
      <w:r w:rsidRPr="004F74C4">
        <w:rPr>
          <w:rFonts w:cstheme="minorHAnsi"/>
          <w:sz w:val="24"/>
          <w:szCs w:val="24"/>
        </w:rPr>
        <w:t xml:space="preserve"> </w:t>
      </w:r>
      <w:r w:rsidR="00A31CC3" w:rsidRPr="004F74C4">
        <w:rPr>
          <w:rFonts w:cstheme="minorHAnsi"/>
          <w:sz w:val="24"/>
          <w:szCs w:val="24"/>
        </w:rPr>
        <w:t>When bacterial lipopolysaccharides (LPS)-mediated activation of TLR4 are overproduced, they can damage small blood vessels, can</w:t>
      </w:r>
      <w:r w:rsidR="004F74C4">
        <w:rPr>
          <w:rFonts w:cstheme="minorHAnsi"/>
          <w:sz w:val="24"/>
          <w:szCs w:val="24"/>
        </w:rPr>
        <w:t xml:space="preserve"> c</w:t>
      </w:r>
      <w:r w:rsidR="00A31CC3" w:rsidRPr="004F74C4">
        <w:rPr>
          <w:rFonts w:cstheme="minorHAnsi"/>
          <w:sz w:val="24"/>
          <w:szCs w:val="24"/>
        </w:rPr>
        <w:t xml:space="preserve">ause disseminated intravascular coagulation and multiple organ failures. </w:t>
      </w:r>
    </w:p>
    <w:p w14:paraId="7FE3A861" w14:textId="7969BA20" w:rsidR="00CC60D3" w:rsidRDefault="00893732" w:rsidP="004F74C4">
      <w:pPr>
        <w:pStyle w:val="ListParagraph"/>
        <w:numPr>
          <w:ilvl w:val="0"/>
          <w:numId w:val="34"/>
        </w:numPr>
        <w:rPr>
          <w:rFonts w:cstheme="minorHAnsi"/>
          <w:sz w:val="24"/>
          <w:szCs w:val="24"/>
        </w:rPr>
      </w:pPr>
      <w:r w:rsidRPr="009A1D5E">
        <w:rPr>
          <w:rFonts w:cstheme="minorHAnsi"/>
          <w:i/>
          <w:iCs/>
          <w:sz w:val="24"/>
          <w:szCs w:val="24"/>
        </w:rPr>
        <w:t>S100A8</w:t>
      </w:r>
      <w:r w:rsidR="009A1D5E">
        <w:rPr>
          <w:rFonts w:cstheme="minorHAnsi"/>
          <w:i/>
          <w:iCs/>
          <w:sz w:val="24"/>
          <w:szCs w:val="24"/>
        </w:rPr>
        <w:t>/</w:t>
      </w:r>
      <w:r w:rsidRPr="009A1D5E">
        <w:rPr>
          <w:rFonts w:cstheme="minorHAnsi"/>
          <w:i/>
          <w:iCs/>
          <w:sz w:val="24"/>
          <w:szCs w:val="24"/>
        </w:rPr>
        <w:t>A9</w:t>
      </w:r>
      <w:r w:rsidR="009A1D5E" w:rsidRPr="009A1D5E">
        <w:rPr>
          <w:rFonts w:cstheme="minorHAnsi"/>
          <w:i/>
          <w:iCs/>
          <w:sz w:val="24"/>
          <w:szCs w:val="24"/>
        </w:rPr>
        <w:t xml:space="preserve"> </w:t>
      </w:r>
      <w:r w:rsidR="00357696" w:rsidRPr="009A1D5E">
        <w:rPr>
          <w:rFonts w:cstheme="minorHAnsi"/>
          <w:i/>
          <w:iCs/>
          <w:sz w:val="24"/>
          <w:szCs w:val="24"/>
        </w:rPr>
        <w:t>in saliva</w:t>
      </w:r>
      <w:r>
        <w:rPr>
          <w:rFonts w:cstheme="minorHAnsi"/>
          <w:sz w:val="24"/>
          <w:szCs w:val="24"/>
        </w:rPr>
        <w:t xml:space="preserve">: are two inflammatory calcium-binding S100 proteins, </w:t>
      </w:r>
      <w:r w:rsidR="009A1D5E">
        <w:rPr>
          <w:rFonts w:cstheme="minorHAnsi"/>
          <w:sz w:val="24"/>
          <w:szCs w:val="24"/>
        </w:rPr>
        <w:t xml:space="preserve">and </w:t>
      </w:r>
      <w:r>
        <w:rPr>
          <w:rFonts w:cstheme="minorHAnsi"/>
          <w:sz w:val="24"/>
          <w:szCs w:val="24"/>
        </w:rPr>
        <w:t>were associated with rheumatic diseases. S1009A has also been reported to increase IL-6 production and RANKL expressions in osteolysis</w:t>
      </w:r>
      <w:r w:rsidR="00155CAC">
        <w:rPr>
          <w:rFonts w:cstheme="minorHAnsi"/>
          <w:sz w:val="24"/>
          <w:szCs w:val="24"/>
        </w:rPr>
        <w:t xml:space="preserve"> </w:t>
      </w:r>
      <w:r w:rsidR="00155CAC">
        <w:rPr>
          <w:rFonts w:cstheme="minorHAnsi"/>
          <w:sz w:val="24"/>
          <w:szCs w:val="24"/>
        </w:rPr>
        <w:fldChar w:fldCharType="begin"/>
      </w:r>
      <w:r w:rsidR="00155CAC">
        <w:rPr>
          <w:rFonts w:cstheme="minorHAnsi"/>
          <w:sz w:val="24"/>
          <w:szCs w:val="24"/>
        </w:rPr>
        <w:instrText xml:space="preserve"> ADDIN ZOTERO_ITEM CSL_CITATION {"citationID":"STmT19Hu","properties":{"formattedCitation":"[7]","plainCitation":"[7]","noteIndex":0},"citationItems":[{"id":1093,"uris":["http://zotero.org/users/7286058/items/3T7WAS35"],"itemData":{"id":1093,"type":"article-journal","abstract":"Signaling crosstalk between complement and Toll-like receptors (TLRs) normally serves to coordinate host immunity. However, the periodontal bacterium Porphyromonas gingivalis expresses C5 convertaselike enzymatic activity and adeptly exploits complement–TLR crosstalk to subvert host defenses and escape elimination. Intriguingly, this defective immune surveillance leads to the remodeling of the periodontal microbiota to a dysbiotic state that causes inﬂammatory periodontitis. Understanding the mechanisms by which P. gingivalis modulates complement function to cause dysbiosis offers new targets for complement therapeutics.","container-title":"Immunobiology","DOI":"10.1016/j.imbio.2012.07.007","ISSN":"01712985","issue":"11","journalAbbreviation":"Immunobiology","language":"en","page":"1111-1116","source":"DOI.org (Crossref)","title":"Complement and dysbiosis in periodontal disease","URL":"https://linkinghub.elsevier.com/retrieve/pii/S0171298512001714","volume":"217","author":[{"family":"Hajishengallis","given":"George"},{"family":"Lambris","given":"John D."}],"accessed":{"date-parts":[["2022",4,2]]},"issued":{"date-parts":[["2012",11]]}}}],"schema":"https://github.com/citation-style-language/schema/raw/master/csl-citation.json"} </w:instrText>
      </w:r>
      <w:r w:rsidR="00155CAC">
        <w:rPr>
          <w:rFonts w:cstheme="minorHAnsi"/>
          <w:sz w:val="24"/>
          <w:szCs w:val="24"/>
        </w:rPr>
        <w:fldChar w:fldCharType="separate"/>
      </w:r>
      <w:r w:rsidR="00155CAC">
        <w:rPr>
          <w:rFonts w:cstheme="minorHAnsi"/>
          <w:noProof/>
          <w:sz w:val="24"/>
          <w:szCs w:val="24"/>
        </w:rPr>
        <w:t>[7]</w:t>
      </w:r>
      <w:r w:rsidR="00155CAC">
        <w:rPr>
          <w:rFonts w:cstheme="minorHAnsi"/>
          <w:sz w:val="24"/>
          <w:szCs w:val="24"/>
        </w:rPr>
        <w:fldChar w:fldCharType="end"/>
      </w:r>
      <w:r>
        <w:rPr>
          <w:rFonts w:cstheme="minorHAnsi"/>
          <w:sz w:val="24"/>
          <w:szCs w:val="24"/>
        </w:rPr>
        <w:t xml:space="preserve">. </w:t>
      </w:r>
    </w:p>
    <w:p w14:paraId="5E6F88DE" w14:textId="754835BC" w:rsidR="00664264" w:rsidRPr="00664264" w:rsidRDefault="0051616D" w:rsidP="00664264">
      <w:pPr>
        <w:pStyle w:val="ListParagraph"/>
        <w:numPr>
          <w:ilvl w:val="0"/>
          <w:numId w:val="34"/>
        </w:numPr>
        <w:rPr>
          <w:rFonts w:cstheme="minorHAnsi"/>
          <w:sz w:val="24"/>
          <w:szCs w:val="24"/>
        </w:rPr>
      </w:pPr>
      <w:r w:rsidRPr="00664264">
        <w:rPr>
          <w:rFonts w:cstheme="minorHAnsi"/>
          <w:sz w:val="24"/>
          <w:szCs w:val="24"/>
        </w:rPr>
        <w:t>Periodontal disease (</w:t>
      </w:r>
      <w:proofErr w:type="spellStart"/>
      <w:r w:rsidRPr="00664264">
        <w:rPr>
          <w:rFonts w:cstheme="minorHAnsi"/>
          <w:b/>
          <w:bCs/>
          <w:sz w:val="24"/>
          <w:szCs w:val="24"/>
        </w:rPr>
        <w:t>PerioD</w:t>
      </w:r>
      <w:proofErr w:type="spellEnd"/>
      <w:r w:rsidRPr="00664264">
        <w:rPr>
          <w:rFonts w:cstheme="minorHAnsi"/>
          <w:sz w:val="24"/>
          <w:szCs w:val="24"/>
        </w:rPr>
        <w:t>) affects more than 50% of elderly peop</w:t>
      </w:r>
      <w:r w:rsidR="001D3ECA" w:rsidRPr="00664264">
        <w:rPr>
          <w:rFonts w:cstheme="minorHAnsi"/>
          <w:sz w:val="24"/>
          <w:szCs w:val="24"/>
        </w:rPr>
        <w:t>l</w:t>
      </w:r>
      <w:r w:rsidRPr="00664264">
        <w:rPr>
          <w:rFonts w:cstheme="minorHAnsi"/>
          <w:sz w:val="24"/>
          <w:szCs w:val="24"/>
        </w:rPr>
        <w:t>e.</w:t>
      </w:r>
      <w:r w:rsidR="001D3ECA" w:rsidRPr="00664264">
        <w:rPr>
          <w:rFonts w:cstheme="minorHAnsi"/>
          <w:sz w:val="24"/>
          <w:szCs w:val="24"/>
        </w:rPr>
        <w:t xml:space="preserve"> Amyloid-</w:t>
      </w:r>
      <w:r w:rsidR="004B1500" w:rsidRPr="00664264">
        <w:rPr>
          <w:rFonts w:cstheme="minorHAnsi"/>
          <w:sz w:val="24"/>
          <w:szCs w:val="24"/>
        </w:rPr>
        <w:sym w:font="Symbol" w:char="F062"/>
      </w:r>
      <w:r w:rsidR="001D3ECA" w:rsidRPr="00664264">
        <w:rPr>
          <w:rFonts w:cstheme="minorHAnsi"/>
          <w:sz w:val="24"/>
          <w:szCs w:val="24"/>
        </w:rPr>
        <w:t xml:space="preserve"> (A</w:t>
      </w:r>
      <w:r w:rsidR="004B1500" w:rsidRPr="00664264">
        <w:rPr>
          <w:rFonts w:cstheme="minorHAnsi"/>
          <w:sz w:val="24"/>
          <w:szCs w:val="24"/>
        </w:rPr>
        <w:sym w:font="Symbol" w:char="F062"/>
      </w:r>
      <w:r w:rsidR="001D3ECA" w:rsidRPr="00664264">
        <w:rPr>
          <w:rFonts w:cstheme="minorHAnsi"/>
          <w:sz w:val="24"/>
          <w:szCs w:val="24"/>
        </w:rPr>
        <w:t>) plaques are hallmarks of Alzheimer’s disease</w:t>
      </w:r>
      <w:r w:rsidR="00DC365D" w:rsidRPr="00664264">
        <w:rPr>
          <w:rFonts w:cstheme="minorHAnsi"/>
          <w:sz w:val="24"/>
          <w:szCs w:val="24"/>
        </w:rPr>
        <w:t xml:space="preserve"> (AD)</w:t>
      </w:r>
      <w:r w:rsidR="001D3ECA" w:rsidRPr="00664264">
        <w:rPr>
          <w:rFonts w:cstheme="minorHAnsi"/>
          <w:sz w:val="24"/>
          <w:szCs w:val="24"/>
        </w:rPr>
        <w:t xml:space="preserve">. In </w:t>
      </w:r>
      <w:r w:rsidR="004B1500" w:rsidRPr="00664264">
        <w:rPr>
          <w:rFonts w:cstheme="minorHAnsi"/>
          <w:sz w:val="24"/>
          <w:szCs w:val="24"/>
        </w:rPr>
        <w:t xml:space="preserve">a </w:t>
      </w:r>
      <w:r w:rsidR="001D3ECA" w:rsidRPr="00664264">
        <w:rPr>
          <w:rFonts w:cstheme="minorHAnsi"/>
          <w:sz w:val="24"/>
          <w:szCs w:val="24"/>
        </w:rPr>
        <w:t xml:space="preserve">recent NYU </w:t>
      </w:r>
      <w:r w:rsidR="004B1500" w:rsidRPr="00664264">
        <w:rPr>
          <w:rFonts w:cstheme="minorHAnsi"/>
          <w:sz w:val="24"/>
          <w:szCs w:val="24"/>
        </w:rPr>
        <w:t>study, 48</w:t>
      </w:r>
      <w:r w:rsidR="001D3ECA" w:rsidRPr="00664264">
        <w:rPr>
          <w:rFonts w:cstheme="minorHAnsi"/>
          <w:sz w:val="24"/>
          <w:szCs w:val="24"/>
        </w:rPr>
        <w:t xml:space="preserve"> patients were divided into two groups: one with CSF A</w:t>
      </w:r>
      <w:r w:rsidR="004B1500" w:rsidRPr="00664264">
        <w:rPr>
          <w:rFonts w:cstheme="minorHAnsi"/>
          <w:sz w:val="24"/>
          <w:szCs w:val="24"/>
        </w:rPr>
        <w:sym w:font="Symbol" w:char="F062"/>
      </w:r>
      <w:r w:rsidR="004B1500" w:rsidRPr="00664264">
        <w:rPr>
          <w:rFonts w:cstheme="minorHAnsi"/>
          <w:sz w:val="24"/>
          <w:szCs w:val="24"/>
        </w:rPr>
        <w:t xml:space="preserve">42 levels &lt; 600 </w:t>
      </w:r>
      <w:proofErr w:type="spellStart"/>
      <w:r w:rsidR="004B1500" w:rsidRPr="00664264">
        <w:rPr>
          <w:rFonts w:cstheme="minorHAnsi"/>
          <w:sz w:val="24"/>
          <w:szCs w:val="24"/>
        </w:rPr>
        <w:t>pg</w:t>
      </w:r>
      <w:proofErr w:type="spellEnd"/>
      <w:r w:rsidR="004B1500" w:rsidRPr="00664264">
        <w:rPr>
          <w:rFonts w:cstheme="minorHAnsi"/>
          <w:sz w:val="24"/>
          <w:szCs w:val="24"/>
        </w:rPr>
        <w:t xml:space="preserve">/mL and &gt;= </w:t>
      </w:r>
      <w:r w:rsidR="004B1500" w:rsidRPr="00664264">
        <w:rPr>
          <w:rFonts w:cstheme="minorHAnsi"/>
          <w:sz w:val="24"/>
          <w:szCs w:val="24"/>
        </w:rPr>
        <w:t xml:space="preserve">600 </w:t>
      </w:r>
      <w:proofErr w:type="spellStart"/>
      <w:r w:rsidR="004B1500" w:rsidRPr="00664264">
        <w:rPr>
          <w:rFonts w:cstheme="minorHAnsi"/>
          <w:sz w:val="24"/>
          <w:szCs w:val="24"/>
        </w:rPr>
        <w:t>pg</w:t>
      </w:r>
      <w:proofErr w:type="spellEnd"/>
      <w:r w:rsidR="004B1500" w:rsidRPr="00664264">
        <w:rPr>
          <w:rFonts w:cstheme="minorHAnsi"/>
          <w:sz w:val="24"/>
          <w:szCs w:val="24"/>
        </w:rPr>
        <w:t>/</w:t>
      </w:r>
      <w:proofErr w:type="spellStart"/>
      <w:r w:rsidR="004B1500" w:rsidRPr="00664264">
        <w:rPr>
          <w:rFonts w:cstheme="minorHAnsi"/>
          <w:sz w:val="24"/>
          <w:szCs w:val="24"/>
        </w:rPr>
        <w:t>mL</w:t>
      </w:r>
      <w:r w:rsidR="004B1500" w:rsidRPr="00664264">
        <w:rPr>
          <w:rFonts w:cstheme="minorHAnsi"/>
          <w:sz w:val="24"/>
          <w:szCs w:val="24"/>
        </w:rPr>
        <w:t>.</w:t>
      </w:r>
      <w:proofErr w:type="spellEnd"/>
      <w:r w:rsidR="004B1500" w:rsidRPr="00664264">
        <w:rPr>
          <w:rFonts w:cstheme="minorHAnsi"/>
          <w:sz w:val="24"/>
          <w:szCs w:val="24"/>
        </w:rPr>
        <w:t xml:space="preserve"> Researchers showed a strong correlation between </w:t>
      </w:r>
      <w:proofErr w:type="spellStart"/>
      <w:r w:rsidR="004B1500" w:rsidRPr="00664264">
        <w:rPr>
          <w:rFonts w:cstheme="minorHAnsi"/>
          <w:sz w:val="24"/>
          <w:szCs w:val="24"/>
        </w:rPr>
        <w:t>PerioD</w:t>
      </w:r>
      <w:proofErr w:type="spellEnd"/>
      <w:r w:rsidR="004B1500" w:rsidRPr="00664264">
        <w:rPr>
          <w:rFonts w:cstheme="minorHAnsi"/>
          <w:sz w:val="24"/>
          <w:szCs w:val="24"/>
        </w:rPr>
        <w:t xml:space="preserve"> bacterial species and greater brain A</w:t>
      </w:r>
      <w:r w:rsidR="004B1500" w:rsidRPr="00664264">
        <w:rPr>
          <w:rFonts w:cstheme="minorHAnsi"/>
          <w:sz w:val="24"/>
          <w:szCs w:val="24"/>
        </w:rPr>
        <w:sym w:font="Symbol" w:char="F062"/>
      </w:r>
      <w:r w:rsidR="004B1500" w:rsidRPr="00664264">
        <w:rPr>
          <w:rFonts w:cstheme="minorHAnsi"/>
          <w:sz w:val="24"/>
          <w:szCs w:val="24"/>
        </w:rPr>
        <w:t xml:space="preserve"> levels</w:t>
      </w:r>
      <w:r w:rsidR="00BB756D" w:rsidRPr="00664264">
        <w:rPr>
          <w:rFonts w:cstheme="minorHAnsi"/>
          <w:sz w:val="24"/>
          <w:szCs w:val="24"/>
        </w:rPr>
        <w:t>, but not with tau, another Alzheimer’s biomarker</w:t>
      </w:r>
      <w:r w:rsidR="004B1500" w:rsidRPr="00664264">
        <w:rPr>
          <w:rFonts w:cstheme="minorHAnsi"/>
          <w:sz w:val="24"/>
          <w:szCs w:val="24"/>
        </w:rPr>
        <w:t xml:space="preserve">. </w:t>
      </w:r>
      <w:r w:rsidR="00BB756D" w:rsidRPr="00664264">
        <w:rPr>
          <w:rFonts w:cstheme="minorHAnsi"/>
          <w:sz w:val="24"/>
          <w:szCs w:val="24"/>
        </w:rPr>
        <w:t xml:space="preserve">AD </w:t>
      </w:r>
      <w:r w:rsidR="00B42A8D" w:rsidRPr="00664264">
        <w:rPr>
          <w:rFonts w:cstheme="minorHAnsi"/>
          <w:sz w:val="24"/>
          <w:szCs w:val="24"/>
        </w:rPr>
        <w:t>slowly</w:t>
      </w:r>
      <w:r w:rsidR="00BB756D" w:rsidRPr="00664264">
        <w:rPr>
          <w:rFonts w:cstheme="minorHAnsi"/>
          <w:sz w:val="24"/>
          <w:szCs w:val="24"/>
        </w:rPr>
        <w:t xml:space="preserve"> </w:t>
      </w:r>
      <w:r w:rsidR="00DC365D" w:rsidRPr="00664264">
        <w:rPr>
          <w:rFonts w:cstheme="minorHAnsi"/>
          <w:sz w:val="24"/>
          <w:szCs w:val="24"/>
        </w:rPr>
        <w:t>develops</w:t>
      </w:r>
      <w:r w:rsidR="00B42A8D" w:rsidRPr="00664264">
        <w:rPr>
          <w:rFonts w:cstheme="minorHAnsi"/>
          <w:sz w:val="24"/>
          <w:szCs w:val="24"/>
        </w:rPr>
        <w:t xml:space="preserve"> </w:t>
      </w:r>
      <w:r w:rsidR="00BB756D" w:rsidRPr="00664264">
        <w:rPr>
          <w:rFonts w:cstheme="minorHAnsi"/>
          <w:sz w:val="24"/>
          <w:szCs w:val="24"/>
        </w:rPr>
        <w:t xml:space="preserve">over </w:t>
      </w:r>
      <w:r w:rsidR="00DF6CC5" w:rsidRPr="00664264">
        <w:rPr>
          <w:rFonts w:cstheme="minorHAnsi"/>
          <w:sz w:val="24"/>
          <w:szCs w:val="24"/>
        </w:rPr>
        <w:t>the years</w:t>
      </w:r>
      <w:r w:rsidR="00BB756D" w:rsidRPr="00664264">
        <w:rPr>
          <w:rFonts w:cstheme="minorHAnsi"/>
          <w:sz w:val="24"/>
          <w:szCs w:val="24"/>
        </w:rPr>
        <w:t xml:space="preserve">, a </w:t>
      </w:r>
      <w:r w:rsidR="00DC365D" w:rsidRPr="00664264">
        <w:rPr>
          <w:rFonts w:cstheme="minorHAnsi"/>
          <w:sz w:val="24"/>
          <w:szCs w:val="24"/>
        </w:rPr>
        <w:t>biosensor</w:t>
      </w:r>
      <w:r w:rsidR="00BB756D" w:rsidRPr="00664264">
        <w:rPr>
          <w:rFonts w:cstheme="minorHAnsi"/>
          <w:sz w:val="24"/>
          <w:szCs w:val="24"/>
        </w:rPr>
        <w:t xml:space="preserve"> to monitor levels of </w:t>
      </w:r>
      <w:proofErr w:type="spellStart"/>
      <w:r w:rsidR="00BB756D" w:rsidRPr="00664264">
        <w:rPr>
          <w:rFonts w:cstheme="minorHAnsi"/>
          <w:sz w:val="24"/>
          <w:szCs w:val="24"/>
        </w:rPr>
        <w:t>PerioD</w:t>
      </w:r>
      <w:proofErr w:type="spellEnd"/>
      <w:r w:rsidR="00BB756D" w:rsidRPr="00664264">
        <w:rPr>
          <w:rFonts w:cstheme="minorHAnsi"/>
          <w:sz w:val="24"/>
          <w:szCs w:val="24"/>
        </w:rPr>
        <w:t xml:space="preserve"> bacteria could help t</w:t>
      </w:r>
      <w:r w:rsidR="00B42A8D" w:rsidRPr="00664264">
        <w:rPr>
          <w:rFonts w:cstheme="minorHAnsi"/>
          <w:sz w:val="24"/>
          <w:szCs w:val="24"/>
        </w:rPr>
        <w:t>o</w:t>
      </w:r>
      <w:r w:rsidR="00BB756D" w:rsidRPr="00664264">
        <w:rPr>
          <w:rFonts w:cstheme="minorHAnsi"/>
          <w:sz w:val="24"/>
          <w:szCs w:val="24"/>
        </w:rPr>
        <w:t xml:space="preserve"> understand</w:t>
      </w:r>
      <w:r w:rsidR="00B42A8D" w:rsidRPr="00664264">
        <w:rPr>
          <w:rFonts w:cstheme="minorHAnsi"/>
          <w:sz w:val="24"/>
          <w:szCs w:val="24"/>
        </w:rPr>
        <w:t xml:space="preserve"> </w:t>
      </w:r>
      <w:r w:rsidR="00CB0D2F" w:rsidRPr="00664264">
        <w:rPr>
          <w:rFonts w:cstheme="minorHAnsi"/>
          <w:sz w:val="24"/>
          <w:szCs w:val="24"/>
        </w:rPr>
        <w:t>its progression</w:t>
      </w:r>
      <w:r w:rsidR="00B42A8D" w:rsidRPr="00664264">
        <w:rPr>
          <w:rFonts w:cstheme="minorHAnsi"/>
          <w:sz w:val="24"/>
          <w:szCs w:val="24"/>
        </w:rPr>
        <w:t>, and creat</w:t>
      </w:r>
      <w:r w:rsidR="00DC365D" w:rsidRPr="00664264">
        <w:rPr>
          <w:rFonts w:cstheme="minorHAnsi"/>
          <w:sz w:val="24"/>
          <w:szCs w:val="24"/>
        </w:rPr>
        <w:t>e</w:t>
      </w:r>
      <w:r w:rsidR="00B42A8D" w:rsidRPr="00664264">
        <w:rPr>
          <w:rFonts w:cstheme="minorHAnsi"/>
          <w:sz w:val="24"/>
          <w:szCs w:val="24"/>
        </w:rPr>
        <w:t xml:space="preserve"> prevention therapies</w:t>
      </w:r>
      <w:r w:rsidR="00155CAC">
        <w:rPr>
          <w:rFonts w:cstheme="minorHAnsi"/>
          <w:sz w:val="24"/>
          <w:szCs w:val="24"/>
        </w:rPr>
        <w:t xml:space="preserve"> </w:t>
      </w:r>
      <w:r w:rsidR="00155CAC">
        <w:rPr>
          <w:rFonts w:cstheme="minorHAnsi"/>
          <w:sz w:val="24"/>
          <w:szCs w:val="24"/>
        </w:rPr>
        <w:fldChar w:fldCharType="begin"/>
      </w:r>
      <w:r w:rsidR="00155CAC">
        <w:rPr>
          <w:rFonts w:cstheme="minorHAnsi"/>
          <w:sz w:val="24"/>
          <w:szCs w:val="24"/>
        </w:rPr>
        <w:instrText xml:space="preserve"> ADDIN ZOTERO_ITEM CSL_CITATION {"citationID":"EHFAp9P9","properties":{"formattedCitation":"[8]","plainCitation":"[8]","noteIndex":0},"citationItems":[{"id":1123,"uris":["http://zotero.org/users/7286058/items/62QHKUIN"],"itemData":{"id":1123,"type":"article-journal","abstract":"Introduction: Periodontal disease is a chronic, inflammatory bacterial dysbiosis that is associated with both Alzheimer’s disease (AD) and Down syndrome. Methods: A total of 48 elderly cognitively normal subjects were evaluated for differences in subgingival periodontal bacteria (assayed by 16S rRNA sequencing) between cerebrospinal fluid (CSF) biomarker groups of amyloid and neurofibrillary pathology. A dysbiotic index (DI) was defined at the genus level as the abundance ratio of known periodontal bacteria to healthy bacteria. Analysis of variance/analysis of covariance (ANOVA/ANCOVA), linear discriminant effect-size analyses (LEfSe) were used to determine the bacterial genera and species differences between the CSF biomarker groups.","container-title":"Alzheimer's &amp; Dementia: Diagnosis, Assessment &amp; Disease Monitoring","DOI":"10.1002/dad2.12172","ISSN":"2352-8729, 2352-8729","issue":"1","journalAbbreviation":"Alz &amp; Dem Diag Ass &amp; Dis Mo","language":"en","source":"DOI.org (Crossref)","title":"Periodontal dysbiosis associates with reduced CSF Aβ42 in cognitively normal elderly","URL":"https://onlinelibrary.wiley.com/doi/10.1002/dad2.12172","volume":"13","author":[{"family":"Kamer","given":"Angela R."},{"family":"Pushalkar","given":"Smruti"},{"family":"Gulivindala","given":"Deepthi"},{"family":"Butler","given":"Tracy"},{"family":"Li","given":"Yi"},{"family":"Annam","given":"Kumar Raghava Chowdary"},{"family":"Glodzik","given":"Lidia"},{"family":"Ballman","given":"Karla V."},{"family":"Corby","given":"Patricia M."},{"family":"Blennow","given":"Kaj"},{"family":"Zetterberg","given":"Henrik"},{"family":"Saxena","given":"Deepak"},{"family":"Leon","given":"Mony J."}],"accessed":{"date-parts":[["2022",4,3]]},"issued":{"date-parts":[["2021",1]]}}}],"schema":"https://github.com/citation-style-language/schema/raw/master/csl-citation.json"} </w:instrText>
      </w:r>
      <w:r w:rsidR="00155CAC">
        <w:rPr>
          <w:rFonts w:cstheme="minorHAnsi"/>
          <w:sz w:val="24"/>
          <w:szCs w:val="24"/>
        </w:rPr>
        <w:fldChar w:fldCharType="separate"/>
      </w:r>
      <w:r w:rsidR="00155CAC">
        <w:rPr>
          <w:rFonts w:cstheme="minorHAnsi"/>
          <w:noProof/>
          <w:sz w:val="24"/>
          <w:szCs w:val="24"/>
        </w:rPr>
        <w:t>[8]</w:t>
      </w:r>
      <w:r w:rsidR="00155CAC">
        <w:rPr>
          <w:rFonts w:cstheme="minorHAnsi"/>
          <w:sz w:val="24"/>
          <w:szCs w:val="24"/>
        </w:rPr>
        <w:fldChar w:fldCharType="end"/>
      </w:r>
      <w:r w:rsidR="00B42A8D" w:rsidRPr="00664264">
        <w:rPr>
          <w:rFonts w:cstheme="minorHAnsi"/>
          <w:sz w:val="24"/>
          <w:szCs w:val="24"/>
        </w:rPr>
        <w:t>.</w:t>
      </w:r>
      <w:r w:rsidR="00763981" w:rsidRPr="00664264">
        <w:rPr>
          <w:rFonts w:cstheme="minorHAnsi"/>
          <w:sz w:val="24"/>
          <w:szCs w:val="24"/>
        </w:rPr>
        <w:t xml:space="preserve"> </w:t>
      </w:r>
    </w:p>
    <w:p w14:paraId="45A6EAF2" w14:textId="2F90303D" w:rsidR="006642F8" w:rsidRDefault="006642F8" w:rsidP="00D830DB">
      <w:pPr>
        <w:rPr>
          <w:rFonts w:asciiTheme="minorHAnsi" w:hAnsiTheme="minorHAnsi" w:cstheme="minorHAnsi"/>
        </w:rPr>
      </w:pPr>
    </w:p>
    <w:p w14:paraId="2B33F8F6" w14:textId="5C81E653" w:rsidR="00665AB2" w:rsidRDefault="001A3C77" w:rsidP="00D830DB">
      <w:pPr>
        <w:rPr>
          <w:rFonts w:asciiTheme="minorHAnsi" w:hAnsiTheme="minorHAnsi" w:cstheme="minorHAnsi"/>
        </w:rPr>
      </w:pPr>
      <w:r>
        <w:rPr>
          <w:rFonts w:asciiTheme="minorHAnsi" w:hAnsiTheme="minorHAnsi" w:cstheme="minorHAnsi"/>
        </w:rPr>
        <w:t>Over the years, m</w:t>
      </w:r>
      <w:r w:rsidR="0036704F">
        <w:rPr>
          <w:rFonts w:asciiTheme="minorHAnsi" w:hAnsiTheme="minorHAnsi" w:cstheme="minorHAnsi"/>
        </w:rPr>
        <w:t xml:space="preserve">ost of the studies have been focused on the detection of </w:t>
      </w:r>
      <w:r w:rsidR="0036704F" w:rsidRPr="001A3C77">
        <w:rPr>
          <w:rFonts w:asciiTheme="minorHAnsi" w:hAnsiTheme="minorHAnsi" w:cstheme="minorHAnsi"/>
          <w:i/>
          <w:iCs/>
        </w:rPr>
        <w:t>E.coli</w:t>
      </w:r>
      <w:r w:rsidR="0036704F">
        <w:rPr>
          <w:rFonts w:asciiTheme="minorHAnsi" w:hAnsiTheme="minorHAnsi" w:cstheme="minorHAnsi"/>
        </w:rPr>
        <w:t xml:space="preserve"> using either SPR</w:t>
      </w:r>
      <w:r w:rsidR="003313F9">
        <w:rPr>
          <w:rFonts w:asciiTheme="minorHAnsi" w:hAnsiTheme="minorHAnsi" w:cstheme="minorHAnsi"/>
        </w:rPr>
        <w:t xml:space="preserve">, </w:t>
      </w:r>
      <w:r w:rsidR="0036704F">
        <w:rPr>
          <w:rFonts w:asciiTheme="minorHAnsi" w:hAnsiTheme="minorHAnsi" w:cstheme="minorHAnsi"/>
        </w:rPr>
        <w:t xml:space="preserve">quartz crystal microbalance (QCM),  </w:t>
      </w:r>
      <w:r w:rsidR="003313F9">
        <w:rPr>
          <w:rFonts w:asciiTheme="minorHAnsi" w:hAnsiTheme="minorHAnsi" w:cstheme="minorHAnsi"/>
        </w:rPr>
        <w:t>microcantilever</w:t>
      </w:r>
      <w:r w:rsidR="0036704F">
        <w:rPr>
          <w:rFonts w:asciiTheme="minorHAnsi" w:hAnsiTheme="minorHAnsi" w:cstheme="minorHAnsi"/>
        </w:rPr>
        <w:t xml:space="preserve">  or impedimetric based sensors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{"citationID":"FjsRA5K8","properties":{"formattedCitation":"[9]","plainCitation":"[9]","noteIndex":0},"citationItems":[{"id":1107,"uris":["http://zotero.org/users/7286058/items/5RFPXWYE"],"itemData":{"id":1107,"type":"article-journal","abstract":"Periodontitis is a complex multifactorial disease that can lead to destruction of tooth supporting tissues and subsequent tooth loss. The most recent global burden of disease studies highlight that severe periodontitis is one of the most prevalent chronic inflammatory conditions affecting humans. Periodontitis risk is attributed to genetics, host-microbiome and environmental factors. Empirical diagnostic and prognostic systems have yet to be validated in the field of periodontics. Early diagnosis and intervention prevents periodontitis progression in most patients. Increased susceptibility and suboptimal control of modifiable risk factors can result in poor response to therapy, and relapse. The chronic immune-inflammatory response to microbial biofilms at the tooth or dental implant surface is associated with systemic conditions such as cardiovascular disease, diabetes or gastrointestinal diseases. Oral fluid-based biomarkers have demonstrated easy accessibility and potential as diagnostics for oral and systemic diseases, including the identification of SARS-CoV-2 in saliva. Advances in biotechnology have led to innovations in lab-on-a-chip and biosensors to interface with oral-based biomarker assessment. This review highlights new developments in oral biomarker discovery and their validation for clinical application to advance precision oral medicine through improved diagnosis, prognosis and patient stratification. Their potential to improve clinical outcomes of periodontitis and associated chronic conditions will benefit the dental and overall public health.","container-title":"Frontiers in Pharmacology","DOI":"10.3389/fphar.2020.588480","ISSN":"1663-9812","journalAbbreviation":"Front Pharmacol","note":"PMID: 33343358\nPMCID: PMC7748088","page":"588480","source":"PubMed Central","title":"Biosensor and Lab-on-a-chip Biomarker-identifying Technologies for Oral and Periodontal Diseases","URL":"https://www.ncbi.nlm.nih.gov/pmc/articles/PMC7748088/","volume":"11","author":[{"family":"Steigmann","given":"Larissa"},{"family":"Maekawa","given":"Shogo"},{"family":"Sima","given":"Corneliu"},{"family":"Travan","given":"Suncica"},{"family":"Wang","given":"Chin-Wei"},{"family":"Giannobile","given":"William V."}],"accessed":{"date-parts":[["2022",4,2]]},"issued":{"date-parts":[["2020",11,9]]}}}],"schema":"https://github.com/citation-style-language/schema/raw/master/csl-citation.json"}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[9]</w:t>
      </w:r>
      <w:r w:rsidR="00155CAC">
        <w:rPr>
          <w:rFonts w:asciiTheme="minorHAnsi" w:hAnsiTheme="minorHAnsi" w:cstheme="minorHAnsi"/>
        </w:rPr>
        <w:fldChar w:fldCharType="end"/>
      </w:r>
      <w:r>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{"citationID":"QsD48p51","properties":{"formattedCitation":"[10]","plainCitation":"[10]","noteIndex":0},"citationItems":[{"id":1110,"uris":["http://zotero.org/users/7286058/items/4DH4RUQY"],"itemData":{"id":1110,"type":"article-journal","abstract":"SUMMARY\nBacterial pathogens are important targets for detection and identification in medicine, food safety, public health, and security. Bacterial infection is a common cause of morbidity and mortality worldwide. In spite of the availability of antibiotics, these infections are often misdiagnosed or there is an unacceptable delay in diagnosis. Current methods of bacterial detection rely upon laboratory-based techniques such as cell culture, microscopic analysis, and biochemical assays. These procedures are time-consuming and costly and require specialist equipment and trained users. Portable stand-alone biosensors can facilitate rapid detection and diagnosis at the point of care. Biosensors will be particularly useful where a clear diagnosis informs treatment, in critical illness (e.g., meningitis) or to prevent further disease spread (e.g., in case of food-borne pathogens or sexually transmitted diseases). Detection of bacteria is also becoming increasingly important in antibioterrorism measures (e.g., anthrax detection). In this review, we discuss recent progress in the use of biosensors for the detection of whole bacterial cells for sensitive and earlier identification of bacteria without the need for sample processing. There is a particular focus on electrochemical biosensors, especially impedance-based systems, as these present key advantages in terms of ease of miniaturization, lack of reagents, sensitivity, and low cost.","container-title":"Clinical Microbiology Reviews","DOI":"10.1128/CMR.00120-13","ISSN":"0893-8512","issue":"3","journalAbbreviation":"Clin Microbiol Rev","note":"PMID: 24982325\nPMCID: PMC4135896","page":"631-646","source":"PubMed Central","title":"Biosensors for Whole-Cell Bacterial Detection","URL":"https://www.ncbi.nlm.nih.gov/pmc/articles/PMC4135896/","volume":"27","author":[{"family":"Ahmed","given":"Asif"},{"family":"Rushworth","given":"Jo V."},{"family":"Hirst","given":"Natalie A."},{"family":"Millner","given":"Paul A."}],"accessed":{"date-parts":[["2022",4,2]]},"issued":{"date-parts":[["2014",7]]}}}],"schema":"https://github.com/citation-style-language/schema/raw/master/csl-citation.json"} </w:instrText>
      </w:r>
      <w:r>
        <w:rPr>
          <w:rFonts w:asciiTheme="minorHAnsi" w:hAnsiTheme="minorHAnsi" w:cstheme="minorHAnsi"/>
        </w:rPr>
        <w:fldChar w:fldCharType="separate"/>
      </w:r>
      <w:r w:rsidR="00155CAC">
        <w:rPr>
          <w:rFonts w:asciiTheme="minorHAnsi" w:hAnsiTheme="minorHAnsi" w:cstheme="minorHAnsi"/>
          <w:noProof/>
        </w:rPr>
        <w:t>[10]</w:t>
      </w:r>
      <w:r>
        <w:rPr>
          <w:rFonts w:asciiTheme="minorHAnsi" w:hAnsiTheme="minorHAnsi" w:cstheme="minorHAnsi"/>
        </w:rPr>
        <w:fldChar w:fldCharType="end"/>
      </w:r>
      <w:r w:rsidR="0036704F">
        <w:rPr>
          <w:rFonts w:asciiTheme="minorHAnsi" w:hAnsiTheme="minorHAnsi" w:cstheme="minorHAnsi"/>
        </w:rPr>
        <w:t xml:space="preserve">.  </w:t>
      </w:r>
      <w:r w:rsidR="00DB3F88" w:rsidRPr="001A3C77">
        <w:rPr>
          <w:rFonts w:asciiTheme="minorHAnsi" w:hAnsiTheme="minorHAnsi" w:cstheme="minorHAnsi"/>
          <w:i/>
          <w:iCs/>
        </w:rPr>
        <w:t xml:space="preserve">E. </w:t>
      </w:r>
      <w:r w:rsidR="004E7A4F" w:rsidRPr="001A3C77">
        <w:rPr>
          <w:rFonts w:asciiTheme="minorHAnsi" w:hAnsiTheme="minorHAnsi" w:cstheme="minorHAnsi"/>
          <w:i/>
          <w:iCs/>
        </w:rPr>
        <w:t>coli</w:t>
      </w:r>
      <w:r w:rsidR="004E7A4F">
        <w:rPr>
          <w:rFonts w:asciiTheme="minorHAnsi" w:hAnsiTheme="minorHAnsi" w:cstheme="minorHAnsi"/>
        </w:rPr>
        <w:t xml:space="preserve"> is</w:t>
      </w:r>
      <w:r>
        <w:rPr>
          <w:rFonts w:asciiTheme="minorHAnsi" w:hAnsiTheme="minorHAnsi" w:cstheme="minorHAnsi"/>
        </w:rPr>
        <w:t xml:space="preserve"> a</w:t>
      </w:r>
      <w:r w:rsidR="00665AB2">
        <w:rPr>
          <w:rFonts w:asciiTheme="minorHAnsi" w:hAnsiTheme="minorHAnsi" w:cstheme="minorHAnsi"/>
        </w:rPr>
        <w:t xml:space="preserve"> gram-negative bacteria likewise </w:t>
      </w:r>
      <w:proofErr w:type="spellStart"/>
      <w:proofErr w:type="gramStart"/>
      <w:r w:rsidRPr="001A3C77">
        <w:rPr>
          <w:rFonts w:asciiTheme="minorHAnsi" w:hAnsiTheme="minorHAnsi" w:cstheme="minorHAnsi"/>
          <w:i/>
          <w:iCs/>
        </w:rPr>
        <w:t>P.gingivalis</w:t>
      </w:r>
      <w:proofErr w:type="spellEnd"/>
      <w:proofErr w:type="gramEnd"/>
      <w:r>
        <w:rPr>
          <w:rFonts w:asciiTheme="minorHAnsi" w:hAnsiTheme="minorHAnsi" w:cstheme="minorHAnsi"/>
        </w:rPr>
        <w:t xml:space="preserve"> </w:t>
      </w:r>
      <w:r w:rsidRPr="001A3C77">
        <w:rPr>
          <w:rFonts w:asciiTheme="minorHAnsi" w:hAnsiTheme="minorHAnsi" w:cstheme="minorHAnsi"/>
          <w:i/>
          <w:iCs/>
        </w:rPr>
        <w:t xml:space="preserve">and </w:t>
      </w:r>
      <w:proofErr w:type="spellStart"/>
      <w:r w:rsidRPr="001A3C77">
        <w:rPr>
          <w:rFonts w:asciiTheme="minorHAnsi" w:hAnsiTheme="minorHAnsi" w:cstheme="minorHAnsi"/>
          <w:i/>
          <w:iCs/>
        </w:rPr>
        <w:t>F.nucleatum</w:t>
      </w:r>
      <w:proofErr w:type="spellEnd"/>
      <w:r>
        <w:rPr>
          <w:rFonts w:asciiTheme="minorHAnsi" w:hAnsiTheme="minorHAnsi" w:cstheme="minorHAnsi"/>
        </w:rPr>
        <w:t xml:space="preserve">, thus </w:t>
      </w:r>
      <w:r w:rsidR="00665AB2">
        <w:rPr>
          <w:rFonts w:asciiTheme="minorHAnsi" w:hAnsiTheme="minorHAnsi" w:cstheme="minorHAnsi"/>
        </w:rPr>
        <w:t xml:space="preserve">some of the crafting </w:t>
      </w:r>
      <w:r>
        <w:rPr>
          <w:rFonts w:asciiTheme="minorHAnsi" w:hAnsiTheme="minorHAnsi" w:cstheme="minorHAnsi"/>
        </w:rPr>
        <w:t xml:space="preserve">which went into </w:t>
      </w:r>
      <w:r w:rsidR="00665AB2">
        <w:rPr>
          <w:rFonts w:asciiTheme="minorHAnsi" w:hAnsiTheme="minorHAnsi" w:cstheme="minorHAnsi"/>
        </w:rPr>
        <w:t xml:space="preserve">these devices could be to some extent reused; </w:t>
      </w:r>
      <w:r>
        <w:rPr>
          <w:rFonts w:asciiTheme="minorHAnsi" w:hAnsiTheme="minorHAnsi" w:cstheme="minorHAnsi"/>
        </w:rPr>
        <w:t xml:space="preserve">still </w:t>
      </w:r>
      <w:r w:rsidR="00665AB2">
        <w:rPr>
          <w:rFonts w:asciiTheme="minorHAnsi" w:hAnsiTheme="minorHAnsi" w:cstheme="minorHAnsi"/>
        </w:rPr>
        <w:t xml:space="preserve">the devices will need to be recalibrated </w:t>
      </w:r>
      <w:r>
        <w:rPr>
          <w:rFonts w:asciiTheme="minorHAnsi" w:hAnsiTheme="minorHAnsi" w:cstheme="minorHAnsi"/>
        </w:rPr>
        <w:t xml:space="preserve">to have a high affinity to </w:t>
      </w:r>
      <w:r w:rsidR="00665AB2">
        <w:rPr>
          <w:rFonts w:asciiTheme="minorHAnsi" w:hAnsiTheme="minorHAnsi" w:cstheme="minorHAnsi"/>
        </w:rPr>
        <w:t>the cells of the targeted microorganism</w:t>
      </w:r>
      <w:r>
        <w:rPr>
          <w:rFonts w:asciiTheme="minorHAnsi" w:hAnsiTheme="minorHAnsi" w:cstheme="minorHAnsi"/>
        </w:rPr>
        <w:t>. The “</w:t>
      </w:r>
      <w:r w:rsidRPr="005F1FD7">
        <w:rPr>
          <w:rFonts w:asciiTheme="minorHAnsi" w:hAnsiTheme="minorHAnsi" w:cstheme="minorHAnsi"/>
          <w:i/>
          <w:iCs/>
        </w:rPr>
        <w:t>lab-on-chip</w:t>
      </w:r>
      <w:r>
        <w:rPr>
          <w:rFonts w:asciiTheme="minorHAnsi" w:hAnsiTheme="minorHAnsi" w:cstheme="minorHAnsi"/>
        </w:rPr>
        <w:t xml:space="preserve">” device will need to be cost-effective, </w:t>
      </w:r>
      <w:proofErr w:type="spellStart"/>
      <w:r>
        <w:rPr>
          <w:rFonts w:asciiTheme="minorHAnsi" w:hAnsiTheme="minorHAnsi" w:cstheme="minorHAnsi"/>
        </w:rPr>
        <w:t>reagentless</w:t>
      </w:r>
      <w:proofErr w:type="spellEnd"/>
      <w:r>
        <w:rPr>
          <w:rFonts w:asciiTheme="minorHAnsi" w:hAnsiTheme="minorHAnsi" w:cstheme="minorHAnsi"/>
        </w:rPr>
        <w:t xml:space="preserve">, miniature </w:t>
      </w:r>
      <w:r w:rsidR="00705621">
        <w:rPr>
          <w:rFonts w:asciiTheme="minorHAnsi" w:hAnsiTheme="minorHAnsi" w:cstheme="minorHAnsi"/>
        </w:rPr>
        <w:t xml:space="preserve">to fit on a tooth, </w:t>
      </w:r>
      <w:r w:rsidR="005F1FD7">
        <w:rPr>
          <w:rFonts w:asciiTheme="minorHAnsi" w:hAnsiTheme="minorHAnsi" w:cstheme="minorHAnsi"/>
        </w:rPr>
        <w:t>not</w:t>
      </w:r>
      <w:r w:rsidR="00705621">
        <w:rPr>
          <w:rFonts w:asciiTheme="minorHAnsi" w:hAnsiTheme="minorHAnsi" w:cstheme="minorHAnsi"/>
        </w:rPr>
        <w:t xml:space="preserve"> </w:t>
      </w:r>
      <w:r w:rsidR="005F1FD7">
        <w:rPr>
          <w:rFonts w:asciiTheme="minorHAnsi" w:hAnsiTheme="minorHAnsi" w:cstheme="minorHAnsi"/>
        </w:rPr>
        <w:t xml:space="preserve">a </w:t>
      </w:r>
      <w:r w:rsidR="00705621">
        <w:rPr>
          <w:rFonts w:asciiTheme="minorHAnsi" w:hAnsiTheme="minorHAnsi" w:cstheme="minorHAnsi"/>
        </w:rPr>
        <w:t xml:space="preserve">discomfort to their host, </w:t>
      </w:r>
      <w:r w:rsidR="005F1FD7">
        <w:rPr>
          <w:rFonts w:asciiTheme="minorHAnsi" w:hAnsiTheme="minorHAnsi" w:cstheme="minorHAnsi"/>
        </w:rPr>
        <w:t>and</w:t>
      </w:r>
      <w:r w:rsidR="00705621">
        <w:rPr>
          <w:rFonts w:asciiTheme="minorHAnsi" w:hAnsiTheme="minorHAnsi" w:cstheme="minorHAnsi"/>
        </w:rPr>
        <w:t xml:space="preserve"> be able to survive the challenging oral cavity environment.</w:t>
      </w:r>
    </w:p>
    <w:p w14:paraId="12D3A444" w14:textId="673729C3" w:rsidR="00DB3F88" w:rsidRDefault="00DB3F88" w:rsidP="00D830DB">
      <w:pPr>
        <w:rPr>
          <w:rFonts w:asciiTheme="minorHAnsi" w:hAnsiTheme="minorHAnsi" w:cstheme="minorHAnsi"/>
        </w:rPr>
      </w:pPr>
      <w:r>
        <w:rPr>
          <w:rFonts w:asciiTheme="minorHAnsi" w:hAnsiTheme="minorHAnsi" w:cstheme="minorHAnsi"/>
        </w:rPr>
        <w:t xml:space="preserve">Regarding the detection of S100A8/A9 </w:t>
      </w:r>
      <w:r w:rsidR="00305C69">
        <w:rPr>
          <w:rFonts w:asciiTheme="minorHAnsi" w:hAnsiTheme="minorHAnsi" w:cstheme="minorHAnsi"/>
        </w:rPr>
        <w:t>proteins, we</w:t>
      </w:r>
      <w:r>
        <w:rPr>
          <w:rFonts w:asciiTheme="minorHAnsi" w:hAnsiTheme="minorHAnsi" w:cstheme="minorHAnsi"/>
        </w:rPr>
        <w:t xml:space="preserve"> will investigate the recent “</w:t>
      </w:r>
      <w:proofErr w:type="spellStart"/>
      <w:r w:rsidRPr="00305C69">
        <w:rPr>
          <w:rFonts w:asciiTheme="minorHAnsi" w:hAnsiTheme="minorHAnsi" w:cstheme="minorHAnsi"/>
          <w:b/>
          <w:bCs/>
        </w:rPr>
        <w:t>lucCage</w:t>
      </w:r>
      <w:proofErr w:type="spellEnd"/>
      <w:r>
        <w:rPr>
          <w:rFonts w:asciiTheme="minorHAnsi" w:hAnsiTheme="minorHAnsi" w:cstheme="minorHAnsi"/>
        </w:rPr>
        <w:t xml:space="preserve">” system that includes </w:t>
      </w:r>
      <w:r w:rsidR="00305C69">
        <w:rPr>
          <w:rFonts w:asciiTheme="minorHAnsi" w:hAnsiTheme="minorHAnsi" w:cstheme="minorHAnsi"/>
        </w:rPr>
        <w:t>two major components</w:t>
      </w:r>
      <w:r>
        <w:rPr>
          <w:rFonts w:asciiTheme="minorHAnsi" w:hAnsiTheme="minorHAnsi" w:cstheme="minorHAnsi"/>
        </w:rPr>
        <w:t>: 1) the “</w:t>
      </w:r>
      <w:proofErr w:type="spellStart"/>
      <w:r>
        <w:rPr>
          <w:rFonts w:asciiTheme="minorHAnsi" w:hAnsiTheme="minorHAnsi" w:cstheme="minorHAnsi"/>
        </w:rPr>
        <w:t>lucCage</w:t>
      </w:r>
      <w:proofErr w:type="spellEnd"/>
      <w:r>
        <w:rPr>
          <w:rFonts w:asciiTheme="minorHAnsi" w:hAnsiTheme="minorHAnsi" w:cstheme="minorHAnsi"/>
        </w:rPr>
        <w:t>” itself which includes a cage and a latch domain, and a s</w:t>
      </w:r>
      <w:r w:rsidR="00776A01">
        <w:rPr>
          <w:rFonts w:asciiTheme="minorHAnsi" w:hAnsiTheme="minorHAnsi" w:cstheme="minorHAnsi"/>
        </w:rPr>
        <w:t>p</w:t>
      </w:r>
      <w:r>
        <w:rPr>
          <w:rFonts w:asciiTheme="minorHAnsi" w:hAnsiTheme="minorHAnsi" w:cstheme="minorHAnsi"/>
        </w:rPr>
        <w:t>lit luciferase fragment 2) a “</w:t>
      </w:r>
      <w:proofErr w:type="spellStart"/>
      <w:r>
        <w:rPr>
          <w:rFonts w:asciiTheme="minorHAnsi" w:hAnsiTheme="minorHAnsi" w:cstheme="minorHAnsi"/>
        </w:rPr>
        <w:t>luckKey</w:t>
      </w:r>
      <w:proofErr w:type="spellEnd"/>
      <w:r>
        <w:rPr>
          <w:rFonts w:asciiTheme="minorHAnsi" w:hAnsiTheme="minorHAnsi" w:cstheme="minorHAnsi"/>
        </w:rPr>
        <w:t xml:space="preserve">” that contains a key peptide that binds to the open state of </w:t>
      </w:r>
      <w:proofErr w:type="spellStart"/>
      <w:r>
        <w:rPr>
          <w:rFonts w:asciiTheme="minorHAnsi" w:hAnsiTheme="minorHAnsi" w:cstheme="minorHAnsi"/>
        </w:rPr>
        <w:t>lucCage</w:t>
      </w:r>
      <w:proofErr w:type="spellEnd"/>
      <w:r>
        <w:rPr>
          <w:rFonts w:asciiTheme="minorHAnsi" w:hAnsiTheme="minorHAnsi" w:cstheme="minorHAnsi"/>
        </w:rPr>
        <w:t xml:space="preserve"> upon activation of luciferase and the target protein.</w:t>
      </w:r>
      <w:r w:rsidR="00305C69">
        <w:rPr>
          <w:rFonts w:asciiTheme="minorHAnsi" w:hAnsiTheme="minorHAnsi" w:cstheme="minorHAnsi"/>
        </w:rPr>
        <w:t xml:space="preserve"> Compared to existing protein-based biosensors, the “</w:t>
      </w:r>
      <w:proofErr w:type="spellStart"/>
      <w:r w:rsidR="00305C69">
        <w:rPr>
          <w:rFonts w:asciiTheme="minorHAnsi" w:hAnsiTheme="minorHAnsi" w:cstheme="minorHAnsi"/>
        </w:rPr>
        <w:t>lucCage</w:t>
      </w:r>
      <w:proofErr w:type="spellEnd"/>
      <w:r w:rsidR="00305C69">
        <w:rPr>
          <w:rFonts w:asciiTheme="minorHAnsi" w:hAnsiTheme="minorHAnsi" w:cstheme="minorHAnsi"/>
        </w:rPr>
        <w:t xml:space="preserve">” sensor is based on binding </w:t>
      </w:r>
      <w:r w:rsidR="007D0775">
        <w:rPr>
          <w:rFonts w:asciiTheme="minorHAnsi" w:hAnsiTheme="minorHAnsi" w:cstheme="minorHAnsi"/>
        </w:rPr>
        <w:t>thermodynamic properties</w:t>
      </w:r>
      <w:r w:rsidR="00305C69">
        <w:rPr>
          <w:rFonts w:asciiTheme="minorHAnsi" w:hAnsiTheme="minorHAnsi" w:cstheme="minorHAnsi"/>
        </w:rPr>
        <w:t xml:space="preserve"> but not on the geometry of </w:t>
      </w:r>
      <w:r w:rsidR="007D0775">
        <w:rPr>
          <w:rFonts w:asciiTheme="minorHAnsi" w:hAnsiTheme="minorHAnsi" w:cstheme="minorHAnsi"/>
        </w:rPr>
        <w:t xml:space="preserve">a </w:t>
      </w:r>
      <w:r w:rsidR="00305C69">
        <w:rPr>
          <w:rFonts w:asciiTheme="minorHAnsi" w:hAnsiTheme="minorHAnsi" w:cstheme="minorHAnsi"/>
        </w:rPr>
        <w:t xml:space="preserve">specific coupling, allowing the component to detect a variety of analytes with different binding energies </w:t>
      </w:r>
      <w:r w:rsidR="00305C69">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tdULbvLn","properties":{"formattedCitation":"[11]","plainCitation":"[11]","noteIndex":0},"citationItems":[{"id":1044,"uris":["http://zotero.org/users/7286058/items/VMU3NE2B"],"itemData":{"id":1044,"type":"article-journal","container-title":"Nature","DOI":"10.1038/s41586-021-03258-z","ISSN":"0028-0836, 1476-4687","issue":"7850","journalAbbreviation":"Nature","language":"en","page":"482-487","source":"DOI.org (Crossref)","title":"De novo design of modular and tunable protein biosensors","URL":"http://www.nature.com/articles/s41586-021-03258-z","volume":"591","author":[{"family":"Quijano-Rubio","given":"Alfredo"},{"family":"Yeh","given":"Hsien-Wei"},{"family":"Park","given":"Jooyoung"},{"family":"Lee","given":"Hansol"},{"family":"Langan","given":"Robert A."},{"family":"Boyken","given":"Scott E."},{"family":"Lajoie","given":"Marc J."},{"family":"Cao","given":"Longxing"},{"family":"Chow","given":"Cameron M."},{"family":"Miranda","given":"Marcos C."},{"family":"Wi","given":"Jimin"},{"family":"Hong","given":"Hyo Jeong"},{"family":"Stewart","given":"Lance"},{"family":"Oh","given":"Byung-Ha"},{"family":"Baker","given":"David"}],"accessed":{"date-parts":[["2022",3,31]]},"issued":{"date-parts":[["2021",3,18]]}}}],"schema":"https://github.com/citation-style-language/schema/raw/master/csl-citation.json"} </w:instrText>
      </w:r>
      <w:r w:rsidR="00305C69">
        <w:rPr>
          <w:rFonts w:asciiTheme="minorHAnsi" w:hAnsiTheme="minorHAnsi" w:cstheme="minorHAnsi"/>
        </w:rPr>
        <w:fldChar w:fldCharType="separate"/>
      </w:r>
      <w:r w:rsidR="00155CAC">
        <w:rPr>
          <w:rFonts w:asciiTheme="minorHAnsi" w:hAnsiTheme="minorHAnsi" w:cstheme="minorHAnsi"/>
          <w:noProof/>
        </w:rPr>
        <w:t>[11]</w:t>
      </w:r>
      <w:r w:rsidR="00305C69">
        <w:rPr>
          <w:rFonts w:asciiTheme="minorHAnsi" w:hAnsiTheme="minorHAnsi" w:cstheme="minorHAnsi"/>
        </w:rPr>
        <w:fldChar w:fldCharType="end"/>
      </w:r>
      <w:r w:rsidR="00305C69">
        <w:rPr>
          <w:rFonts w:asciiTheme="minorHAnsi" w:hAnsiTheme="minorHAnsi" w:cstheme="minorHAnsi"/>
        </w:rPr>
        <w:t>.</w:t>
      </w:r>
    </w:p>
    <w:p w14:paraId="634A4F91" w14:textId="5245F46A" w:rsidR="002D51A0" w:rsidRDefault="002D51A0" w:rsidP="00F3175C">
      <w:pPr>
        <w:rPr>
          <w:rFonts w:asciiTheme="minorHAnsi" w:hAnsiTheme="minorHAnsi" w:cstheme="minorHAnsi"/>
        </w:rPr>
      </w:pPr>
    </w:p>
    <w:p w14:paraId="60BE5F5F" w14:textId="304C34AE" w:rsidR="00155CAC" w:rsidRPr="00155CAC" w:rsidRDefault="00155CAC" w:rsidP="00F3175C">
      <w:pPr>
        <w:rPr>
          <w:rFonts w:asciiTheme="minorHAnsi" w:hAnsiTheme="minorHAnsi" w:cstheme="minorHAnsi"/>
          <w:b/>
          <w:bCs/>
          <w:u w:val="single"/>
        </w:rPr>
      </w:pPr>
      <w:r w:rsidRPr="00155CAC">
        <w:rPr>
          <w:rFonts w:asciiTheme="minorHAnsi" w:hAnsiTheme="minorHAnsi" w:cstheme="minorHAnsi"/>
          <w:b/>
          <w:bCs/>
          <w:u w:val="single"/>
        </w:rPr>
        <w:t>References</w:t>
      </w:r>
    </w:p>
    <w:p w14:paraId="42F9BD4E" w14:textId="77777777" w:rsidR="00155CAC" w:rsidRPr="00155CAC" w:rsidRDefault="00155CAC" w:rsidP="00155CAC">
      <w:pPr>
        <w:pStyle w:val="Bibliography"/>
        <w:rPr>
          <w:rFonts w:asci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155CAC">
        <w:rPr>
          <w:rFonts w:ascii="Calibri" w:cs="Calibri"/>
          <w:sz w:val="24"/>
        </w:rPr>
        <w:t>[1]</w:t>
      </w:r>
      <w:r w:rsidRPr="00155CAC">
        <w:rPr>
          <w:rFonts w:ascii="Calibri" w:cs="Calibri"/>
          <w:sz w:val="24"/>
        </w:rPr>
        <w:tab/>
        <w:t xml:space="preserve">V. Perumal and U. Hashim, “Advances in biosensors: Principle, architecture and applications,” </w:t>
      </w:r>
      <w:r w:rsidRPr="00155CAC">
        <w:rPr>
          <w:rFonts w:ascii="Calibri" w:cs="Calibri"/>
          <w:i/>
          <w:iCs/>
          <w:sz w:val="24"/>
        </w:rPr>
        <w:t>J Appl Biomed</w:t>
      </w:r>
      <w:r w:rsidRPr="00155CAC">
        <w:rPr>
          <w:rFonts w:ascii="Calibri" w:cs="Calibri"/>
          <w:sz w:val="24"/>
        </w:rPr>
        <w:t xml:space="preserve">, vol. 12, no. 1, pp. 1–15, Jan. 2014, </w:t>
      </w:r>
      <w:proofErr w:type="spellStart"/>
      <w:r w:rsidRPr="00155CAC">
        <w:rPr>
          <w:rFonts w:ascii="Calibri" w:cs="Calibri"/>
          <w:sz w:val="24"/>
        </w:rPr>
        <w:t>doi</w:t>
      </w:r>
      <w:proofErr w:type="spellEnd"/>
      <w:r w:rsidRPr="00155CAC">
        <w:rPr>
          <w:rFonts w:ascii="Calibri" w:cs="Calibri"/>
          <w:sz w:val="24"/>
        </w:rPr>
        <w:t>: 10.1016/j.jab.2013.02.001.</w:t>
      </w:r>
    </w:p>
    <w:p w14:paraId="01E034D4" w14:textId="77777777" w:rsidR="00155CAC" w:rsidRPr="00155CAC" w:rsidRDefault="00155CAC" w:rsidP="00155CAC">
      <w:pPr>
        <w:pStyle w:val="Bibliography"/>
        <w:rPr>
          <w:rFonts w:ascii="Calibri" w:cs="Calibri"/>
          <w:sz w:val="24"/>
        </w:rPr>
      </w:pPr>
      <w:r w:rsidRPr="00155CAC">
        <w:rPr>
          <w:rFonts w:ascii="Calibri" w:cs="Calibri"/>
          <w:sz w:val="24"/>
        </w:rPr>
        <w:t>[2]</w:t>
      </w:r>
      <w:r w:rsidRPr="00155CAC">
        <w:rPr>
          <w:rFonts w:ascii="Calibri" w:cs="Calibri"/>
          <w:sz w:val="24"/>
        </w:rPr>
        <w:tab/>
        <w:t xml:space="preserve">C. Petersen and J. L. Round, “Defining dysbiosis and its influence on host immunity and disease,” </w:t>
      </w:r>
      <w:r w:rsidRPr="00155CAC">
        <w:rPr>
          <w:rFonts w:ascii="Calibri" w:cs="Calibri"/>
          <w:i/>
          <w:iCs/>
          <w:sz w:val="24"/>
        </w:rPr>
        <w:t>Cellular Microbiology</w:t>
      </w:r>
      <w:r w:rsidRPr="00155CAC">
        <w:rPr>
          <w:rFonts w:ascii="Calibri" w:cs="Calibri"/>
          <w:sz w:val="24"/>
        </w:rPr>
        <w:t xml:space="preserve">, vol. 16, no. 7, pp. 1024–1033, 2014, </w:t>
      </w:r>
      <w:proofErr w:type="spellStart"/>
      <w:r w:rsidRPr="00155CAC">
        <w:rPr>
          <w:rFonts w:ascii="Calibri" w:cs="Calibri"/>
          <w:sz w:val="24"/>
        </w:rPr>
        <w:t>doi</w:t>
      </w:r>
      <w:proofErr w:type="spellEnd"/>
      <w:r w:rsidRPr="00155CAC">
        <w:rPr>
          <w:rFonts w:ascii="Calibri" w:cs="Calibri"/>
          <w:sz w:val="24"/>
        </w:rPr>
        <w:t>: 10.1111/cmi.12308.</w:t>
      </w:r>
    </w:p>
    <w:p w14:paraId="1157542D" w14:textId="77777777" w:rsidR="00155CAC" w:rsidRPr="00155CAC" w:rsidRDefault="00155CAC" w:rsidP="00155CAC">
      <w:pPr>
        <w:pStyle w:val="Bibliography"/>
        <w:rPr>
          <w:rFonts w:ascii="Calibri" w:cs="Calibri"/>
          <w:sz w:val="24"/>
        </w:rPr>
      </w:pPr>
      <w:r w:rsidRPr="00155CAC">
        <w:rPr>
          <w:rFonts w:ascii="Calibri" w:cs="Calibri"/>
          <w:sz w:val="24"/>
        </w:rPr>
        <w:t>[3]</w:t>
      </w:r>
      <w:r w:rsidRPr="00155CAC">
        <w:rPr>
          <w:rFonts w:ascii="Calibri" w:cs="Calibri"/>
          <w:sz w:val="24"/>
        </w:rPr>
        <w:tab/>
        <w:t xml:space="preserve">L. Gao, T. Xu, G. Huang, S. Jiang, Y. Gu, and F. Chen, “Oral microbiomes: more and more importance in oral cavity and whole body,” </w:t>
      </w:r>
      <w:r w:rsidRPr="00155CAC">
        <w:rPr>
          <w:rFonts w:ascii="Calibri" w:cs="Calibri"/>
          <w:i/>
          <w:iCs/>
          <w:sz w:val="24"/>
        </w:rPr>
        <w:t>Protein Cell</w:t>
      </w:r>
      <w:r w:rsidRPr="00155CAC">
        <w:rPr>
          <w:rFonts w:ascii="Calibri" w:cs="Calibri"/>
          <w:sz w:val="24"/>
        </w:rPr>
        <w:t xml:space="preserve">, vol. 9, no. 5, pp. 488–500, May 2018, </w:t>
      </w:r>
      <w:proofErr w:type="spellStart"/>
      <w:r w:rsidRPr="00155CAC">
        <w:rPr>
          <w:rFonts w:ascii="Calibri" w:cs="Calibri"/>
          <w:sz w:val="24"/>
        </w:rPr>
        <w:t>doi</w:t>
      </w:r>
      <w:proofErr w:type="spellEnd"/>
      <w:r w:rsidRPr="00155CAC">
        <w:rPr>
          <w:rFonts w:ascii="Calibri" w:cs="Calibri"/>
          <w:sz w:val="24"/>
        </w:rPr>
        <w:t>: 10.1007/s13238-018-0548-1.</w:t>
      </w:r>
    </w:p>
    <w:p w14:paraId="5E450DCD" w14:textId="77777777" w:rsidR="00155CAC" w:rsidRPr="00155CAC" w:rsidRDefault="00155CAC" w:rsidP="00155CAC">
      <w:pPr>
        <w:pStyle w:val="Bibliography"/>
        <w:rPr>
          <w:rFonts w:ascii="Calibri" w:cs="Calibri"/>
          <w:sz w:val="24"/>
        </w:rPr>
      </w:pPr>
      <w:r w:rsidRPr="00155CAC">
        <w:rPr>
          <w:rFonts w:ascii="Calibri" w:cs="Calibri"/>
          <w:sz w:val="24"/>
        </w:rPr>
        <w:lastRenderedPageBreak/>
        <w:t>[4]</w:t>
      </w:r>
      <w:r w:rsidRPr="00155CAC">
        <w:rPr>
          <w:rFonts w:ascii="Calibri" w:cs="Calibri"/>
          <w:sz w:val="24"/>
        </w:rPr>
        <w:tab/>
        <w:t xml:space="preserve">A. </w:t>
      </w:r>
      <w:proofErr w:type="spellStart"/>
      <w:r w:rsidRPr="00155CAC">
        <w:rPr>
          <w:rFonts w:ascii="Calibri" w:cs="Calibri"/>
          <w:sz w:val="24"/>
        </w:rPr>
        <w:t>Cekici</w:t>
      </w:r>
      <w:proofErr w:type="spellEnd"/>
      <w:r w:rsidRPr="00155CAC">
        <w:rPr>
          <w:rFonts w:ascii="Calibri" w:cs="Calibri"/>
          <w:sz w:val="24"/>
        </w:rPr>
        <w:t xml:space="preserve">, A. </w:t>
      </w:r>
      <w:proofErr w:type="spellStart"/>
      <w:r w:rsidRPr="00155CAC">
        <w:rPr>
          <w:rFonts w:ascii="Calibri" w:cs="Calibri"/>
          <w:sz w:val="24"/>
        </w:rPr>
        <w:t>Kantarci</w:t>
      </w:r>
      <w:proofErr w:type="spellEnd"/>
      <w:r w:rsidRPr="00155CAC">
        <w:rPr>
          <w:rFonts w:ascii="Calibri" w:cs="Calibri"/>
          <w:sz w:val="24"/>
        </w:rPr>
        <w:t xml:space="preserve">, H. </w:t>
      </w:r>
      <w:proofErr w:type="spellStart"/>
      <w:r w:rsidRPr="00155CAC">
        <w:rPr>
          <w:rFonts w:ascii="Calibri" w:cs="Calibri"/>
          <w:sz w:val="24"/>
        </w:rPr>
        <w:t>Hasturk</w:t>
      </w:r>
      <w:proofErr w:type="spellEnd"/>
      <w:r w:rsidRPr="00155CAC">
        <w:rPr>
          <w:rFonts w:ascii="Calibri" w:cs="Calibri"/>
          <w:sz w:val="24"/>
        </w:rPr>
        <w:t xml:space="preserve">, and T. E. Van Dyke, “Inflammatory and immune pathways in the pathogenesis of periodontal disease,” </w:t>
      </w:r>
      <w:proofErr w:type="spellStart"/>
      <w:r w:rsidRPr="00155CAC">
        <w:rPr>
          <w:rFonts w:ascii="Calibri" w:cs="Calibri"/>
          <w:i/>
          <w:iCs/>
          <w:sz w:val="24"/>
        </w:rPr>
        <w:t>Periodontol</w:t>
      </w:r>
      <w:proofErr w:type="spellEnd"/>
      <w:r w:rsidRPr="00155CAC">
        <w:rPr>
          <w:rFonts w:ascii="Calibri" w:cs="Calibri"/>
          <w:i/>
          <w:iCs/>
          <w:sz w:val="24"/>
        </w:rPr>
        <w:t xml:space="preserve"> 2000</w:t>
      </w:r>
      <w:r w:rsidRPr="00155CAC">
        <w:rPr>
          <w:rFonts w:ascii="Calibri" w:cs="Calibri"/>
          <w:sz w:val="24"/>
        </w:rPr>
        <w:t xml:space="preserve">, vol. 64, no. 1, pp. 57–80, Feb. 2014, </w:t>
      </w:r>
      <w:proofErr w:type="spellStart"/>
      <w:r w:rsidRPr="00155CAC">
        <w:rPr>
          <w:rFonts w:ascii="Calibri" w:cs="Calibri"/>
          <w:sz w:val="24"/>
        </w:rPr>
        <w:t>doi</w:t>
      </w:r>
      <w:proofErr w:type="spellEnd"/>
      <w:r w:rsidRPr="00155CAC">
        <w:rPr>
          <w:rFonts w:ascii="Calibri" w:cs="Calibri"/>
          <w:sz w:val="24"/>
        </w:rPr>
        <w:t>: 10.1111/prd.12002.</w:t>
      </w:r>
    </w:p>
    <w:p w14:paraId="1A2F5EF2" w14:textId="77777777" w:rsidR="00155CAC" w:rsidRPr="00155CAC" w:rsidRDefault="00155CAC" w:rsidP="00155CAC">
      <w:pPr>
        <w:pStyle w:val="Bibliography"/>
        <w:rPr>
          <w:rFonts w:ascii="Calibri" w:cs="Calibri"/>
          <w:sz w:val="24"/>
        </w:rPr>
      </w:pPr>
      <w:r w:rsidRPr="00155CAC">
        <w:rPr>
          <w:rFonts w:ascii="Calibri" w:cs="Calibri"/>
          <w:sz w:val="24"/>
        </w:rPr>
        <w:t>[5]</w:t>
      </w:r>
      <w:r w:rsidRPr="00155CAC">
        <w:rPr>
          <w:rFonts w:ascii="Calibri" w:cs="Calibri"/>
          <w:sz w:val="24"/>
        </w:rPr>
        <w:tab/>
        <w:t xml:space="preserve">L. J. Suárez, H. Garzón, S. </w:t>
      </w:r>
      <w:proofErr w:type="spellStart"/>
      <w:r w:rsidRPr="00155CAC">
        <w:rPr>
          <w:rFonts w:ascii="Calibri" w:cs="Calibri"/>
          <w:sz w:val="24"/>
        </w:rPr>
        <w:t>Arboleda</w:t>
      </w:r>
      <w:proofErr w:type="spellEnd"/>
      <w:r w:rsidRPr="00155CAC">
        <w:rPr>
          <w:rFonts w:ascii="Calibri" w:cs="Calibri"/>
          <w:sz w:val="24"/>
        </w:rPr>
        <w:t xml:space="preserve">, and A. Rodríguez, “Oral Dysbiosis and Autoimmunity: From Local Periodontal Responses to an Imbalanced Systemic Immunity. A Review,” </w:t>
      </w:r>
      <w:r w:rsidRPr="00155CAC">
        <w:rPr>
          <w:rFonts w:ascii="Calibri" w:cs="Calibri"/>
          <w:i/>
          <w:iCs/>
          <w:sz w:val="24"/>
        </w:rPr>
        <w:t>Front. Immunol.</w:t>
      </w:r>
      <w:r w:rsidRPr="00155CAC">
        <w:rPr>
          <w:rFonts w:ascii="Calibri" w:cs="Calibri"/>
          <w:sz w:val="24"/>
        </w:rPr>
        <w:t xml:space="preserve">, vol. 11, p. 591255, Dec. 2020, </w:t>
      </w:r>
      <w:proofErr w:type="spellStart"/>
      <w:r w:rsidRPr="00155CAC">
        <w:rPr>
          <w:rFonts w:ascii="Calibri" w:cs="Calibri"/>
          <w:sz w:val="24"/>
        </w:rPr>
        <w:t>doi</w:t>
      </w:r>
      <w:proofErr w:type="spellEnd"/>
      <w:r w:rsidRPr="00155CAC">
        <w:rPr>
          <w:rFonts w:ascii="Calibri" w:cs="Calibri"/>
          <w:sz w:val="24"/>
        </w:rPr>
        <w:t>: 10.3389/fimmu.2020.591255.</w:t>
      </w:r>
    </w:p>
    <w:p w14:paraId="265A2BDA" w14:textId="77777777" w:rsidR="00155CAC" w:rsidRPr="00155CAC" w:rsidRDefault="00155CAC" w:rsidP="00155CAC">
      <w:pPr>
        <w:pStyle w:val="Bibliography"/>
        <w:rPr>
          <w:rFonts w:ascii="Calibri" w:cs="Calibri"/>
          <w:sz w:val="24"/>
        </w:rPr>
      </w:pPr>
      <w:r w:rsidRPr="00155CAC">
        <w:rPr>
          <w:rFonts w:ascii="Calibri" w:cs="Calibri"/>
          <w:sz w:val="24"/>
        </w:rPr>
        <w:t>[6]</w:t>
      </w:r>
      <w:r w:rsidRPr="00155CAC">
        <w:rPr>
          <w:rFonts w:ascii="Calibri" w:cs="Calibri"/>
          <w:sz w:val="24"/>
        </w:rPr>
        <w:tab/>
        <w:t xml:space="preserve">A. </w:t>
      </w:r>
      <w:proofErr w:type="spellStart"/>
      <w:r w:rsidRPr="00155CAC">
        <w:rPr>
          <w:rFonts w:ascii="Calibri" w:cs="Calibri"/>
          <w:sz w:val="24"/>
        </w:rPr>
        <w:t>Radaic</w:t>
      </w:r>
      <w:proofErr w:type="spellEnd"/>
      <w:r w:rsidRPr="00155CAC">
        <w:rPr>
          <w:rFonts w:ascii="Calibri" w:cs="Calibri"/>
          <w:sz w:val="24"/>
        </w:rPr>
        <w:t xml:space="preserve"> and Y. L. Kapila, “The </w:t>
      </w:r>
      <w:proofErr w:type="spellStart"/>
      <w:r w:rsidRPr="00155CAC">
        <w:rPr>
          <w:rFonts w:ascii="Calibri" w:cs="Calibri"/>
          <w:sz w:val="24"/>
        </w:rPr>
        <w:t>oralome</w:t>
      </w:r>
      <w:proofErr w:type="spellEnd"/>
      <w:r w:rsidRPr="00155CAC">
        <w:rPr>
          <w:rFonts w:ascii="Calibri" w:cs="Calibri"/>
          <w:sz w:val="24"/>
        </w:rPr>
        <w:t xml:space="preserve"> and its dysbiosis: New insights into oral microbiome-host interactions,” </w:t>
      </w:r>
      <w:r w:rsidRPr="00155CAC">
        <w:rPr>
          <w:rFonts w:ascii="Calibri" w:cs="Calibri"/>
          <w:i/>
          <w:iCs/>
          <w:sz w:val="24"/>
        </w:rPr>
        <w:t>Computational and Structural Biotechnology Journal</w:t>
      </w:r>
      <w:r w:rsidRPr="00155CAC">
        <w:rPr>
          <w:rFonts w:ascii="Calibri" w:cs="Calibri"/>
          <w:sz w:val="24"/>
        </w:rPr>
        <w:t xml:space="preserve">, vol. 19, pp. 1335–1360, 2021, </w:t>
      </w:r>
      <w:proofErr w:type="spellStart"/>
      <w:r w:rsidRPr="00155CAC">
        <w:rPr>
          <w:rFonts w:ascii="Calibri" w:cs="Calibri"/>
          <w:sz w:val="24"/>
        </w:rPr>
        <w:t>doi</w:t>
      </w:r>
      <w:proofErr w:type="spellEnd"/>
      <w:r w:rsidRPr="00155CAC">
        <w:rPr>
          <w:rFonts w:ascii="Calibri" w:cs="Calibri"/>
          <w:sz w:val="24"/>
        </w:rPr>
        <w:t>: 10.1016/j.csbj.2021.02.010.</w:t>
      </w:r>
    </w:p>
    <w:p w14:paraId="6C511E0A" w14:textId="77777777" w:rsidR="00155CAC" w:rsidRPr="00155CAC" w:rsidRDefault="00155CAC" w:rsidP="00155CAC">
      <w:pPr>
        <w:pStyle w:val="Bibliography"/>
        <w:rPr>
          <w:rFonts w:ascii="Calibri" w:cs="Calibri"/>
          <w:sz w:val="24"/>
        </w:rPr>
      </w:pPr>
      <w:r w:rsidRPr="00155CAC">
        <w:rPr>
          <w:rFonts w:ascii="Calibri" w:cs="Calibri"/>
          <w:sz w:val="24"/>
        </w:rPr>
        <w:t>[7]</w:t>
      </w:r>
      <w:r w:rsidRPr="00155CAC">
        <w:rPr>
          <w:rFonts w:ascii="Calibri" w:cs="Calibri"/>
          <w:sz w:val="24"/>
        </w:rPr>
        <w:tab/>
        <w:t xml:space="preserve">G. </w:t>
      </w:r>
      <w:proofErr w:type="spellStart"/>
      <w:r w:rsidRPr="00155CAC">
        <w:rPr>
          <w:rFonts w:ascii="Calibri" w:cs="Calibri"/>
          <w:sz w:val="24"/>
        </w:rPr>
        <w:t>Hajishengallis</w:t>
      </w:r>
      <w:proofErr w:type="spellEnd"/>
      <w:r w:rsidRPr="00155CAC">
        <w:rPr>
          <w:rFonts w:ascii="Calibri" w:cs="Calibri"/>
          <w:sz w:val="24"/>
        </w:rPr>
        <w:t xml:space="preserve"> and J. D. </w:t>
      </w:r>
      <w:proofErr w:type="spellStart"/>
      <w:r w:rsidRPr="00155CAC">
        <w:rPr>
          <w:rFonts w:ascii="Calibri" w:cs="Calibri"/>
          <w:sz w:val="24"/>
        </w:rPr>
        <w:t>Lambris</w:t>
      </w:r>
      <w:proofErr w:type="spellEnd"/>
      <w:r w:rsidRPr="00155CAC">
        <w:rPr>
          <w:rFonts w:ascii="Calibri" w:cs="Calibri"/>
          <w:sz w:val="24"/>
        </w:rPr>
        <w:t xml:space="preserve">, “Complement and dysbiosis in periodontal disease,” </w:t>
      </w:r>
      <w:r w:rsidRPr="00155CAC">
        <w:rPr>
          <w:rFonts w:ascii="Calibri" w:cs="Calibri"/>
          <w:i/>
          <w:iCs/>
          <w:sz w:val="24"/>
        </w:rPr>
        <w:t>Immunobiology</w:t>
      </w:r>
      <w:r w:rsidRPr="00155CAC">
        <w:rPr>
          <w:rFonts w:ascii="Calibri" w:cs="Calibri"/>
          <w:sz w:val="24"/>
        </w:rPr>
        <w:t xml:space="preserve">, vol. 217, no. 11, pp. 1111–1116, Nov. 2012, </w:t>
      </w:r>
      <w:proofErr w:type="spellStart"/>
      <w:r w:rsidRPr="00155CAC">
        <w:rPr>
          <w:rFonts w:ascii="Calibri" w:cs="Calibri"/>
          <w:sz w:val="24"/>
        </w:rPr>
        <w:t>doi</w:t>
      </w:r>
      <w:proofErr w:type="spellEnd"/>
      <w:r w:rsidRPr="00155CAC">
        <w:rPr>
          <w:rFonts w:ascii="Calibri" w:cs="Calibri"/>
          <w:sz w:val="24"/>
        </w:rPr>
        <w:t>: 10.1016/j.imbio.2012.07.007.</w:t>
      </w:r>
    </w:p>
    <w:p w14:paraId="7EFA4949" w14:textId="77777777" w:rsidR="00155CAC" w:rsidRPr="00155CAC" w:rsidRDefault="00155CAC" w:rsidP="00155CAC">
      <w:pPr>
        <w:pStyle w:val="Bibliography"/>
        <w:rPr>
          <w:rFonts w:ascii="Calibri" w:cs="Calibri"/>
          <w:sz w:val="24"/>
        </w:rPr>
      </w:pPr>
      <w:r w:rsidRPr="00155CAC">
        <w:rPr>
          <w:rFonts w:ascii="Calibri" w:cs="Calibri"/>
          <w:sz w:val="24"/>
        </w:rPr>
        <w:t>[8]</w:t>
      </w:r>
      <w:r w:rsidRPr="00155CAC">
        <w:rPr>
          <w:rFonts w:ascii="Calibri" w:cs="Calibri"/>
          <w:sz w:val="24"/>
        </w:rPr>
        <w:tab/>
        <w:t xml:space="preserve">A. R. Kamer </w:t>
      </w:r>
      <w:r w:rsidRPr="00155CAC">
        <w:rPr>
          <w:rFonts w:ascii="Calibri" w:cs="Calibri"/>
          <w:i/>
          <w:iCs/>
          <w:sz w:val="24"/>
        </w:rPr>
        <w:t>et al.</w:t>
      </w:r>
      <w:r w:rsidRPr="00155CAC">
        <w:rPr>
          <w:rFonts w:ascii="Calibri" w:cs="Calibri"/>
          <w:sz w:val="24"/>
        </w:rPr>
        <w:t xml:space="preserve">, “Periodontal dysbiosis associates with reduced CSF Aβ42 in cognitively normal elderly,” </w:t>
      </w:r>
      <w:proofErr w:type="spellStart"/>
      <w:r w:rsidRPr="00155CAC">
        <w:rPr>
          <w:rFonts w:ascii="Calibri" w:cs="Calibri"/>
          <w:i/>
          <w:iCs/>
          <w:sz w:val="24"/>
        </w:rPr>
        <w:t>Alz</w:t>
      </w:r>
      <w:proofErr w:type="spellEnd"/>
      <w:r w:rsidRPr="00155CAC">
        <w:rPr>
          <w:rFonts w:ascii="Calibri" w:cs="Calibri"/>
          <w:i/>
          <w:iCs/>
          <w:sz w:val="24"/>
        </w:rPr>
        <w:t xml:space="preserve"> &amp; Dem </w:t>
      </w:r>
      <w:proofErr w:type="spellStart"/>
      <w:r w:rsidRPr="00155CAC">
        <w:rPr>
          <w:rFonts w:ascii="Calibri" w:cs="Calibri"/>
          <w:i/>
          <w:iCs/>
          <w:sz w:val="24"/>
        </w:rPr>
        <w:t>Diag</w:t>
      </w:r>
      <w:proofErr w:type="spellEnd"/>
      <w:r w:rsidRPr="00155CAC">
        <w:rPr>
          <w:rFonts w:ascii="Calibri" w:cs="Calibri"/>
          <w:i/>
          <w:iCs/>
          <w:sz w:val="24"/>
        </w:rPr>
        <w:t xml:space="preserve"> Ass &amp; Dis Mo</w:t>
      </w:r>
      <w:r w:rsidRPr="00155CAC">
        <w:rPr>
          <w:rFonts w:ascii="Calibri" w:cs="Calibri"/>
          <w:sz w:val="24"/>
        </w:rPr>
        <w:t xml:space="preserve">, vol. 13, no. 1, Jan. 2021, </w:t>
      </w:r>
      <w:proofErr w:type="spellStart"/>
      <w:r w:rsidRPr="00155CAC">
        <w:rPr>
          <w:rFonts w:ascii="Calibri" w:cs="Calibri"/>
          <w:sz w:val="24"/>
        </w:rPr>
        <w:t>doi</w:t>
      </w:r>
      <w:proofErr w:type="spellEnd"/>
      <w:r w:rsidRPr="00155CAC">
        <w:rPr>
          <w:rFonts w:ascii="Calibri" w:cs="Calibri"/>
          <w:sz w:val="24"/>
        </w:rPr>
        <w:t>: 10.1002/dad2.12172.</w:t>
      </w:r>
    </w:p>
    <w:p w14:paraId="62DA65D6" w14:textId="77777777" w:rsidR="00155CAC" w:rsidRPr="00155CAC" w:rsidRDefault="00155CAC" w:rsidP="00155CAC">
      <w:pPr>
        <w:pStyle w:val="Bibliography"/>
        <w:rPr>
          <w:rFonts w:ascii="Calibri" w:cs="Calibri"/>
          <w:sz w:val="24"/>
        </w:rPr>
      </w:pPr>
      <w:r w:rsidRPr="00155CAC">
        <w:rPr>
          <w:rFonts w:ascii="Calibri" w:cs="Calibri"/>
          <w:sz w:val="24"/>
        </w:rPr>
        <w:t>[9]</w:t>
      </w:r>
      <w:r w:rsidRPr="00155CAC">
        <w:rPr>
          <w:rFonts w:ascii="Calibri" w:cs="Calibri"/>
          <w:sz w:val="24"/>
        </w:rPr>
        <w:tab/>
        <w:t xml:space="preserve">L. </w:t>
      </w:r>
      <w:proofErr w:type="spellStart"/>
      <w:r w:rsidRPr="00155CAC">
        <w:rPr>
          <w:rFonts w:ascii="Calibri" w:cs="Calibri"/>
          <w:sz w:val="24"/>
        </w:rPr>
        <w:t>Steigmann</w:t>
      </w:r>
      <w:proofErr w:type="spellEnd"/>
      <w:r w:rsidRPr="00155CAC">
        <w:rPr>
          <w:rFonts w:ascii="Calibri" w:cs="Calibri"/>
          <w:sz w:val="24"/>
        </w:rPr>
        <w:t xml:space="preserve">, S. Maekawa, C. </w:t>
      </w:r>
      <w:proofErr w:type="spellStart"/>
      <w:r w:rsidRPr="00155CAC">
        <w:rPr>
          <w:rFonts w:ascii="Calibri" w:cs="Calibri"/>
          <w:sz w:val="24"/>
        </w:rPr>
        <w:t>Sima</w:t>
      </w:r>
      <w:proofErr w:type="spellEnd"/>
      <w:r w:rsidRPr="00155CAC">
        <w:rPr>
          <w:rFonts w:ascii="Calibri" w:cs="Calibri"/>
          <w:sz w:val="24"/>
        </w:rPr>
        <w:t xml:space="preserve">, S. </w:t>
      </w:r>
      <w:proofErr w:type="spellStart"/>
      <w:r w:rsidRPr="00155CAC">
        <w:rPr>
          <w:rFonts w:ascii="Calibri" w:cs="Calibri"/>
          <w:sz w:val="24"/>
        </w:rPr>
        <w:t>Travan</w:t>
      </w:r>
      <w:proofErr w:type="spellEnd"/>
      <w:r w:rsidRPr="00155CAC">
        <w:rPr>
          <w:rFonts w:ascii="Calibri" w:cs="Calibri"/>
          <w:sz w:val="24"/>
        </w:rPr>
        <w:t xml:space="preserve">, C.-W. Wang, and W. V. </w:t>
      </w:r>
      <w:proofErr w:type="spellStart"/>
      <w:r w:rsidRPr="00155CAC">
        <w:rPr>
          <w:rFonts w:ascii="Calibri" w:cs="Calibri"/>
          <w:sz w:val="24"/>
        </w:rPr>
        <w:t>Giannobile</w:t>
      </w:r>
      <w:proofErr w:type="spellEnd"/>
      <w:r w:rsidRPr="00155CAC">
        <w:rPr>
          <w:rFonts w:ascii="Calibri" w:cs="Calibri"/>
          <w:sz w:val="24"/>
        </w:rPr>
        <w:t xml:space="preserve">, “Biosensor and Lab-on-a-chip Biomarker-identifying Technologies for Oral and Periodontal Diseases,” </w:t>
      </w:r>
      <w:r w:rsidRPr="00155CAC">
        <w:rPr>
          <w:rFonts w:ascii="Calibri" w:cs="Calibri"/>
          <w:i/>
          <w:iCs/>
          <w:sz w:val="24"/>
        </w:rPr>
        <w:t xml:space="preserve">Front </w:t>
      </w:r>
      <w:proofErr w:type="spellStart"/>
      <w:r w:rsidRPr="00155CAC">
        <w:rPr>
          <w:rFonts w:ascii="Calibri" w:cs="Calibri"/>
          <w:i/>
          <w:iCs/>
          <w:sz w:val="24"/>
        </w:rPr>
        <w:t>Pharmacol</w:t>
      </w:r>
      <w:proofErr w:type="spellEnd"/>
      <w:r w:rsidRPr="00155CAC">
        <w:rPr>
          <w:rFonts w:ascii="Calibri" w:cs="Calibri"/>
          <w:sz w:val="24"/>
        </w:rPr>
        <w:t xml:space="preserve">, vol. 11, p. 588480, Nov. 2020, </w:t>
      </w:r>
      <w:proofErr w:type="spellStart"/>
      <w:r w:rsidRPr="00155CAC">
        <w:rPr>
          <w:rFonts w:ascii="Calibri" w:cs="Calibri"/>
          <w:sz w:val="24"/>
        </w:rPr>
        <w:t>doi</w:t>
      </w:r>
      <w:proofErr w:type="spellEnd"/>
      <w:r w:rsidRPr="00155CAC">
        <w:rPr>
          <w:rFonts w:ascii="Calibri" w:cs="Calibri"/>
          <w:sz w:val="24"/>
        </w:rPr>
        <w:t>: 10.3389/fphar.2020.588480.</w:t>
      </w:r>
    </w:p>
    <w:p w14:paraId="6F81A75E" w14:textId="77777777" w:rsidR="00155CAC" w:rsidRPr="00155CAC" w:rsidRDefault="00155CAC" w:rsidP="00155CAC">
      <w:pPr>
        <w:pStyle w:val="Bibliography"/>
        <w:rPr>
          <w:rFonts w:ascii="Calibri" w:cs="Calibri"/>
          <w:sz w:val="24"/>
        </w:rPr>
      </w:pPr>
      <w:r w:rsidRPr="00155CAC">
        <w:rPr>
          <w:rFonts w:ascii="Calibri" w:cs="Calibri"/>
          <w:sz w:val="24"/>
        </w:rPr>
        <w:t>[10]</w:t>
      </w:r>
      <w:r w:rsidRPr="00155CAC">
        <w:rPr>
          <w:rFonts w:ascii="Calibri" w:cs="Calibri"/>
          <w:sz w:val="24"/>
        </w:rPr>
        <w:tab/>
        <w:t xml:space="preserve">A. Ahmed, J. V. Rushworth, N. A. Hirst, and P. A. Millner, “Biosensors for Whole-Cell Bacterial Detection,” </w:t>
      </w:r>
      <w:r w:rsidRPr="00155CAC">
        <w:rPr>
          <w:rFonts w:ascii="Calibri" w:cs="Calibri"/>
          <w:i/>
          <w:iCs/>
          <w:sz w:val="24"/>
        </w:rPr>
        <w:t>Clin Microbiol Rev</w:t>
      </w:r>
      <w:r w:rsidRPr="00155CAC">
        <w:rPr>
          <w:rFonts w:ascii="Calibri" w:cs="Calibri"/>
          <w:sz w:val="24"/>
        </w:rPr>
        <w:t xml:space="preserve">, vol. 27, no. 3, pp. 631–646, Jul. 2014, </w:t>
      </w:r>
      <w:proofErr w:type="spellStart"/>
      <w:r w:rsidRPr="00155CAC">
        <w:rPr>
          <w:rFonts w:ascii="Calibri" w:cs="Calibri"/>
          <w:sz w:val="24"/>
        </w:rPr>
        <w:t>doi</w:t>
      </w:r>
      <w:proofErr w:type="spellEnd"/>
      <w:r w:rsidRPr="00155CAC">
        <w:rPr>
          <w:rFonts w:ascii="Calibri" w:cs="Calibri"/>
          <w:sz w:val="24"/>
        </w:rPr>
        <w:t>: 10.1128/CMR.00120-13.</w:t>
      </w:r>
    </w:p>
    <w:p w14:paraId="5BFEBF2D" w14:textId="77777777" w:rsidR="00155CAC" w:rsidRPr="00155CAC" w:rsidRDefault="00155CAC" w:rsidP="00155CAC">
      <w:pPr>
        <w:pStyle w:val="Bibliography"/>
        <w:rPr>
          <w:rFonts w:ascii="Calibri" w:cs="Calibri"/>
          <w:sz w:val="24"/>
        </w:rPr>
      </w:pPr>
      <w:r w:rsidRPr="00155CAC">
        <w:rPr>
          <w:rFonts w:ascii="Calibri" w:cs="Calibri"/>
          <w:sz w:val="24"/>
        </w:rPr>
        <w:t>[11]</w:t>
      </w:r>
      <w:r w:rsidRPr="00155CAC">
        <w:rPr>
          <w:rFonts w:ascii="Calibri" w:cs="Calibri"/>
          <w:sz w:val="24"/>
        </w:rPr>
        <w:tab/>
        <w:t xml:space="preserve">A. Quijano-Rubio </w:t>
      </w:r>
      <w:r w:rsidRPr="00155CAC">
        <w:rPr>
          <w:rFonts w:ascii="Calibri" w:cs="Calibri"/>
          <w:i/>
          <w:iCs/>
          <w:sz w:val="24"/>
        </w:rPr>
        <w:t>et al.</w:t>
      </w:r>
      <w:r w:rsidRPr="00155CAC">
        <w:rPr>
          <w:rFonts w:ascii="Calibri" w:cs="Calibri"/>
          <w:sz w:val="24"/>
        </w:rPr>
        <w:t xml:space="preserve">, “De novo design of modular and tunable protein biosensors,” </w:t>
      </w:r>
      <w:r w:rsidRPr="00155CAC">
        <w:rPr>
          <w:rFonts w:ascii="Calibri" w:cs="Calibri"/>
          <w:i/>
          <w:iCs/>
          <w:sz w:val="24"/>
        </w:rPr>
        <w:t>Nature</w:t>
      </w:r>
      <w:r w:rsidRPr="00155CAC">
        <w:rPr>
          <w:rFonts w:ascii="Calibri" w:cs="Calibri"/>
          <w:sz w:val="24"/>
        </w:rPr>
        <w:t xml:space="preserve">, vol. 591, no. 7850, pp. 482–487, Mar. 2021, </w:t>
      </w:r>
      <w:proofErr w:type="spellStart"/>
      <w:r w:rsidRPr="00155CAC">
        <w:rPr>
          <w:rFonts w:ascii="Calibri" w:cs="Calibri"/>
          <w:sz w:val="24"/>
        </w:rPr>
        <w:t>doi</w:t>
      </w:r>
      <w:proofErr w:type="spellEnd"/>
      <w:r w:rsidRPr="00155CAC">
        <w:rPr>
          <w:rFonts w:ascii="Calibri" w:cs="Calibri"/>
          <w:sz w:val="24"/>
        </w:rPr>
        <w:t>: 10.1038/s41586-021-03258-z.</w:t>
      </w:r>
    </w:p>
    <w:p w14:paraId="0136C9E1" w14:textId="7001CB5E" w:rsidR="00155CAC" w:rsidRDefault="00155CAC" w:rsidP="00F3175C">
      <w:pPr>
        <w:rPr>
          <w:rFonts w:asciiTheme="minorHAnsi" w:hAnsiTheme="minorHAnsi" w:cstheme="minorHAnsi"/>
        </w:rPr>
      </w:pPr>
      <w:r>
        <w:rPr>
          <w:rFonts w:asciiTheme="minorHAnsi" w:hAnsiTheme="minorHAnsi" w:cstheme="minorHAnsi"/>
        </w:rPr>
        <w:fldChar w:fldCharType="end"/>
      </w:r>
    </w:p>
    <w:p w14:paraId="6004EE91" w14:textId="38410DD0" w:rsidR="002D51A0" w:rsidRDefault="002D51A0" w:rsidP="00F3175C">
      <w:pPr>
        <w:rPr>
          <w:rFonts w:asciiTheme="minorHAnsi" w:hAnsiTheme="minorHAnsi" w:cstheme="minorHAnsi"/>
        </w:rPr>
      </w:pPr>
    </w:p>
    <w:p w14:paraId="5EAB61F2" w14:textId="39AD8A84" w:rsidR="0099005B" w:rsidRPr="00956344" w:rsidRDefault="0099005B" w:rsidP="00D830DB">
      <w:pP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2E76" w14:textId="77777777" w:rsidR="001054C5" w:rsidRDefault="001054C5" w:rsidP="00816FCF">
      <w:r>
        <w:separator/>
      </w:r>
    </w:p>
  </w:endnote>
  <w:endnote w:type="continuationSeparator" w:id="0">
    <w:p w14:paraId="46EAA0DE" w14:textId="77777777" w:rsidR="001054C5" w:rsidRDefault="001054C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F4116" w14:textId="77777777" w:rsidR="001054C5" w:rsidRDefault="001054C5" w:rsidP="00816FCF">
      <w:r>
        <w:separator/>
      </w:r>
    </w:p>
  </w:footnote>
  <w:footnote w:type="continuationSeparator" w:id="0">
    <w:p w14:paraId="1D77F7C6" w14:textId="77777777" w:rsidR="001054C5" w:rsidRDefault="001054C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1"/>
  </w:num>
  <w:num w:numId="18" w16cid:durableId="77602603">
    <w:abstractNumId w:val="12"/>
  </w:num>
  <w:num w:numId="19" w16cid:durableId="206914567">
    <w:abstractNumId w:val="5"/>
  </w:num>
  <w:num w:numId="20" w16cid:durableId="40370820">
    <w:abstractNumId w:val="18"/>
  </w:num>
  <w:num w:numId="21" w16cid:durableId="454451421">
    <w:abstractNumId w:val="30"/>
  </w:num>
  <w:num w:numId="22" w16cid:durableId="724375420">
    <w:abstractNumId w:val="19"/>
  </w:num>
  <w:num w:numId="23" w16cid:durableId="471363913">
    <w:abstractNumId w:val="3"/>
  </w:num>
  <w:num w:numId="24" w16cid:durableId="544297242">
    <w:abstractNumId w:val="11"/>
  </w:num>
  <w:num w:numId="25" w16cid:durableId="1245412842">
    <w:abstractNumId w:val="33"/>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2"/>
  </w:num>
  <w:num w:numId="34" w16cid:durableId="5005085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4293"/>
    <w:rsid w:val="00094EBD"/>
    <w:rsid w:val="000B2B41"/>
    <w:rsid w:val="000C4D60"/>
    <w:rsid w:val="000C5DE6"/>
    <w:rsid w:val="000C71C6"/>
    <w:rsid w:val="000D202C"/>
    <w:rsid w:val="000E553D"/>
    <w:rsid w:val="000E7007"/>
    <w:rsid w:val="000F0988"/>
    <w:rsid w:val="001054C5"/>
    <w:rsid w:val="00116A03"/>
    <w:rsid w:val="00121E56"/>
    <w:rsid w:val="0013397C"/>
    <w:rsid w:val="00146C8A"/>
    <w:rsid w:val="00147586"/>
    <w:rsid w:val="0015202A"/>
    <w:rsid w:val="00155CAC"/>
    <w:rsid w:val="00157D88"/>
    <w:rsid w:val="00162930"/>
    <w:rsid w:val="00164860"/>
    <w:rsid w:val="00171A8C"/>
    <w:rsid w:val="00172BED"/>
    <w:rsid w:val="001804A5"/>
    <w:rsid w:val="0019408A"/>
    <w:rsid w:val="001A3C77"/>
    <w:rsid w:val="001B1196"/>
    <w:rsid w:val="001C544A"/>
    <w:rsid w:val="001D09AD"/>
    <w:rsid w:val="001D3ECA"/>
    <w:rsid w:val="0020081E"/>
    <w:rsid w:val="002036C9"/>
    <w:rsid w:val="0020509A"/>
    <w:rsid w:val="002061C2"/>
    <w:rsid w:val="002153FB"/>
    <w:rsid w:val="00215509"/>
    <w:rsid w:val="002155DE"/>
    <w:rsid w:val="0023740B"/>
    <w:rsid w:val="002401FF"/>
    <w:rsid w:val="00240F19"/>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6AD8"/>
    <w:rsid w:val="003313F9"/>
    <w:rsid w:val="003337F9"/>
    <w:rsid w:val="00340292"/>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BFA"/>
    <w:rsid w:val="003E5E3A"/>
    <w:rsid w:val="003E6E2D"/>
    <w:rsid w:val="003F00AB"/>
    <w:rsid w:val="003F1974"/>
    <w:rsid w:val="0040191B"/>
    <w:rsid w:val="00404037"/>
    <w:rsid w:val="0040403B"/>
    <w:rsid w:val="00414375"/>
    <w:rsid w:val="00421AA6"/>
    <w:rsid w:val="004269FE"/>
    <w:rsid w:val="004347A4"/>
    <w:rsid w:val="004464C7"/>
    <w:rsid w:val="004514D3"/>
    <w:rsid w:val="00456A40"/>
    <w:rsid w:val="00465C92"/>
    <w:rsid w:val="004711BC"/>
    <w:rsid w:val="00471BDF"/>
    <w:rsid w:val="004742A6"/>
    <w:rsid w:val="00477D80"/>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56D0"/>
    <w:rsid w:val="0051616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5F1FD7"/>
    <w:rsid w:val="00605EF5"/>
    <w:rsid w:val="00610E89"/>
    <w:rsid w:val="00617491"/>
    <w:rsid w:val="0062330F"/>
    <w:rsid w:val="00635426"/>
    <w:rsid w:val="00636239"/>
    <w:rsid w:val="00640995"/>
    <w:rsid w:val="00641AD9"/>
    <w:rsid w:val="0064399E"/>
    <w:rsid w:val="00644D4F"/>
    <w:rsid w:val="00664264"/>
    <w:rsid w:val="006642F8"/>
    <w:rsid w:val="00665AB2"/>
    <w:rsid w:val="00671817"/>
    <w:rsid w:val="00683313"/>
    <w:rsid w:val="00685E2D"/>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5621"/>
    <w:rsid w:val="007101CA"/>
    <w:rsid w:val="0071203C"/>
    <w:rsid w:val="0071509A"/>
    <w:rsid w:val="007203FF"/>
    <w:rsid w:val="00727514"/>
    <w:rsid w:val="00730E24"/>
    <w:rsid w:val="00731F08"/>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6FC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A5F"/>
    <w:rsid w:val="00893732"/>
    <w:rsid w:val="00896F25"/>
    <w:rsid w:val="008A594B"/>
    <w:rsid w:val="008A7B5C"/>
    <w:rsid w:val="008B07A8"/>
    <w:rsid w:val="008B1B3B"/>
    <w:rsid w:val="008C6533"/>
    <w:rsid w:val="008D4EF3"/>
    <w:rsid w:val="008E2D4C"/>
    <w:rsid w:val="008E307C"/>
    <w:rsid w:val="008E5452"/>
    <w:rsid w:val="008E560C"/>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6D09"/>
    <w:rsid w:val="009979F5"/>
    <w:rsid w:val="009A1D5E"/>
    <w:rsid w:val="009A388F"/>
    <w:rsid w:val="009A6F44"/>
    <w:rsid w:val="009B7DB9"/>
    <w:rsid w:val="009C5D86"/>
    <w:rsid w:val="009C66A6"/>
    <w:rsid w:val="009E2155"/>
    <w:rsid w:val="009F33A9"/>
    <w:rsid w:val="00A31CC3"/>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5B82"/>
    <w:rsid w:val="00BE6B00"/>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74F46"/>
    <w:rsid w:val="00C8381A"/>
    <w:rsid w:val="00C86737"/>
    <w:rsid w:val="00CA13B8"/>
    <w:rsid w:val="00CA5C0F"/>
    <w:rsid w:val="00CB0D2F"/>
    <w:rsid w:val="00CC3F21"/>
    <w:rsid w:val="00CC60D3"/>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30B0"/>
    <w:rsid w:val="00DE46EC"/>
    <w:rsid w:val="00DF6CC5"/>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D2030"/>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6</cp:revision>
  <cp:lastPrinted>2022-04-03T15:52:00Z</cp:lastPrinted>
  <dcterms:created xsi:type="dcterms:W3CDTF">2022-04-03T15:52:00Z</dcterms:created>
  <dcterms:modified xsi:type="dcterms:W3CDTF">2022-04-03T15:58:00Z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