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77A9" w14:textId="77777777" w:rsidR="0092747A" w:rsidRPr="0092747A" w:rsidRDefault="0092747A" w:rsidP="0092747A">
      <w:pPr>
        <w:spacing w:after="0" w:line="240" w:lineRule="auto"/>
        <w:rPr>
          <w:rFonts w:ascii="Times New Roman" w:eastAsia="Times New Roman" w:hAnsi="Times New Roman" w:cs="Times New Roman"/>
          <w:sz w:val="24"/>
          <w:szCs w:val="24"/>
        </w:rPr>
      </w:pPr>
      <w:r w:rsidRPr="0092747A">
        <w:rPr>
          <w:rFonts w:ascii="Tahoma" w:eastAsia="Times New Roman" w:hAnsi="Tahoma" w:cs="Tahoma"/>
          <w:color w:val="000000"/>
          <w:sz w:val="20"/>
          <w:szCs w:val="20"/>
          <w:shd w:val="clear" w:color="auto" w:fill="F8F8F8"/>
        </w:rPr>
        <w:t>for a primary research article related to study of the cytoskeleton in a cell type of your choosing</w:t>
      </w:r>
    </w:p>
    <w:p w14:paraId="231C0CB7" w14:textId="5AF574F8" w:rsidR="003B64B8" w:rsidRDefault="003B64B8" w:rsidP="003B64B8">
      <w:r w:rsidRPr="003B64B8">
        <w:t xml:space="preserve">1) The cell type you chose, </w:t>
      </w:r>
    </w:p>
    <w:p w14:paraId="282ECCF2" w14:textId="77777777" w:rsidR="003B64B8" w:rsidRDefault="003B64B8" w:rsidP="003B64B8">
      <w:r w:rsidRPr="003B64B8">
        <w:t>2) The name of the primary research publication you found interesting,</w:t>
      </w:r>
    </w:p>
    <w:p w14:paraId="0E541038" w14:textId="77777777" w:rsidR="003B64B8" w:rsidRDefault="003B64B8" w:rsidP="003B64B8">
      <w:r w:rsidRPr="003B64B8">
        <w:t xml:space="preserve"> 3) The research question being asked in the publication, </w:t>
      </w:r>
    </w:p>
    <w:p w14:paraId="5324540E" w14:textId="77777777" w:rsidR="003B64B8" w:rsidRDefault="003B64B8" w:rsidP="003B64B8">
      <w:r w:rsidRPr="003B64B8">
        <w:t xml:space="preserve">4) The cellular model that was used to try to answer the research question, and </w:t>
      </w:r>
    </w:p>
    <w:p w14:paraId="6A87B316" w14:textId="6E70041E" w:rsidR="003B64B8" w:rsidRPr="003B64B8" w:rsidRDefault="003B64B8" w:rsidP="003B64B8">
      <w:r>
        <w:t>5</w:t>
      </w:r>
      <w:r w:rsidRPr="003B64B8">
        <w:t>) How many review articles resulted from a search of this specific topic? Be sure to include citations.</w:t>
      </w:r>
    </w:p>
    <w:p w14:paraId="4088673E" w14:textId="613FA2D7" w:rsidR="0092747A" w:rsidRDefault="0092747A" w:rsidP="0092747A"/>
    <w:p w14:paraId="2EB30051" w14:textId="098F6A4F" w:rsidR="00E90DAB" w:rsidRDefault="0092747A" w:rsidP="006A62E2">
      <w:pPr>
        <w:pStyle w:val="ListParagraph"/>
        <w:numPr>
          <w:ilvl w:val="0"/>
          <w:numId w:val="7"/>
        </w:numPr>
      </w:pPr>
      <w:r>
        <w:t xml:space="preserve">Myelin sheath is an insulating layer that forms around nerves, allowing electrical signal </w:t>
      </w:r>
      <w:r w:rsidR="00E90DAB">
        <w:t xml:space="preserve">to transmit </w:t>
      </w:r>
      <w:r>
        <w:t>quickly</w:t>
      </w:r>
      <w:r w:rsidR="00E90DAB">
        <w:t xml:space="preserve"> along the </w:t>
      </w:r>
      <w:r w:rsidR="00EF57E7">
        <w:t>axon</w:t>
      </w:r>
      <w:r>
        <w:t xml:space="preserve"> (saltatory conduction). In the central nervous system (CNS), the myelin is formed by oligodendroglia cells and in the peripheral nervous system (PNS) </w:t>
      </w:r>
      <w:r w:rsidR="00C70ACD">
        <w:t>by Schwann</w:t>
      </w:r>
      <w:r>
        <w:t xml:space="preserve"> cells</w:t>
      </w:r>
      <w:r w:rsidR="00FA6A5D">
        <w:t xml:space="preserve"> </w:t>
      </w:r>
      <w:r w:rsidR="00FA6A5D">
        <w:fldChar w:fldCharType="begin"/>
      </w:r>
      <w:r w:rsidR="00FA6A5D">
        <w:instrText xml:space="preserve"> ADDIN ZOTERO_ITEM CSL_CITATION {"citationID":"NmBKNLy1","properties":{"formattedCitation":"[1]","plainCitation":"[1]","noteIndex":0},"citationItems":[{"id":757,"uris":["http://zotero.org/users/7286058/items/LTKJ7FEM"],"uri":["http://zotero.org/users/7286058/items/LTKJ7FEM"],"itemData":{"id":757,"type":"article-journal","abstract":"The myelin sheath is a greatly extended and modified plasma membrane wrapped around the nerve axon in a spiral fashion [1]. The myelin membranes originate from and are a part of the Schwann cells in the peripheral nervous system (PNS) and the oligodendroglial cells in the central nervous system (CNS) (see Chap. 1). Each myelin-generating cell furnishes myelin for only one segment of any given axon. The periodic interruptions where short portions of the axon are left uncovered by myelin are the nodes of Ranvier, and they are critical to the functioning of myelin.","container-title":"Basic Neurochemistry: Molecular, Cellular and Medical Aspects. 6th edition","language":"en","note":"publisher: Lippincott-Raven","source":"www-ncbi-nlm-nih-gov.proxy1.library.jhu.edu","title":"The Myelin Sheath","URL":"http://www.ncbi.nlm.nih.gov/books/NBK27954/","author":[{"family":"Morell","given":"Pierre"},{"family":"Quarles","given":"Richard H."}],"accessed":{"date-parts":[["2022",2,2]]},"issued":{"date-parts":[["1999"]]}}}],"schema":"https://github.com/citation-style-language/schema/raw/master/csl-citation.json"} </w:instrText>
      </w:r>
      <w:r w:rsidR="00FA6A5D">
        <w:fldChar w:fldCharType="separate"/>
      </w:r>
      <w:r w:rsidR="00FA6A5D">
        <w:rPr>
          <w:noProof/>
        </w:rPr>
        <w:t>[1]</w:t>
      </w:r>
      <w:r w:rsidR="00FA6A5D">
        <w:fldChar w:fldCharType="end"/>
      </w:r>
      <w:r>
        <w:t>.</w:t>
      </w:r>
      <w:r w:rsidR="00DC5AD6">
        <w:t xml:space="preserve"> </w:t>
      </w:r>
    </w:p>
    <w:p w14:paraId="7AC8256C" w14:textId="6B50A23C" w:rsidR="00E90DAB" w:rsidRDefault="00DC5AD6" w:rsidP="00E90DAB">
      <w:pPr>
        <w:pStyle w:val="ListParagraph"/>
        <w:numPr>
          <w:ilvl w:val="0"/>
          <w:numId w:val="5"/>
        </w:numPr>
      </w:pPr>
      <w:r>
        <w:t>Oligodendrocytes originate from oligodendrocyte progenitor cells (OPCs) after distinct developmental stages. Then they extend to provide insulation to many axons.</w:t>
      </w:r>
    </w:p>
    <w:p w14:paraId="7D025516" w14:textId="3C28FF8D" w:rsidR="00DC5AD6" w:rsidRDefault="00DC5AD6" w:rsidP="00E90DAB">
      <w:pPr>
        <w:pStyle w:val="ListParagraph"/>
        <w:numPr>
          <w:ilvl w:val="0"/>
          <w:numId w:val="5"/>
        </w:numPr>
      </w:pPr>
      <w:r>
        <w:t xml:space="preserve">Schwann cells, have </w:t>
      </w:r>
      <w:r w:rsidR="00E90DAB">
        <w:t>diverse</w:t>
      </w:r>
      <w:r>
        <w:t xml:space="preserve"> functions, including clustering of ion channels at the nodes of Ranvier, promotion of neuronal survival, and regulation of axonal diameter</w:t>
      </w:r>
      <w:r w:rsidR="00E90DAB">
        <w:t xml:space="preserve"> and typically myelinate only a single axon</w:t>
      </w:r>
      <w:r w:rsidR="00FA6A5D">
        <w:t xml:space="preserve"> </w:t>
      </w:r>
      <w:r w:rsidR="00FA6A5D">
        <w:fldChar w:fldCharType="begin"/>
      </w:r>
      <w:r w:rsidR="00FA6A5D">
        <w:instrText xml:space="preserve"> ADDIN ZOTERO_ITEM CSL_CITATION {"citationID":"RYCcGkUd","properties":{"formattedCitation":"[2]","plainCitation":"[2]","noteIndex":0},"citationItems":[{"id":761,"uris":["http://zotero.org/users/7286058/items/APXXTSTT"],"uri":["http://zotero.org/users/7286058/items/APXXTSTT"],"itemData":{"id":761,"type":"article-journal","abstract":"Peripheral nerve injuries arising from trauma or disease can lead to sensory and motor deficits and neuropathic pain. Despite the purported ability of the peripheral nerve to self-repair, lifelong disability is common. New molecular and cellular insights have begun to reveal why the peripheral nerve has limited repair capacity. The peripheral nerve is primarily comprised of axons and Schwann cells, the supporting glial cells that produce myelin to facilitate the rapid conduction of electrical impulses. Schwann cells are required for successful nerve regeneration; they partially “de-differentiate” in response to injury, re-initiating the expression of developmental genes that support nerve repair. However, Schwann cell dysfunction, which occurs in chronic nerve injury, disease, and aging, limits their capacity to support endogenous repair, worsening patient outcomes. Cell replacement-based therapeutic approaches using exogenous Schwann cells could be curative, but not all Schwann cells have a “repair” phenotype, defined as the ability to promote axonal growth, maintain a proliferative phenotype, and remyelinate axons. Two cell replacement strategies are being championed for peripheral nerve repair: prospective isolation of “repair” Schwann cells for autologous cell transplants, which is hampered by supply challenges, and directed differentiation of pluripotent stem cells or lineage conversion of accessible somatic cells to induced Schwann cells, with the potential of “unlimited” supply. All approaches require a solid understanding of the molecular mechanisms guiding Schwann cell development and the repair phenotype, which we review herein. Together these studies provide essential context for current efforts to design glial cell-based therapies for peripheral nerve regeneration.","container-title":"Frontiers in Molecular Neuroscience","ISSN":"1662-5099","source":"Frontiers","title":"Insights Into the Role and Potential of Schwann Cells for Peripheral Nerve Repair From Studies of Development and Injury","URL":"https://www.frontiersin.org/article/10.3389/fnmol.2020.608442","volume":"13","author":[{"family":"Balakrishnan","given":"Anjali"},{"family":"Belfiore","given":"Lauren"},{"family":"Chu","given":"Tak-Ho"},{"family":"Fleming","given":"Taylor"},{"family":"Midha","given":"Rajiv"},{"family":"Biernaskie","given":"Jeff"},{"family":"Schuurmans","given":"Carol"}],"accessed":{"date-parts":[["2022",2,2]]},"issued":{"date-parts":[["2021"]]}}}],"schema":"https://github.com/citation-style-language/schema/raw/master/csl-citation.json"} </w:instrText>
      </w:r>
      <w:r w:rsidR="00FA6A5D">
        <w:fldChar w:fldCharType="separate"/>
      </w:r>
      <w:r w:rsidR="00FA6A5D">
        <w:rPr>
          <w:noProof/>
        </w:rPr>
        <w:t>[2]</w:t>
      </w:r>
      <w:r w:rsidR="00FA6A5D">
        <w:fldChar w:fldCharType="end"/>
      </w:r>
      <w:r>
        <w:t>.</w:t>
      </w:r>
    </w:p>
    <w:p w14:paraId="228F0B95" w14:textId="0C6187F7" w:rsidR="00DC5AD6" w:rsidRDefault="00806F66" w:rsidP="006A62E2">
      <w:pPr>
        <w:pStyle w:val="ListParagraph"/>
        <w:numPr>
          <w:ilvl w:val="0"/>
          <w:numId w:val="7"/>
        </w:numPr>
      </w:pPr>
      <w:r>
        <w:t xml:space="preserve">The actin cytoskeleton in </w:t>
      </w:r>
      <w:r w:rsidR="00610E89">
        <w:t>myelinating</w:t>
      </w:r>
      <w:r>
        <w:t xml:space="preserve"> cells</w:t>
      </w:r>
      <w:r w:rsidR="00FA6A5D">
        <w:t xml:space="preserve"> – Tanya L. Brown, Wendy B. Macklin </w:t>
      </w:r>
    </w:p>
    <w:p w14:paraId="736FDA44" w14:textId="34A63AAB" w:rsidR="00B73290" w:rsidRDefault="002153FB" w:rsidP="006A62E2">
      <w:pPr>
        <w:pStyle w:val="ListParagraph"/>
        <w:numPr>
          <w:ilvl w:val="0"/>
          <w:numId w:val="7"/>
        </w:numPr>
      </w:pPr>
      <w:r>
        <w:t xml:space="preserve">In myelinating cells, the cytoskeleton acts as a scaffold to mediate cell-to-cell interactions and exhibits specific activity patterns. </w:t>
      </w:r>
      <w:r w:rsidR="00E90DAB">
        <w:t xml:space="preserve">The paper </w:t>
      </w:r>
      <w:r w:rsidR="00D2174E">
        <w:t>describes</w:t>
      </w:r>
      <w:r w:rsidR="00E90DAB">
        <w:t xml:space="preserve"> cytoskeletal molecules which regulate these patterns during </w:t>
      </w:r>
      <w:r>
        <w:t xml:space="preserve">cell differentiation and myelination. </w:t>
      </w:r>
    </w:p>
    <w:p w14:paraId="4F542322" w14:textId="08D3B62C" w:rsidR="00B73290" w:rsidRDefault="009F33A9" w:rsidP="00EF57E7">
      <w:pPr>
        <w:pStyle w:val="ListParagraph"/>
        <w:numPr>
          <w:ilvl w:val="0"/>
          <w:numId w:val="7"/>
        </w:numPr>
        <w:spacing w:after="0" w:line="240" w:lineRule="auto"/>
      </w:pPr>
      <w:r>
        <w:t>In-vitro experiments and v</w:t>
      </w:r>
      <w:r w:rsidR="002153FB">
        <w:t>arious animal models</w:t>
      </w:r>
      <w:r>
        <w:t xml:space="preserve"> (rats, mice, knockout mice)</w:t>
      </w:r>
      <w:r w:rsidR="002153FB">
        <w:t xml:space="preserve"> </w:t>
      </w:r>
      <w:r w:rsidR="00B73290">
        <w:t>have been used for research, to identify:</w:t>
      </w:r>
    </w:p>
    <w:p w14:paraId="03F46F04" w14:textId="1651BF3F" w:rsidR="002153FB" w:rsidRDefault="00B73290" w:rsidP="006A62E2">
      <w:pPr>
        <w:pStyle w:val="ListParagraph"/>
        <w:numPr>
          <w:ilvl w:val="0"/>
          <w:numId w:val="6"/>
        </w:numPr>
        <w:spacing w:after="0" w:line="240" w:lineRule="auto"/>
      </w:pPr>
      <w:r>
        <w:t>A</w:t>
      </w:r>
      <w:r w:rsidR="002153FB">
        <w:t xml:space="preserve">ctin polymerizing proteins (WAVE1, WAVE2), and signal transduction molecular </w:t>
      </w:r>
      <w:r w:rsidR="009A6F44">
        <w:t>switches, Rho</w:t>
      </w:r>
      <w:r w:rsidR="002153FB">
        <w:t xml:space="preserve"> GTPases, </w:t>
      </w:r>
      <w:r w:rsidR="006A62E2">
        <w:t xml:space="preserve">which </w:t>
      </w:r>
      <w:r w:rsidR="002153FB">
        <w:t>regulate cell proliferation and myelination.</w:t>
      </w:r>
    </w:p>
    <w:p w14:paraId="201D9AF2" w14:textId="59E17784" w:rsidR="00B73290" w:rsidRDefault="006A62E2" w:rsidP="006A62E2">
      <w:pPr>
        <w:pStyle w:val="ListParagraph"/>
        <w:numPr>
          <w:ilvl w:val="0"/>
          <w:numId w:val="6"/>
        </w:numPr>
        <w:spacing w:after="0" w:line="240" w:lineRule="auto"/>
      </w:pPr>
      <w:r>
        <w:t>M</w:t>
      </w:r>
      <w:r w:rsidR="00B73290">
        <w:t xml:space="preserve">ajor actin depolymerizing molecules: </w:t>
      </w:r>
      <w:r w:rsidR="00B73290" w:rsidRPr="006A62E2">
        <w:rPr>
          <w:i/>
          <w:iCs/>
        </w:rPr>
        <w:t>cofilin</w:t>
      </w:r>
      <w:r w:rsidR="00B73290">
        <w:t xml:space="preserve">, </w:t>
      </w:r>
      <w:r w:rsidR="00B73290" w:rsidRPr="006A62E2">
        <w:rPr>
          <w:i/>
          <w:iCs/>
        </w:rPr>
        <w:t>gelsolin</w:t>
      </w:r>
      <w:r w:rsidR="00B73290">
        <w:tab/>
      </w:r>
    </w:p>
    <w:p w14:paraId="370E0977" w14:textId="1FDE2AC1" w:rsidR="00D2174E" w:rsidRDefault="00D2174E" w:rsidP="006A62E2">
      <w:pPr>
        <w:pStyle w:val="ListParagraph"/>
        <w:numPr>
          <w:ilvl w:val="0"/>
          <w:numId w:val="6"/>
        </w:numPr>
        <w:spacing w:after="0" w:line="240" w:lineRule="auto"/>
      </w:pPr>
      <w:r>
        <w:t xml:space="preserve">PAK molecules </w:t>
      </w:r>
      <w:r w:rsidR="006A62E2">
        <w:t xml:space="preserve">which </w:t>
      </w:r>
      <w:r>
        <w:t>regulate oligodendrocyte development.</w:t>
      </w:r>
    </w:p>
    <w:p w14:paraId="27352FDF" w14:textId="57E7E511" w:rsidR="00810DA2" w:rsidRDefault="00810DA2" w:rsidP="006A62E2">
      <w:pPr>
        <w:pStyle w:val="ListParagraph"/>
        <w:numPr>
          <w:ilvl w:val="0"/>
          <w:numId w:val="6"/>
        </w:numPr>
        <w:spacing w:after="0" w:line="240" w:lineRule="auto"/>
      </w:pPr>
      <w:r>
        <w:t xml:space="preserve">In the PNS, </w:t>
      </w:r>
      <w:r w:rsidRPr="006A62E2">
        <w:rPr>
          <w:i/>
          <w:iCs/>
        </w:rPr>
        <w:t>in vitro</w:t>
      </w:r>
      <w:r>
        <w:t xml:space="preserve"> inhibition of the Rho/ROCK pathway in Schwan cells lead to shorter and sometimes thicker myelin internodes, while </w:t>
      </w:r>
      <w:r w:rsidRPr="006A62E2">
        <w:rPr>
          <w:i/>
          <w:iCs/>
        </w:rPr>
        <w:t>in vivo</w:t>
      </w:r>
      <w:r>
        <w:t xml:space="preserve"> deletion of N-SWAP in the same cells has similar effect in damaged sciatic fiber.</w:t>
      </w:r>
    </w:p>
    <w:p w14:paraId="764BAE4E" w14:textId="5D0E24E5" w:rsidR="00080240" w:rsidRPr="006A62E2" w:rsidRDefault="00080240" w:rsidP="006A62E2">
      <w:pPr>
        <w:pStyle w:val="ListParagraph"/>
        <w:numPr>
          <w:ilvl w:val="0"/>
          <w:numId w:val="6"/>
        </w:numPr>
        <w:spacing w:after="0" w:line="240" w:lineRule="auto"/>
        <w:rPr>
          <w:rFonts w:eastAsia="Times New Roman" w:cstheme="minorHAnsi"/>
        </w:rPr>
      </w:pPr>
      <w:r>
        <w:t xml:space="preserve">Experiments with various animal models (Trembler J mouse, Shiverer mouse, </w:t>
      </w:r>
      <w:r w:rsidRPr="006A62E2">
        <w:rPr>
          <w:rFonts w:eastAsia="Times New Roman" w:cstheme="minorHAnsi"/>
          <w:color w:val="212121"/>
          <w:shd w:val="clear" w:color="auto" w:fill="FFFFFF"/>
        </w:rPr>
        <w:t xml:space="preserve">hereditary neuropathy with liability to pressure </w:t>
      </w:r>
      <w:r w:rsidR="00FA6A5D" w:rsidRPr="006A62E2">
        <w:rPr>
          <w:rFonts w:eastAsia="Times New Roman" w:cstheme="minorHAnsi"/>
          <w:color w:val="212121"/>
          <w:shd w:val="clear" w:color="auto" w:fill="FFFFFF"/>
        </w:rPr>
        <w:t>palsy</w:t>
      </w:r>
      <w:r w:rsidRPr="006A62E2">
        <w:rPr>
          <w:rFonts w:eastAsia="Times New Roman" w:cstheme="minorHAnsi"/>
        </w:rPr>
        <w:t xml:space="preserve"> (HNPP) </w:t>
      </w:r>
      <w:r>
        <w:t xml:space="preserve">mouse) show that diseases could cause cytoskeletal changes in CNS and PNS and changes in cytoskeletal regulators </w:t>
      </w:r>
      <w:r w:rsidR="00AB3CE1">
        <w:t xml:space="preserve">can </w:t>
      </w:r>
      <w:r>
        <w:t xml:space="preserve">lead to disease states. </w:t>
      </w:r>
    </w:p>
    <w:p w14:paraId="53FCCB35" w14:textId="74C8017A" w:rsidR="002153FB" w:rsidRDefault="00FA6A5D" w:rsidP="006A62E2">
      <w:pPr>
        <w:spacing w:after="0" w:line="240" w:lineRule="auto"/>
      </w:pPr>
      <w:r>
        <w:t>Within a year 3 review articles were published:</w:t>
      </w:r>
    </w:p>
    <w:p w14:paraId="37ED9317" w14:textId="3030B73E" w:rsidR="00FA6A5D" w:rsidRDefault="00FA6A5D" w:rsidP="006A62E2">
      <w:pPr>
        <w:spacing w:after="0" w:line="240" w:lineRule="auto"/>
      </w:pPr>
    </w:p>
    <w:p w14:paraId="51D82B6A" w14:textId="77777777" w:rsidR="00FA6A5D" w:rsidRPr="00FA6A5D" w:rsidRDefault="00FA6A5D" w:rsidP="00FA6A5D">
      <w:pPr>
        <w:shd w:val="clear" w:color="auto" w:fill="FFFFFF"/>
        <w:spacing w:before="100" w:beforeAutospacing="1" w:after="100" w:afterAutospacing="1" w:line="240" w:lineRule="auto"/>
        <w:outlineLvl w:val="0"/>
      </w:pPr>
      <w:r w:rsidRPr="00FA6A5D">
        <w:t>Cofilin and Neurodegeneration: New Functions</w:t>
      </w:r>
      <w:r w:rsidRPr="00FA6A5D">
        <w:rPr>
          <w:rFonts w:ascii="Merriweather" w:eastAsia="Times New Roman" w:hAnsi="Merriweather" w:cs="Times New Roman"/>
          <w:b/>
          <w:bCs/>
          <w:color w:val="212121"/>
          <w:kern w:val="36"/>
          <w:sz w:val="48"/>
          <w:szCs w:val="48"/>
        </w:rPr>
        <w:t xml:space="preserve"> </w:t>
      </w:r>
      <w:r w:rsidRPr="00FA6A5D">
        <w:t>for an Old but Gold Protein</w:t>
      </w:r>
    </w:p>
    <w:p w14:paraId="57F28FDA" w14:textId="6D0671F9" w:rsidR="00FA6A5D" w:rsidRDefault="00FA6A5D" w:rsidP="006A62E2">
      <w:pPr>
        <w:spacing w:after="0" w:line="240" w:lineRule="auto"/>
      </w:pPr>
    </w:p>
    <w:p w14:paraId="2B4F4FF3" w14:textId="77777777" w:rsidR="00FA6A5D" w:rsidRDefault="00FA6A5D" w:rsidP="006A62E2">
      <w:pPr>
        <w:spacing w:after="0" w:line="240" w:lineRule="auto"/>
      </w:pPr>
    </w:p>
    <w:p w14:paraId="11AFDA29" w14:textId="14A9CB76" w:rsidR="002153FB" w:rsidRDefault="002153FB" w:rsidP="0092747A"/>
    <w:p w14:paraId="50EF3CF4" w14:textId="05023EFD" w:rsidR="00FA6A5D" w:rsidRDefault="00FA6A5D" w:rsidP="0092747A"/>
    <w:p w14:paraId="42371FB7" w14:textId="57C884F9" w:rsidR="00FA6A5D" w:rsidRDefault="00FA6A5D" w:rsidP="0092747A"/>
    <w:p w14:paraId="42A227F6" w14:textId="77777777" w:rsidR="00FA6A5D" w:rsidRDefault="00FA6A5D" w:rsidP="0092747A"/>
    <w:p w14:paraId="08FB62C2" w14:textId="021B4222" w:rsidR="0092747A" w:rsidRDefault="00FA6A5D" w:rsidP="003B64B8">
      <w:hyperlink r:id="rId5" w:history="1">
        <w:r w:rsidR="0092747A" w:rsidRPr="0096421A">
          <w:rPr>
            <w:rStyle w:val="Hyperlink"/>
          </w:rPr>
          <w:t>https://pubmed.ncbi.nlm.nih.gov/34287056/</w:t>
        </w:r>
      </w:hyperlink>
    </w:p>
    <w:p w14:paraId="781CD612" w14:textId="4E793FAC" w:rsidR="0092747A" w:rsidRDefault="00FA6A5D" w:rsidP="003B64B8">
      <w:hyperlink r:id="rId6" w:history="1">
        <w:r w:rsidR="0092747A" w:rsidRPr="0096421A">
          <w:rPr>
            <w:rStyle w:val="Hyperlink"/>
          </w:rPr>
          <w:t>https://pubmed.ncbi.nlm.nih.gov/28390425/</w:t>
        </w:r>
      </w:hyperlink>
    </w:p>
    <w:p w14:paraId="1433D361" w14:textId="1C8C99F4" w:rsidR="0092747A" w:rsidRDefault="0092747A" w:rsidP="003B64B8"/>
    <w:p w14:paraId="58FAF1C4" w14:textId="110AFF9B" w:rsidR="0092747A" w:rsidRDefault="00FA6A5D" w:rsidP="003B64B8">
      <w:hyperlink r:id="rId7" w:history="1">
        <w:r w:rsidR="0092747A" w:rsidRPr="0096421A">
          <w:rPr>
            <w:rStyle w:val="Hyperlink"/>
          </w:rPr>
          <w:t>https://pubmed.ncbi.nlm.nih.gov/30847860/</w:t>
        </w:r>
      </w:hyperlink>
    </w:p>
    <w:p w14:paraId="30D8FA00" w14:textId="6DFC8F82" w:rsidR="0092747A" w:rsidRDefault="0092747A" w:rsidP="003B64B8"/>
    <w:p w14:paraId="0D1A62E5" w14:textId="77777777" w:rsidR="0092747A" w:rsidRPr="003B64B8" w:rsidRDefault="0092747A" w:rsidP="003B64B8"/>
    <w:sectPr w:rsidR="0092747A" w:rsidRPr="003B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1"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E7007"/>
    <w:rsid w:val="00164860"/>
    <w:rsid w:val="002153FB"/>
    <w:rsid w:val="00274BD7"/>
    <w:rsid w:val="00303F08"/>
    <w:rsid w:val="003473AB"/>
    <w:rsid w:val="00360859"/>
    <w:rsid w:val="003B64B8"/>
    <w:rsid w:val="00456A40"/>
    <w:rsid w:val="0049689C"/>
    <w:rsid w:val="00497E74"/>
    <w:rsid w:val="004E66DA"/>
    <w:rsid w:val="004F0235"/>
    <w:rsid w:val="00557345"/>
    <w:rsid w:val="005E4B99"/>
    <w:rsid w:val="00610E89"/>
    <w:rsid w:val="00617491"/>
    <w:rsid w:val="00636239"/>
    <w:rsid w:val="00640995"/>
    <w:rsid w:val="00683313"/>
    <w:rsid w:val="006A62E2"/>
    <w:rsid w:val="006F590C"/>
    <w:rsid w:val="00744726"/>
    <w:rsid w:val="007B1C07"/>
    <w:rsid w:val="007F6211"/>
    <w:rsid w:val="00806F66"/>
    <w:rsid w:val="00810DA2"/>
    <w:rsid w:val="00877626"/>
    <w:rsid w:val="008B07A8"/>
    <w:rsid w:val="0092747A"/>
    <w:rsid w:val="009A6F44"/>
    <w:rsid w:val="009F33A9"/>
    <w:rsid w:val="00AB38CF"/>
    <w:rsid w:val="00AB3CE1"/>
    <w:rsid w:val="00B356B5"/>
    <w:rsid w:val="00B73290"/>
    <w:rsid w:val="00B762C1"/>
    <w:rsid w:val="00BF2E23"/>
    <w:rsid w:val="00C6627A"/>
    <w:rsid w:val="00C70ACD"/>
    <w:rsid w:val="00CA5C0F"/>
    <w:rsid w:val="00CF5D04"/>
    <w:rsid w:val="00D2174E"/>
    <w:rsid w:val="00DC5AD6"/>
    <w:rsid w:val="00DE46EC"/>
    <w:rsid w:val="00E87EDE"/>
    <w:rsid w:val="00E90DAB"/>
    <w:rsid w:val="00EE04EE"/>
    <w:rsid w:val="00EF57E7"/>
    <w:rsid w:val="00F12A1B"/>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30847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8390425/" TargetMode="External"/><Relationship Id="rId5" Type="http://schemas.openxmlformats.org/officeDocument/2006/relationships/hyperlink" Target="https://pubmed.ncbi.nlm.nih.gov/3428705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2022-02-03T22:52:00Z</cp:lastPrinted>
  <dcterms:created xsi:type="dcterms:W3CDTF">2022-02-03T22:52:00Z</dcterms:created>
  <dcterms:modified xsi:type="dcterms:W3CDTF">2022-02-04T01:33:00Z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