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0D4523BF" w:rsidR="00477D80" w:rsidRPr="00BE6B00" w:rsidRDefault="00EE0B47" w:rsidP="00EE0B47">
      <w:pPr>
        <w:rPr>
          <w:rFonts w:asciiTheme="minorHAnsi" w:hAnsiTheme="minorHAnsi" w:cstheme="minorHAnsi"/>
          <w:b/>
          <w:bCs/>
        </w:rPr>
      </w:pPr>
      <w:r w:rsidRPr="00BE6B00">
        <w:rPr>
          <w:rFonts w:asciiTheme="minorHAnsi" w:hAnsiTheme="minorHAnsi" w:cstheme="minorHAnsi"/>
          <w:b/>
          <w:bCs/>
        </w:rPr>
        <w:t>Provide a summary (at least one page) of one concept in the paper that you found interesting</w:t>
      </w:r>
      <w:r w:rsidR="00477D80" w:rsidRPr="00BE6B00">
        <w:rPr>
          <w:rFonts w:asciiTheme="minorHAnsi" w:hAnsiTheme="minorHAnsi" w:cstheme="minorHAnsi"/>
          <w:b/>
          <w:bCs/>
        </w:rPr>
        <w:t xml:space="preserve">? </w:t>
      </w:r>
    </w:p>
    <w:p w14:paraId="7112EE19" w14:textId="0CE14B88" w:rsidR="00C74F46" w:rsidRDefault="005861A5" w:rsidP="00F3175C">
      <w:pPr>
        <w:rPr>
          <w:rFonts w:asciiTheme="minorHAnsi" w:hAnsiTheme="minorHAnsi" w:cstheme="minorHAnsi"/>
        </w:rPr>
      </w:pPr>
      <w:r>
        <w:rPr>
          <w:rFonts w:asciiTheme="minorHAnsi" w:hAnsiTheme="minorHAnsi" w:cstheme="minorHAnsi"/>
        </w:rPr>
        <w:t>High affinity of ligand for a receptor is used in biosensor devices. A biosensor consists of three elements, a biorec</w:t>
      </w:r>
      <w:r w:rsidR="00EF718F">
        <w:rPr>
          <w:rFonts w:asciiTheme="minorHAnsi" w:hAnsiTheme="minorHAnsi" w:cstheme="minorHAnsi"/>
        </w:rPr>
        <w:t>e</w:t>
      </w:r>
      <w:r>
        <w:rPr>
          <w:rFonts w:asciiTheme="minorHAnsi" w:hAnsiTheme="minorHAnsi" w:cstheme="minorHAnsi"/>
        </w:rPr>
        <w:t xml:space="preserve">ptor, </w:t>
      </w:r>
      <w:r w:rsidR="00FA059D">
        <w:rPr>
          <w:rFonts w:asciiTheme="minorHAnsi" w:hAnsiTheme="minorHAnsi" w:cstheme="minorHAnsi"/>
        </w:rPr>
        <w:t xml:space="preserve">that could detect a specific ligand biding, </w:t>
      </w:r>
      <w:r w:rsidR="00EF718F">
        <w:rPr>
          <w:rFonts w:asciiTheme="minorHAnsi" w:hAnsiTheme="minorHAnsi" w:cstheme="minorHAnsi"/>
        </w:rPr>
        <w:t xml:space="preserve">a transducer </w:t>
      </w:r>
      <w:r w:rsidR="00FA059D">
        <w:rPr>
          <w:rFonts w:asciiTheme="minorHAnsi" w:hAnsiTheme="minorHAnsi" w:cstheme="minorHAnsi"/>
        </w:rPr>
        <w:t xml:space="preserve">converting </w:t>
      </w:r>
      <w:r w:rsidR="00EF718F">
        <w:rPr>
          <w:rFonts w:asciiTheme="minorHAnsi" w:hAnsiTheme="minorHAnsi" w:cstheme="minorHAnsi"/>
        </w:rPr>
        <w:t>the biological signal</w:t>
      </w:r>
      <w:r w:rsidR="00FA059D">
        <w:rPr>
          <w:rFonts w:asciiTheme="minorHAnsi" w:hAnsiTheme="minorHAnsi" w:cstheme="minorHAnsi"/>
        </w:rPr>
        <w:t xml:space="preserve"> into an electrical signal</w:t>
      </w:r>
      <w:r w:rsidR="00595972">
        <w:rPr>
          <w:rFonts w:asciiTheme="minorHAnsi" w:hAnsiTheme="minorHAnsi" w:cstheme="minorHAnsi"/>
        </w:rPr>
        <w:t xml:space="preserve">, </w:t>
      </w:r>
      <w:r w:rsidR="000D202C">
        <w:rPr>
          <w:rFonts w:asciiTheme="minorHAnsi" w:hAnsiTheme="minorHAnsi" w:cstheme="minorHAnsi"/>
        </w:rPr>
        <w:t>and</w:t>
      </w:r>
      <w:r w:rsidR="00595972">
        <w:rPr>
          <w:rFonts w:asciiTheme="minorHAnsi" w:hAnsiTheme="minorHAnsi" w:cstheme="minorHAnsi"/>
        </w:rPr>
        <w:t xml:space="preserve"> </w:t>
      </w:r>
      <w:r w:rsidR="006D4AD6">
        <w:rPr>
          <w:rFonts w:asciiTheme="minorHAnsi" w:hAnsiTheme="minorHAnsi" w:cstheme="minorHAnsi"/>
        </w:rPr>
        <w:t>an amplification and signal processing system</w:t>
      </w:r>
      <w:r w:rsidR="00155CAC">
        <w:rPr>
          <w:rFonts w:asciiTheme="minorHAnsi" w:hAnsiTheme="minorHAnsi" w:cstheme="minorHAnsi"/>
        </w:rPr>
        <w:t xml:space="preserve"> </w:t>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{"citationID":"7OgAEpw7","properties":{"formattedCitation":"[1]","plainCitation":"[1]","noteIndex":0},"citationItems":[{"id":1042,"uris":["http://zotero.org/users/7286058/items/EINJ9ZR8"],"itemData":{"id":1042,"type":"article-journal","abstract":"The ability to detect pathogenic and physiologically relevant molecules in the body with high sensitivity and speciﬁcity offers a powerful opportunity in the early diagnosis and treatment of diseases. Early detection and diagnosis can be used to greatly reduce the cost of patient care associated with the advanced stages of many diseases. However, despite their widespread clinical use, these techniques have a number of potential limitations. For example, a number of diagnostic devices have slow response times and are burdensome to patients. Furthermore, these assays are expensive and cost the health care industry billions of dollars every year. Therefore, there is a need to develop more efﬁcient and reliable sensing and detection technologies. A biosensor is commonly deﬁned as an analytical device that uses a biological recognition system to target molecules or macromolecules. Biosensors can be coupled to a physiochemical transducer that converts this recognition into a detectable output signal. Typically biosensors are comprised of three components: (1) the detector, which identiﬁes the stimulus; (2) the transducer, which converts this stimulus to a useful output; and (3) the signal processing system, which involves ampliﬁcation and display of the output in an appropriate format. The goal of this combination is to utilize the high sensitivity and selectivity of biological sensing for analytical purposes in various ﬁelds of research and technology. We review here some of the main advances in this ﬁeld over the past few years, explore the application prospects, and discuss the issues, approaches, and challenges, with the aim of stimulating a broader interest in developing biosensors and improving their applications in medical diagnosis.","container-title":"Journal of Applied Biomedicine","DOI":"10.1016/j.jab.2013.02.001","ISSN":"1214021X, 12140287","issue":"1","journalAbbreviation":"J Appl Biomed","language":"en","page":"1-15","source":"DOI.org (Crossref)","title":"Advances in biosensors: Principle, architecture and applications","title-short":"Advances in biosensors","URL":"http://jab.zsf.jcu.cz/doi/10.1016/j.jab.2013.02.001.html","volume":"12","author":[{"family":"Perumal","given":"Veeradasan"},{"family":"Hashim","given":"Uda"}],"accessed":{"date-parts":[["2022",3,31]]},"issued":{"date-parts":[["2014",1,1]]}}}],"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[1]</w:t>
      </w:r>
      <w:r w:rsidR="00155CAC">
        <w:rPr>
          <w:rFonts w:asciiTheme="minorHAnsi" w:hAnsiTheme="minorHAnsi" w:cstheme="minorHAnsi"/>
        </w:rPr>
        <w:fldChar w:fldCharType="end"/>
      </w:r>
      <w:r w:rsidR="006D4AD6">
        <w:rPr>
          <w:rFonts w:asciiTheme="minorHAnsi" w:hAnsiTheme="minorHAnsi" w:cstheme="minorHAnsi"/>
        </w:rPr>
        <w:t>.</w:t>
      </w:r>
      <w:r w:rsidR="00BB0C49">
        <w:rPr>
          <w:rFonts w:asciiTheme="minorHAnsi" w:hAnsiTheme="minorHAnsi" w:cstheme="minorHAnsi"/>
        </w:rPr>
        <w:t xml:space="preserve"> The detection device needs to meet a variety of stringent requirements; it needs to be fast, </w:t>
      </w:r>
      <w:proofErr w:type="spellStart"/>
      <w:r w:rsidR="00BB0C49">
        <w:rPr>
          <w:rFonts w:asciiTheme="minorHAnsi" w:hAnsiTheme="minorHAnsi" w:cstheme="minorHAnsi"/>
        </w:rPr>
        <w:t>reagentless</w:t>
      </w:r>
      <w:proofErr w:type="spellEnd"/>
      <w:r w:rsidR="00BB0C49">
        <w:rPr>
          <w:rFonts w:asciiTheme="minorHAnsi" w:hAnsiTheme="minorHAnsi" w:cstheme="minorHAnsi"/>
        </w:rPr>
        <w:t xml:space="preserve">, </w:t>
      </w:r>
      <w:r w:rsidR="00E67227">
        <w:rPr>
          <w:rFonts w:asciiTheme="minorHAnsi" w:hAnsiTheme="minorHAnsi" w:cstheme="minorHAnsi"/>
        </w:rPr>
        <w:t xml:space="preserve">self-regenerating, </w:t>
      </w:r>
      <w:r w:rsidR="00BB0C49">
        <w:rPr>
          <w:rFonts w:asciiTheme="minorHAnsi" w:hAnsiTheme="minorHAnsi" w:cstheme="minorHAnsi"/>
        </w:rPr>
        <w:t>ultrasensitive</w:t>
      </w:r>
      <w:r w:rsidR="00E67227">
        <w:rPr>
          <w:rFonts w:asciiTheme="minorHAnsi" w:hAnsiTheme="minorHAnsi" w:cstheme="minorHAnsi"/>
        </w:rPr>
        <w:t>; it also</w:t>
      </w:r>
      <w:r w:rsidR="00BB0C49">
        <w:rPr>
          <w:rFonts w:asciiTheme="minorHAnsi" w:hAnsiTheme="minorHAnsi" w:cstheme="minorHAnsi"/>
        </w:rPr>
        <w:t xml:space="preserve"> needs to have high accuracy, to be stable</w:t>
      </w:r>
      <w:r w:rsidR="00595972">
        <w:rPr>
          <w:rFonts w:asciiTheme="minorHAnsi" w:hAnsiTheme="minorHAnsi" w:cstheme="minorHAnsi"/>
        </w:rPr>
        <w:t xml:space="preserve">, </w:t>
      </w:r>
      <w:r w:rsidR="00BB0C49">
        <w:rPr>
          <w:rFonts w:asciiTheme="minorHAnsi" w:hAnsiTheme="minorHAnsi" w:cstheme="minorHAnsi"/>
        </w:rPr>
        <w:t>robust, tolerated by the patients and pr</w:t>
      </w:r>
      <w:r w:rsidR="00E67227">
        <w:rPr>
          <w:rFonts w:asciiTheme="minorHAnsi" w:hAnsiTheme="minorHAnsi" w:cstheme="minorHAnsi"/>
        </w:rPr>
        <w:t>od</w:t>
      </w:r>
      <w:r w:rsidR="00BB0C49">
        <w:rPr>
          <w:rFonts w:asciiTheme="minorHAnsi" w:hAnsiTheme="minorHAnsi" w:cstheme="minorHAnsi"/>
        </w:rPr>
        <w:t>uced at low cost.</w:t>
      </w:r>
      <w:r w:rsidR="00825588">
        <w:rPr>
          <w:rFonts w:asciiTheme="minorHAnsi" w:hAnsiTheme="minorHAnsi" w:cstheme="minorHAnsi"/>
        </w:rPr>
        <w:t xml:space="preserve"> Biosensors are classified either by their biological signaling mechanism or by the type of their transducer.</w:t>
      </w:r>
      <w:r w:rsidR="007E2B66">
        <w:rPr>
          <w:rFonts w:asciiTheme="minorHAnsi" w:hAnsiTheme="minorHAnsi" w:cstheme="minorHAnsi"/>
        </w:rPr>
        <w:t xml:space="preserve"> There </w:t>
      </w:r>
      <w:r w:rsidR="003F00AB">
        <w:rPr>
          <w:rFonts w:asciiTheme="minorHAnsi" w:hAnsiTheme="minorHAnsi" w:cstheme="minorHAnsi"/>
        </w:rPr>
        <w:t xml:space="preserve">are </w:t>
      </w:r>
      <w:r w:rsidR="005E00B6">
        <w:rPr>
          <w:rFonts w:asciiTheme="minorHAnsi" w:hAnsiTheme="minorHAnsi" w:cstheme="minorHAnsi"/>
        </w:rPr>
        <w:t>five main biological recognition mechanisms</w:t>
      </w:r>
      <w:r w:rsidR="007E2B66">
        <w:rPr>
          <w:rFonts w:asciiTheme="minorHAnsi" w:hAnsiTheme="minorHAnsi" w:cstheme="minorHAnsi"/>
        </w:rPr>
        <w:t xml:space="preserve">: </w:t>
      </w:r>
    </w:p>
    <w:p w14:paraId="794071FD" w14:textId="3B73CA54" w:rsidR="00C74F46" w:rsidRDefault="007E2B66" w:rsidP="00F3175C">
      <w:pPr>
        <w:rPr>
          <w:rFonts w:asciiTheme="minorHAnsi" w:hAnsiTheme="minorHAnsi" w:cstheme="minorHAnsi"/>
        </w:rPr>
      </w:pPr>
      <w:r>
        <w:rPr>
          <w:rFonts w:asciiTheme="minorHAnsi" w:hAnsiTheme="minorHAnsi" w:cstheme="minorHAnsi"/>
        </w:rPr>
        <w:t xml:space="preserve">1) </w:t>
      </w:r>
      <w:r w:rsidR="003453D5">
        <w:rPr>
          <w:rFonts w:asciiTheme="minorHAnsi" w:hAnsiTheme="minorHAnsi" w:cstheme="minorHAnsi"/>
          <w:b/>
          <w:bCs/>
        </w:rPr>
        <w:t>E</w:t>
      </w:r>
      <w:r w:rsidRPr="00E86A95">
        <w:rPr>
          <w:rFonts w:asciiTheme="minorHAnsi" w:hAnsiTheme="minorHAnsi" w:cstheme="minorHAnsi"/>
          <w:b/>
          <w:bCs/>
        </w:rPr>
        <w:t>nzymatic based sensor</w:t>
      </w:r>
      <w:r>
        <w:rPr>
          <w:rFonts w:asciiTheme="minorHAnsi" w:hAnsiTheme="minorHAnsi" w:cstheme="minorHAnsi"/>
        </w:rPr>
        <w:t>: the highly specific interaction between ligand and their receptors provides these sensors with</w:t>
      </w:r>
      <w:r w:rsidR="00E86A95">
        <w:rPr>
          <w:rFonts w:asciiTheme="minorHAnsi" w:hAnsiTheme="minorHAnsi" w:cstheme="minorHAnsi"/>
        </w:rPr>
        <w:t xml:space="preserve"> a higher detection </w:t>
      </w:r>
      <w:r w:rsidR="00C74F46">
        <w:rPr>
          <w:rFonts w:asciiTheme="minorHAnsi" w:hAnsiTheme="minorHAnsi" w:cstheme="minorHAnsi"/>
        </w:rPr>
        <w:t>limit</w:t>
      </w:r>
      <w:r w:rsidR="00E86A95">
        <w:rPr>
          <w:rFonts w:asciiTheme="minorHAnsi" w:hAnsiTheme="minorHAnsi" w:cstheme="minorHAnsi"/>
        </w:rPr>
        <w:t xml:space="preserve"> </w:t>
      </w:r>
      <w:r w:rsidR="005E00B6">
        <w:rPr>
          <w:rFonts w:asciiTheme="minorHAnsi" w:hAnsiTheme="minorHAnsi" w:cstheme="minorHAnsi"/>
        </w:rPr>
        <w:t>compared to</w:t>
      </w:r>
      <w:r w:rsidR="00E86A95">
        <w:rPr>
          <w:rFonts w:asciiTheme="minorHAnsi" w:hAnsiTheme="minorHAnsi" w:cstheme="minorHAnsi"/>
        </w:rPr>
        <w:t xml:space="preserve"> other types of biosensors</w:t>
      </w:r>
      <w:r w:rsidR="00C74F46">
        <w:rPr>
          <w:rFonts w:asciiTheme="minorHAnsi" w:hAnsiTheme="minorHAnsi" w:cstheme="minorHAnsi"/>
        </w:rPr>
        <w:t>.</w:t>
      </w:r>
    </w:p>
    <w:p w14:paraId="758978F0" w14:textId="07A75389" w:rsidR="00C74F46" w:rsidRDefault="00E86A95" w:rsidP="00F3175C">
      <w:pPr>
        <w:rPr>
          <w:rFonts w:asciiTheme="minorHAnsi" w:hAnsiTheme="minorHAnsi" w:cstheme="minorHAnsi"/>
        </w:rPr>
      </w:pPr>
      <w:r>
        <w:rPr>
          <w:rFonts w:asciiTheme="minorHAnsi" w:hAnsiTheme="minorHAnsi" w:cstheme="minorHAnsi"/>
        </w:rPr>
        <w:t xml:space="preserve">2) </w:t>
      </w:r>
      <w:r w:rsidR="000D202C">
        <w:rPr>
          <w:rFonts w:asciiTheme="minorHAnsi" w:hAnsiTheme="minorHAnsi" w:cstheme="minorHAnsi"/>
          <w:b/>
          <w:bCs/>
        </w:rPr>
        <w:t>I</w:t>
      </w:r>
      <w:r w:rsidRPr="00E86A95">
        <w:rPr>
          <w:rFonts w:asciiTheme="minorHAnsi" w:hAnsiTheme="minorHAnsi" w:cstheme="minorHAnsi"/>
          <w:b/>
          <w:bCs/>
        </w:rPr>
        <w:t xml:space="preserve">mmunosensors: </w:t>
      </w:r>
      <w:r w:rsidR="005E00B6">
        <w:rPr>
          <w:rFonts w:asciiTheme="minorHAnsi" w:hAnsiTheme="minorHAnsi" w:cstheme="minorHAnsi"/>
        </w:rPr>
        <w:t>uses highly specific, and stable antigen-antibody binding properties. Optical and electrochemical detection methods are gaining momentum in early detection of cancers</w:t>
      </w:r>
      <w:r w:rsidR="00C74F46">
        <w:rPr>
          <w:rFonts w:asciiTheme="minorHAnsi" w:hAnsiTheme="minorHAnsi" w:cstheme="minorHAnsi"/>
        </w:rPr>
        <w:t>.</w:t>
      </w:r>
    </w:p>
    <w:p w14:paraId="79785139" w14:textId="489CF984" w:rsidR="00C74F46" w:rsidRDefault="005E00B6" w:rsidP="00F3175C">
      <w:pPr>
        <w:rPr>
          <w:rFonts w:asciiTheme="minorHAnsi" w:hAnsiTheme="minorHAnsi" w:cstheme="minorHAnsi"/>
        </w:rPr>
      </w:pPr>
      <w:r>
        <w:rPr>
          <w:rFonts w:asciiTheme="minorHAnsi" w:hAnsiTheme="minorHAnsi" w:cstheme="minorHAnsi"/>
        </w:rPr>
        <w:t xml:space="preserve">3) </w:t>
      </w:r>
      <w:r w:rsidRPr="005E00B6">
        <w:rPr>
          <w:rFonts w:asciiTheme="minorHAnsi" w:hAnsiTheme="minorHAnsi" w:cstheme="minorHAnsi"/>
          <w:b/>
          <w:bCs/>
        </w:rPr>
        <w:t>DNA/nucleic acid sensors</w:t>
      </w:r>
      <w:r>
        <w:rPr>
          <w:rFonts w:asciiTheme="minorHAnsi" w:hAnsiTheme="minorHAnsi" w:cstheme="minorHAnsi"/>
        </w:rPr>
        <w:t xml:space="preserve">: </w:t>
      </w:r>
      <w:r w:rsidR="001B1196">
        <w:rPr>
          <w:rFonts w:asciiTheme="minorHAnsi" w:hAnsiTheme="minorHAnsi" w:cstheme="minorHAnsi"/>
        </w:rPr>
        <w:t>a s</w:t>
      </w:r>
      <w:r w:rsidR="00580F8C">
        <w:rPr>
          <w:rFonts w:asciiTheme="minorHAnsi" w:hAnsiTheme="minorHAnsi" w:cstheme="minorHAnsi"/>
        </w:rPr>
        <w:t xml:space="preserve">ingle stranded </w:t>
      </w:r>
      <w:r w:rsidR="001B1196">
        <w:rPr>
          <w:rFonts w:asciiTheme="minorHAnsi" w:hAnsiTheme="minorHAnsi" w:cstheme="minorHAnsi"/>
        </w:rPr>
        <w:t xml:space="preserve">DNA </w:t>
      </w:r>
      <w:r w:rsidR="00580F8C">
        <w:rPr>
          <w:rFonts w:asciiTheme="minorHAnsi" w:hAnsiTheme="minorHAnsi" w:cstheme="minorHAnsi"/>
        </w:rPr>
        <w:t>(</w:t>
      </w:r>
      <w:r w:rsidR="00580F8C" w:rsidRPr="00580F8C">
        <w:rPr>
          <w:rFonts w:asciiTheme="minorHAnsi" w:hAnsiTheme="minorHAnsi" w:cstheme="minorHAnsi"/>
          <w:b/>
          <w:bCs/>
        </w:rPr>
        <w:t>ssDNA</w:t>
      </w:r>
      <w:r w:rsidR="00580F8C">
        <w:rPr>
          <w:rFonts w:asciiTheme="minorHAnsi" w:hAnsiTheme="minorHAnsi" w:cstheme="minorHAnsi"/>
        </w:rPr>
        <w:t xml:space="preserve">) </w:t>
      </w:r>
      <w:r w:rsidR="001B1196">
        <w:rPr>
          <w:rFonts w:asciiTheme="minorHAnsi" w:hAnsiTheme="minorHAnsi" w:cstheme="minorHAnsi"/>
        </w:rPr>
        <w:t xml:space="preserve">is used as a probe which when exposed to a complementary ssDNA, results in hybridization and the formation of </w:t>
      </w:r>
      <w:r w:rsidR="00580F8C">
        <w:rPr>
          <w:rFonts w:asciiTheme="minorHAnsi" w:hAnsiTheme="minorHAnsi" w:cstheme="minorHAnsi"/>
        </w:rPr>
        <w:t>double stranded DNAS (</w:t>
      </w:r>
      <w:r w:rsidR="001B1196" w:rsidRPr="00580F8C">
        <w:rPr>
          <w:rFonts w:asciiTheme="minorHAnsi" w:hAnsiTheme="minorHAnsi" w:cstheme="minorHAnsi"/>
          <w:b/>
          <w:bCs/>
        </w:rPr>
        <w:t>dsDNA</w:t>
      </w:r>
      <w:r w:rsidR="00580F8C" w:rsidRPr="00580F8C">
        <w:rPr>
          <w:rFonts w:asciiTheme="minorHAnsi" w:hAnsiTheme="minorHAnsi" w:cstheme="minorHAnsi"/>
          <w:b/>
          <w:bCs/>
        </w:rPr>
        <w:t>),</w:t>
      </w:r>
      <w:r w:rsidR="001B1196">
        <w:rPr>
          <w:rFonts w:asciiTheme="minorHAnsi" w:hAnsiTheme="minorHAnsi" w:cstheme="minorHAnsi"/>
        </w:rPr>
        <w:t xml:space="preserve"> the biochemical reaction is </w:t>
      </w:r>
      <w:r w:rsidR="00580F8C">
        <w:rPr>
          <w:rFonts w:asciiTheme="minorHAnsi" w:hAnsiTheme="minorHAnsi" w:cstheme="minorHAnsi"/>
        </w:rPr>
        <w:t xml:space="preserve">then </w:t>
      </w:r>
      <w:r w:rsidR="001B1196">
        <w:rPr>
          <w:rFonts w:asciiTheme="minorHAnsi" w:hAnsiTheme="minorHAnsi" w:cstheme="minorHAnsi"/>
        </w:rPr>
        <w:t xml:space="preserve">amplified by the transducer into an electrical signal. </w:t>
      </w:r>
      <w:r w:rsidR="00580F8C">
        <w:rPr>
          <w:rFonts w:asciiTheme="minorHAnsi" w:hAnsiTheme="minorHAnsi" w:cstheme="minorHAnsi"/>
        </w:rPr>
        <w:t xml:space="preserve"> </w:t>
      </w:r>
      <w:r w:rsidR="00C74F46">
        <w:rPr>
          <w:rFonts w:asciiTheme="minorHAnsi" w:hAnsiTheme="minorHAnsi" w:cstheme="minorHAnsi"/>
        </w:rPr>
        <w:t>The nucleic acid recognition layer</w:t>
      </w:r>
      <w:r w:rsidR="00580F8C">
        <w:rPr>
          <w:rFonts w:asciiTheme="minorHAnsi" w:hAnsiTheme="minorHAnsi" w:cstheme="minorHAnsi"/>
        </w:rPr>
        <w:t xml:space="preserve"> is reusable after DNA denaturation</w:t>
      </w:r>
      <w:r w:rsidR="00C74F46">
        <w:rPr>
          <w:rFonts w:asciiTheme="minorHAnsi" w:hAnsiTheme="minorHAnsi" w:cstheme="minorHAnsi"/>
        </w:rPr>
        <w:t>.</w:t>
      </w:r>
    </w:p>
    <w:p w14:paraId="35162826" w14:textId="07886ED2" w:rsidR="00917431" w:rsidRDefault="00580F8C" w:rsidP="00F3175C">
      <w:pPr>
        <w:rPr>
          <w:rFonts w:asciiTheme="minorHAnsi" w:hAnsiTheme="minorHAnsi" w:cstheme="minorHAnsi"/>
        </w:rPr>
      </w:pPr>
      <w:r>
        <w:rPr>
          <w:rFonts w:asciiTheme="minorHAnsi" w:hAnsiTheme="minorHAnsi" w:cstheme="minorHAnsi"/>
        </w:rPr>
        <w:t>4)</w:t>
      </w:r>
      <w:r w:rsidR="00AB7A34">
        <w:rPr>
          <w:rFonts w:asciiTheme="minorHAnsi" w:hAnsiTheme="minorHAnsi" w:cstheme="minorHAnsi"/>
        </w:rPr>
        <w:t xml:space="preserve"> </w:t>
      </w:r>
      <w:r w:rsidR="003453D5">
        <w:rPr>
          <w:rFonts w:asciiTheme="minorHAnsi" w:hAnsiTheme="minorHAnsi" w:cstheme="minorHAnsi"/>
          <w:b/>
          <w:bCs/>
        </w:rPr>
        <w:t>C</w:t>
      </w:r>
      <w:r w:rsidR="00917431" w:rsidRPr="00AB7A34">
        <w:rPr>
          <w:rFonts w:asciiTheme="minorHAnsi" w:hAnsiTheme="minorHAnsi" w:cstheme="minorHAnsi"/>
          <w:b/>
          <w:bCs/>
        </w:rPr>
        <w:t>ell-based</w:t>
      </w:r>
      <w:r w:rsidR="00AB7A34" w:rsidRPr="00AB7A34">
        <w:rPr>
          <w:rFonts w:asciiTheme="minorHAnsi" w:hAnsiTheme="minorHAnsi" w:cstheme="minorHAnsi"/>
          <w:b/>
          <w:bCs/>
        </w:rPr>
        <w:t xml:space="preserve"> sensor: </w:t>
      </w:r>
      <w:r w:rsidR="00C74F46" w:rsidRPr="00C74F46">
        <w:rPr>
          <w:rFonts w:asciiTheme="minorHAnsi" w:hAnsiTheme="minorHAnsi" w:cstheme="minorHAnsi"/>
        </w:rPr>
        <w:t>this type</w:t>
      </w:r>
      <w:r w:rsidR="00C74F46">
        <w:rPr>
          <w:rFonts w:asciiTheme="minorHAnsi" w:hAnsiTheme="minorHAnsi" w:cstheme="minorHAnsi"/>
        </w:rPr>
        <w:t xml:space="preserve"> of sensors contains microorganisms such as bacteria or fungi and relies on the ability of the cell to detect intracellular or extracellular microenvironment changes. </w:t>
      </w:r>
      <w:r w:rsidR="00E73C01">
        <w:rPr>
          <w:rFonts w:asciiTheme="minorHAnsi" w:hAnsiTheme="minorHAnsi" w:cstheme="minorHAnsi"/>
        </w:rPr>
        <w:t>Limit of detection of these detectors is determined by cell selectivity, and the ability of the cell to survive various environmental conditions</w:t>
      </w:r>
      <w:r w:rsidR="00917431">
        <w:rPr>
          <w:rFonts w:asciiTheme="minorHAnsi" w:hAnsiTheme="minorHAnsi" w:cstheme="minorHAnsi"/>
        </w:rPr>
        <w:t>. However, cell-based biosensors, are less sensitive to inhibition by solutes, suboptimal pH, ionic compos</w:t>
      </w:r>
      <w:r w:rsidR="006956E5">
        <w:rPr>
          <w:rFonts w:asciiTheme="minorHAnsi" w:hAnsiTheme="minorHAnsi" w:cstheme="minorHAnsi"/>
        </w:rPr>
        <w:t>i</w:t>
      </w:r>
      <w:r w:rsidR="00917431">
        <w:rPr>
          <w:rFonts w:asciiTheme="minorHAnsi" w:hAnsiTheme="minorHAnsi" w:cstheme="minorHAnsi"/>
        </w:rPr>
        <w:t>tion, and temperature compared to catalytic sensors.</w:t>
      </w:r>
    </w:p>
    <w:p w14:paraId="5A80BFA9" w14:textId="596182DA" w:rsidR="006956E5" w:rsidRDefault="006956E5" w:rsidP="00F3175C">
      <w:pPr>
        <w:rPr>
          <w:rFonts w:asciiTheme="minorHAnsi" w:hAnsiTheme="minorHAnsi" w:cstheme="minorHAnsi"/>
        </w:rPr>
      </w:pPr>
      <w:r>
        <w:rPr>
          <w:rFonts w:asciiTheme="minorHAnsi" w:hAnsiTheme="minorHAnsi" w:cstheme="minorHAnsi"/>
        </w:rPr>
        <w:t xml:space="preserve">5) </w:t>
      </w:r>
      <w:r w:rsidRPr="009618BF">
        <w:rPr>
          <w:rFonts w:asciiTheme="minorHAnsi" w:hAnsiTheme="minorHAnsi" w:cstheme="minorHAnsi"/>
          <w:b/>
          <w:bCs/>
        </w:rPr>
        <w:t>Biomimetic sensors or Aptamers</w:t>
      </w:r>
      <w:r>
        <w:rPr>
          <w:rFonts w:asciiTheme="minorHAnsi" w:hAnsiTheme="minorHAnsi" w:cstheme="minorHAnsi"/>
        </w:rPr>
        <w:t xml:space="preserve">: are synthetic </w:t>
      </w:r>
      <w:r w:rsidR="009618BF">
        <w:rPr>
          <w:rFonts w:asciiTheme="minorHAnsi" w:hAnsiTheme="minorHAnsi" w:cstheme="minorHAnsi"/>
        </w:rPr>
        <w:t xml:space="preserve">strands of nucleic acid designed to recognize peptides, oligosaccharides, amino acids and proteins. Due to their components, they are limited in structural and chemical sensing properties and they have higher production cost. </w:t>
      </w:r>
    </w:p>
    <w:p w14:paraId="4CCA281C" w14:textId="77777777" w:rsidR="004A78E4" w:rsidRDefault="004A78E4" w:rsidP="00F3175C">
      <w:pPr>
        <w:rPr>
          <w:rFonts w:asciiTheme="minorHAnsi" w:hAnsiTheme="minorHAnsi" w:cstheme="minorHAnsi"/>
        </w:rPr>
      </w:pPr>
    </w:p>
    <w:p w14:paraId="20B9C618" w14:textId="2641FE6B" w:rsidR="00EA5747" w:rsidRDefault="008B1B3B" w:rsidP="00F3175C">
      <w:pPr>
        <w:rPr>
          <w:rFonts w:asciiTheme="minorHAnsi" w:hAnsiTheme="minorHAnsi" w:cstheme="minorHAnsi"/>
        </w:rPr>
      </w:pPr>
      <w:r>
        <w:rPr>
          <w:rFonts w:asciiTheme="minorHAnsi" w:hAnsiTheme="minorHAnsi" w:cstheme="minorHAnsi"/>
        </w:rPr>
        <w:t xml:space="preserve">Biosensors are also categorized according to the transduction method: </w:t>
      </w:r>
    </w:p>
    <w:p w14:paraId="7287CFC5" w14:textId="30A2F4D1" w:rsidR="00EA5747" w:rsidRDefault="004A78E4" w:rsidP="00EA5747">
      <w:pPr>
        <w:pStyle w:val="ListParagraph"/>
        <w:numPr>
          <w:ilvl w:val="0"/>
          <w:numId w:val="32"/>
        </w:numPr>
        <w:rPr>
          <w:rFonts w:cstheme="minorHAnsi"/>
          <w:sz w:val="24"/>
          <w:szCs w:val="24"/>
        </w:rPr>
      </w:pPr>
      <w:r>
        <w:rPr>
          <w:rFonts w:cstheme="minorHAnsi"/>
          <w:b/>
          <w:bCs/>
          <w:sz w:val="24"/>
          <w:szCs w:val="24"/>
        </w:rPr>
        <w:t>E</w:t>
      </w:r>
      <w:r w:rsidR="008B1B3B" w:rsidRPr="00EA5747">
        <w:rPr>
          <w:rFonts w:cstheme="minorHAnsi"/>
          <w:b/>
          <w:bCs/>
          <w:sz w:val="24"/>
          <w:szCs w:val="24"/>
        </w:rPr>
        <w:t>lectrochemical</w:t>
      </w:r>
      <w:r w:rsidR="00845173" w:rsidRPr="00EA5747">
        <w:rPr>
          <w:rFonts w:cstheme="minorHAnsi"/>
          <w:b/>
          <w:bCs/>
          <w:sz w:val="24"/>
          <w:szCs w:val="24"/>
        </w:rPr>
        <w:t>:</w:t>
      </w:r>
      <w:r w:rsidR="008B1B3B" w:rsidRPr="00EA5747">
        <w:rPr>
          <w:rFonts w:cstheme="minorHAnsi"/>
          <w:sz w:val="24"/>
          <w:szCs w:val="24"/>
        </w:rPr>
        <w:t xml:space="preserve"> </w:t>
      </w:r>
      <w:r w:rsidR="00845173" w:rsidRPr="00EA5747">
        <w:rPr>
          <w:rFonts w:cstheme="minorHAnsi"/>
          <w:sz w:val="24"/>
          <w:szCs w:val="24"/>
        </w:rPr>
        <w:t xml:space="preserve">characterized by </w:t>
      </w:r>
      <w:r w:rsidR="008B1B3B" w:rsidRPr="00EA5747">
        <w:rPr>
          <w:rFonts w:cstheme="minorHAnsi"/>
          <w:sz w:val="24"/>
          <w:szCs w:val="24"/>
        </w:rPr>
        <w:t>the nature of the electrochemical changes detecte</w:t>
      </w:r>
      <w:r w:rsidR="00EA5747" w:rsidRPr="00EA5747">
        <w:rPr>
          <w:rFonts w:cstheme="minorHAnsi"/>
          <w:sz w:val="24"/>
          <w:szCs w:val="24"/>
        </w:rPr>
        <w:t>d.</w:t>
      </w:r>
    </w:p>
    <w:p w14:paraId="7696C4BF" w14:textId="10103E96" w:rsidR="00242829" w:rsidRPr="00242829" w:rsidRDefault="00242829" w:rsidP="00242829">
      <w:pPr>
        <w:pStyle w:val="ListParagraph"/>
        <w:ind w:left="360"/>
        <w:rPr>
          <w:rFonts w:cstheme="minorHAnsi"/>
          <w:sz w:val="24"/>
          <w:szCs w:val="24"/>
        </w:rPr>
      </w:pPr>
      <w:r w:rsidRPr="00242829">
        <w:rPr>
          <w:rFonts w:cstheme="minorHAnsi"/>
          <w:sz w:val="24"/>
          <w:szCs w:val="24"/>
        </w:rPr>
        <w:t xml:space="preserve">Electrochemical sensors are further divided by the technique used for detection: </w:t>
      </w:r>
    </w:p>
    <w:p w14:paraId="48FC5483" w14:textId="77777777" w:rsidR="00EA5747" w:rsidRPr="00242829" w:rsidRDefault="008B1B3B" w:rsidP="008A7B5C">
      <w:pPr>
        <w:pStyle w:val="ListParagraph"/>
        <w:numPr>
          <w:ilvl w:val="0"/>
          <w:numId w:val="33"/>
        </w:numPr>
        <w:rPr>
          <w:rFonts w:cstheme="minorHAnsi"/>
          <w:sz w:val="24"/>
          <w:szCs w:val="24"/>
        </w:rPr>
      </w:pPr>
      <w:proofErr w:type="spellStart"/>
      <w:r w:rsidRPr="00242829">
        <w:rPr>
          <w:rFonts w:cstheme="minorHAnsi"/>
          <w:b/>
          <w:bCs/>
          <w:sz w:val="24"/>
          <w:szCs w:val="24"/>
        </w:rPr>
        <w:t>amperometric</w:t>
      </w:r>
      <w:proofErr w:type="spellEnd"/>
      <w:r w:rsidR="00845173" w:rsidRPr="00242829">
        <w:rPr>
          <w:rFonts w:cstheme="minorHAnsi"/>
          <w:sz w:val="24"/>
          <w:szCs w:val="24"/>
        </w:rPr>
        <w:t>: measurement of a current from oxidation of an electroactive species</w:t>
      </w:r>
      <w:r w:rsidR="00EA5747" w:rsidRPr="00242829">
        <w:rPr>
          <w:rFonts w:cstheme="minorHAnsi"/>
          <w:sz w:val="24"/>
          <w:szCs w:val="24"/>
        </w:rPr>
        <w:t>.</w:t>
      </w:r>
    </w:p>
    <w:p w14:paraId="00D2E46A" w14:textId="77777777" w:rsidR="00EA5747" w:rsidRPr="00242829" w:rsidRDefault="008B1B3B" w:rsidP="008A7B5C">
      <w:pPr>
        <w:pStyle w:val="ListParagraph"/>
        <w:numPr>
          <w:ilvl w:val="0"/>
          <w:numId w:val="33"/>
        </w:numPr>
        <w:rPr>
          <w:rFonts w:cstheme="minorHAnsi"/>
          <w:sz w:val="24"/>
          <w:szCs w:val="24"/>
        </w:rPr>
      </w:pPr>
      <w:r w:rsidRPr="00242829">
        <w:rPr>
          <w:rFonts w:cstheme="minorHAnsi"/>
          <w:b/>
          <w:bCs/>
          <w:sz w:val="24"/>
          <w:szCs w:val="24"/>
        </w:rPr>
        <w:t>potentiometric</w:t>
      </w:r>
      <w:r w:rsidR="00845173" w:rsidRPr="00242829">
        <w:rPr>
          <w:rFonts w:cstheme="minorHAnsi"/>
          <w:sz w:val="24"/>
          <w:szCs w:val="24"/>
        </w:rPr>
        <w:t xml:space="preserve">: relies on the use of an </w:t>
      </w:r>
      <w:proofErr w:type="spellStart"/>
      <w:r w:rsidR="00845173" w:rsidRPr="00242829">
        <w:rPr>
          <w:rFonts w:cstheme="minorHAnsi"/>
          <w:sz w:val="24"/>
          <w:szCs w:val="24"/>
        </w:rPr>
        <w:t>ion</w:t>
      </w:r>
      <w:proofErr w:type="spellEnd"/>
      <w:r w:rsidR="00845173" w:rsidRPr="00242829">
        <w:rPr>
          <w:rFonts w:cstheme="minorHAnsi"/>
          <w:sz w:val="24"/>
          <w:szCs w:val="24"/>
        </w:rPr>
        <w:t>-selective electrode and ion-sensitive field</w:t>
      </w:r>
      <w:r w:rsidR="00EA5747" w:rsidRPr="00242829">
        <w:rPr>
          <w:rFonts w:cstheme="minorHAnsi"/>
          <w:sz w:val="24"/>
          <w:szCs w:val="24"/>
        </w:rPr>
        <w:t>.</w:t>
      </w:r>
    </w:p>
    <w:p w14:paraId="0C218718" w14:textId="06E0EA62" w:rsidR="00EA5747" w:rsidRPr="00242829" w:rsidRDefault="008B1B3B" w:rsidP="008A7B5C">
      <w:pPr>
        <w:pStyle w:val="ListParagraph"/>
        <w:numPr>
          <w:ilvl w:val="0"/>
          <w:numId w:val="33"/>
        </w:numPr>
        <w:rPr>
          <w:rFonts w:cstheme="minorHAnsi"/>
          <w:sz w:val="24"/>
          <w:szCs w:val="24"/>
        </w:rPr>
      </w:pPr>
      <w:r w:rsidRPr="00242829">
        <w:rPr>
          <w:rFonts w:cstheme="minorHAnsi"/>
          <w:b/>
          <w:bCs/>
          <w:sz w:val="24"/>
          <w:szCs w:val="24"/>
        </w:rPr>
        <w:t>conductometric</w:t>
      </w:r>
      <w:r w:rsidR="00B22C2C" w:rsidRPr="00242829">
        <w:rPr>
          <w:rFonts w:cstheme="minorHAnsi"/>
          <w:sz w:val="24"/>
          <w:szCs w:val="24"/>
        </w:rPr>
        <w:t>: measurement of electrolyte conductivity</w:t>
      </w:r>
      <w:r w:rsidR="000C5DE6" w:rsidRPr="00242829">
        <w:rPr>
          <w:rFonts w:cstheme="minorHAnsi"/>
          <w:sz w:val="24"/>
          <w:szCs w:val="24"/>
        </w:rPr>
        <w:t xml:space="preserve"> which varies with the changes in concentration of ionic species</w:t>
      </w:r>
      <w:r w:rsidR="008A7B5C" w:rsidRPr="00242829">
        <w:rPr>
          <w:rFonts w:cstheme="minorHAnsi"/>
          <w:sz w:val="24"/>
          <w:szCs w:val="24"/>
        </w:rPr>
        <w:t>.</w:t>
      </w:r>
    </w:p>
    <w:p w14:paraId="4562AA6B" w14:textId="6DC4E523" w:rsidR="007043F7" w:rsidRPr="007043F7" w:rsidRDefault="008A7B5C" w:rsidP="007043F7">
      <w:pPr>
        <w:pStyle w:val="ListParagraph"/>
        <w:numPr>
          <w:ilvl w:val="0"/>
          <w:numId w:val="33"/>
        </w:numPr>
        <w:spacing w:after="0" w:line="240" w:lineRule="auto"/>
        <w:rPr>
          <w:rFonts w:cstheme="minorHAnsi"/>
          <w:sz w:val="24"/>
          <w:szCs w:val="24"/>
        </w:rPr>
      </w:pPr>
      <w:r w:rsidRPr="00242829">
        <w:rPr>
          <w:rFonts w:cstheme="minorHAnsi"/>
          <w:b/>
          <w:bCs/>
          <w:sz w:val="24"/>
          <w:szCs w:val="24"/>
        </w:rPr>
        <w:t>electrical impedance spectroscopy</w:t>
      </w:r>
      <w:r w:rsidRPr="00242829">
        <w:rPr>
          <w:rFonts w:cstheme="minorHAnsi"/>
          <w:sz w:val="24"/>
          <w:szCs w:val="24"/>
        </w:rPr>
        <w:t xml:space="preserve"> (EIS): consists of a 3-electrode system, a </w:t>
      </w:r>
      <w:proofErr w:type="spellStart"/>
      <w:r w:rsidRPr="00242829">
        <w:rPr>
          <w:rFonts w:cstheme="minorHAnsi"/>
          <w:sz w:val="24"/>
          <w:szCs w:val="24"/>
        </w:rPr>
        <w:t>potentiostat</w:t>
      </w:r>
      <w:proofErr w:type="spellEnd"/>
      <w:r w:rsidRPr="00242829">
        <w:rPr>
          <w:rFonts w:cstheme="minorHAnsi"/>
          <w:sz w:val="24"/>
          <w:szCs w:val="24"/>
        </w:rPr>
        <w:t xml:space="preserve"> and a frequency response </w:t>
      </w:r>
      <w:proofErr w:type="spellStart"/>
      <w:r w:rsidRPr="00242829">
        <w:rPr>
          <w:rFonts w:cstheme="minorHAnsi"/>
          <w:sz w:val="24"/>
          <w:szCs w:val="24"/>
        </w:rPr>
        <w:t>analyser</w:t>
      </w:r>
      <w:proofErr w:type="spellEnd"/>
      <w:r w:rsidRPr="00242829">
        <w:rPr>
          <w:rFonts w:cstheme="minorHAnsi"/>
          <w:sz w:val="24"/>
          <w:szCs w:val="24"/>
        </w:rPr>
        <w:t xml:space="preserve"> (FRA).</w:t>
      </w:r>
    </w:p>
    <w:p w14:paraId="02D6E69F" w14:textId="747A2155" w:rsidR="00EA5747" w:rsidRDefault="008B1B3B" w:rsidP="008A7B5C">
      <w:pPr>
        <w:rPr>
          <w:rFonts w:asciiTheme="minorHAnsi" w:hAnsiTheme="minorHAnsi" w:cstheme="minorHAnsi"/>
        </w:rPr>
      </w:pPr>
      <w:r>
        <w:rPr>
          <w:rFonts w:asciiTheme="minorHAnsi" w:hAnsiTheme="minorHAnsi" w:cstheme="minorHAnsi"/>
        </w:rPr>
        <w:t xml:space="preserve">2) </w:t>
      </w:r>
      <w:r w:rsidR="004A78E4">
        <w:rPr>
          <w:rFonts w:asciiTheme="minorHAnsi" w:hAnsiTheme="minorHAnsi" w:cstheme="minorHAnsi"/>
          <w:b/>
          <w:bCs/>
        </w:rPr>
        <w:t>C</w:t>
      </w:r>
      <w:r w:rsidR="00DC4756" w:rsidRPr="00DC4756">
        <w:rPr>
          <w:rFonts w:asciiTheme="minorHAnsi" w:hAnsiTheme="minorHAnsi" w:cstheme="minorHAnsi"/>
          <w:b/>
          <w:bCs/>
        </w:rPr>
        <w:t>alorimetric</w:t>
      </w:r>
      <w:r w:rsidR="008A7B5C">
        <w:rPr>
          <w:rFonts w:asciiTheme="minorHAnsi" w:hAnsiTheme="minorHAnsi" w:cstheme="minorHAnsi"/>
        </w:rPr>
        <w:t xml:space="preserve">: </w:t>
      </w:r>
      <w:r w:rsidR="00DC4756">
        <w:rPr>
          <w:rFonts w:asciiTheme="minorHAnsi" w:hAnsiTheme="minorHAnsi" w:cstheme="minorHAnsi"/>
        </w:rPr>
        <w:t>based on heat exchange during the chemical or biological reactions</w:t>
      </w:r>
      <w:r w:rsidR="00B97D99">
        <w:rPr>
          <w:rFonts w:asciiTheme="minorHAnsi" w:hAnsiTheme="minorHAnsi" w:cstheme="minorHAnsi"/>
        </w:rPr>
        <w:t>.</w:t>
      </w:r>
      <w:r w:rsidR="00DC4756">
        <w:rPr>
          <w:rFonts w:asciiTheme="minorHAnsi" w:hAnsiTheme="minorHAnsi" w:cstheme="minorHAnsi"/>
        </w:rPr>
        <w:t xml:space="preserve"> </w:t>
      </w:r>
    </w:p>
    <w:p w14:paraId="5CEE195D" w14:textId="753094BF" w:rsidR="00EA5747" w:rsidRDefault="00DC4756" w:rsidP="00F3175C">
      <w:pPr>
        <w:rPr>
          <w:rFonts w:asciiTheme="minorHAnsi" w:hAnsiTheme="minorHAnsi" w:cstheme="minorHAnsi"/>
        </w:rPr>
      </w:pPr>
      <w:r>
        <w:rPr>
          <w:rFonts w:asciiTheme="minorHAnsi" w:hAnsiTheme="minorHAnsi" w:cstheme="minorHAnsi"/>
        </w:rPr>
        <w:t xml:space="preserve">3) </w:t>
      </w:r>
      <w:r w:rsidR="004A78E4">
        <w:rPr>
          <w:rFonts w:asciiTheme="minorHAnsi" w:hAnsiTheme="minorHAnsi" w:cstheme="minorHAnsi"/>
          <w:b/>
          <w:bCs/>
        </w:rPr>
        <w:t>P</w:t>
      </w:r>
      <w:r w:rsidR="00736130" w:rsidRPr="00DC4756">
        <w:rPr>
          <w:rFonts w:asciiTheme="minorHAnsi" w:hAnsiTheme="minorHAnsi" w:cstheme="minorHAnsi"/>
          <w:b/>
          <w:bCs/>
        </w:rPr>
        <w:t>iezoelectric</w:t>
      </w:r>
      <w:r w:rsidR="008A7B5C">
        <w:rPr>
          <w:rFonts w:asciiTheme="minorHAnsi" w:hAnsiTheme="minorHAnsi" w:cstheme="minorHAnsi"/>
          <w:b/>
          <w:bCs/>
        </w:rPr>
        <w:t>:</w:t>
      </w:r>
      <w:r w:rsidR="00736130">
        <w:rPr>
          <w:rFonts w:asciiTheme="minorHAnsi" w:hAnsiTheme="minorHAnsi" w:cstheme="minorHAnsi"/>
        </w:rPr>
        <w:t xml:space="preserve"> </w:t>
      </w:r>
      <w:r>
        <w:rPr>
          <w:rFonts w:asciiTheme="minorHAnsi" w:hAnsiTheme="minorHAnsi" w:cstheme="minorHAnsi"/>
        </w:rPr>
        <w:t xml:space="preserve">a shift in signal frequency is correlated to </w:t>
      </w:r>
      <w:r w:rsidR="00736130">
        <w:rPr>
          <w:rFonts w:asciiTheme="minorHAnsi" w:hAnsiTheme="minorHAnsi" w:cstheme="minorHAnsi"/>
        </w:rPr>
        <w:t>the mass of the analyte to measure</w:t>
      </w:r>
      <w:r w:rsidR="00B97D99">
        <w:rPr>
          <w:rFonts w:asciiTheme="minorHAnsi" w:hAnsiTheme="minorHAnsi" w:cstheme="minorHAnsi"/>
        </w:rPr>
        <w:t>.</w:t>
      </w:r>
      <w:r w:rsidR="00736130">
        <w:rPr>
          <w:rFonts w:asciiTheme="minorHAnsi" w:hAnsiTheme="minorHAnsi" w:cstheme="minorHAnsi"/>
        </w:rPr>
        <w:t xml:space="preserve"> </w:t>
      </w:r>
    </w:p>
    <w:p w14:paraId="63C76755" w14:textId="73D42322" w:rsidR="007043F7" w:rsidRDefault="007043F7" w:rsidP="00F3175C">
      <w:pPr>
        <w:rPr>
          <w:rFonts w:asciiTheme="minorHAnsi" w:hAnsiTheme="minorHAnsi" w:cstheme="minorHAnsi"/>
        </w:rPr>
      </w:pPr>
    </w:p>
    <w:p w14:paraId="2C54C7D6" w14:textId="35977457" w:rsidR="007043F7" w:rsidRDefault="007043F7" w:rsidP="00F3175C">
      <w:pPr>
        <w:rPr>
          <w:rFonts w:asciiTheme="minorHAnsi" w:hAnsiTheme="minorHAnsi" w:cstheme="minorHAnsi"/>
        </w:rPr>
      </w:pPr>
    </w:p>
    <w:p w14:paraId="0E56F491" w14:textId="77777777" w:rsidR="007043F7" w:rsidRDefault="007043F7" w:rsidP="00F3175C">
      <w:pPr>
        <w:rPr>
          <w:rFonts w:asciiTheme="minorHAnsi" w:hAnsiTheme="minorHAnsi" w:cstheme="minorHAnsi"/>
        </w:rPr>
      </w:pPr>
    </w:p>
    <w:p w14:paraId="05A47B8E" w14:textId="4FF63C54" w:rsidR="00090E23" w:rsidRDefault="00736130" w:rsidP="00F3175C">
      <w:pPr>
        <w:rPr>
          <w:rFonts w:asciiTheme="minorHAnsi" w:hAnsiTheme="minorHAnsi" w:cstheme="minorHAnsi"/>
        </w:rPr>
      </w:pPr>
      <w:r>
        <w:rPr>
          <w:rFonts w:asciiTheme="minorHAnsi" w:hAnsiTheme="minorHAnsi" w:cstheme="minorHAnsi"/>
        </w:rPr>
        <w:lastRenderedPageBreak/>
        <w:t xml:space="preserve">4) </w:t>
      </w:r>
      <w:r w:rsidR="004A78E4">
        <w:rPr>
          <w:rFonts w:asciiTheme="minorHAnsi" w:hAnsiTheme="minorHAnsi" w:cstheme="minorHAnsi"/>
          <w:b/>
          <w:bCs/>
        </w:rPr>
        <w:t>O</w:t>
      </w:r>
      <w:r w:rsidRPr="00917C44">
        <w:rPr>
          <w:rFonts w:asciiTheme="minorHAnsi" w:hAnsiTheme="minorHAnsi" w:cstheme="minorHAnsi"/>
          <w:b/>
          <w:bCs/>
        </w:rPr>
        <w:t>ptical</w:t>
      </w:r>
      <w:r w:rsidR="008A7B5C">
        <w:rPr>
          <w:rFonts w:asciiTheme="minorHAnsi" w:hAnsiTheme="minorHAnsi" w:cstheme="minorHAnsi"/>
        </w:rPr>
        <w:t>:</w:t>
      </w:r>
      <w:r>
        <w:rPr>
          <w:rFonts w:asciiTheme="minorHAnsi" w:hAnsiTheme="minorHAnsi" w:cstheme="minorHAnsi"/>
        </w:rPr>
        <w:t xml:space="preserve"> </w:t>
      </w:r>
      <w:r w:rsidR="008A7B5C">
        <w:rPr>
          <w:rFonts w:asciiTheme="minorHAnsi" w:hAnsiTheme="minorHAnsi" w:cstheme="minorHAnsi"/>
        </w:rPr>
        <w:t>o</w:t>
      </w:r>
      <w:r>
        <w:rPr>
          <w:rFonts w:asciiTheme="minorHAnsi" w:hAnsiTheme="minorHAnsi" w:cstheme="minorHAnsi"/>
        </w:rPr>
        <w:t>ptical based sensors are popular and allow real-time monitoring, one major issue is sensitivity to ambient light</w:t>
      </w:r>
      <w:r w:rsidR="00C617D2">
        <w:rPr>
          <w:rFonts w:asciiTheme="minorHAnsi" w:hAnsiTheme="minorHAnsi" w:cstheme="minorHAnsi"/>
        </w:rPr>
        <w:t>. We can distinguish a variety of sensors:</w:t>
      </w:r>
    </w:p>
    <w:p w14:paraId="1AA114C4" w14:textId="5E082BC8" w:rsidR="00917C44" w:rsidRDefault="00090E23" w:rsidP="00F3175C">
      <w:pPr>
        <w:pStyle w:val="ListParagraph"/>
        <w:numPr>
          <w:ilvl w:val="0"/>
          <w:numId w:val="31"/>
        </w:numPr>
        <w:rPr>
          <w:rFonts w:cstheme="minorHAnsi"/>
          <w:sz w:val="24"/>
          <w:szCs w:val="24"/>
        </w:rPr>
      </w:pPr>
      <w:r w:rsidRPr="003453D5">
        <w:rPr>
          <w:rFonts w:cstheme="minorHAnsi"/>
          <w:b/>
          <w:bCs/>
          <w:sz w:val="24"/>
          <w:szCs w:val="24"/>
        </w:rPr>
        <w:t>Surface plasmon resonance</w:t>
      </w:r>
      <w:r w:rsidRPr="00917C44">
        <w:rPr>
          <w:rFonts w:cstheme="minorHAnsi"/>
          <w:sz w:val="24"/>
          <w:szCs w:val="24"/>
        </w:rPr>
        <w:t xml:space="preserve"> (SPR) biosensors </w:t>
      </w:r>
      <w:r w:rsidR="008F6C88" w:rsidRPr="00917C44">
        <w:rPr>
          <w:rFonts w:cstheme="minorHAnsi"/>
          <w:sz w:val="24"/>
          <w:szCs w:val="24"/>
        </w:rPr>
        <w:t>use plasmon waves to detect changes in refractive index at the sensor surface.</w:t>
      </w:r>
      <w:r w:rsidR="00F03D1D" w:rsidRPr="00917C44">
        <w:rPr>
          <w:rFonts w:cstheme="minorHAnsi"/>
          <w:sz w:val="24"/>
          <w:szCs w:val="24"/>
        </w:rPr>
        <w:t xml:space="preserve"> It is a label free technique which does not require radioactive or fluorescent tagging compounds. They can detect binding by molecules up to 2 </w:t>
      </w:r>
      <w:proofErr w:type="spellStart"/>
      <w:r w:rsidR="00F03D1D" w:rsidRPr="00917C44">
        <w:rPr>
          <w:rFonts w:cstheme="minorHAnsi"/>
          <w:sz w:val="24"/>
          <w:szCs w:val="24"/>
        </w:rPr>
        <w:t>kDa</w:t>
      </w:r>
      <w:proofErr w:type="spellEnd"/>
      <w:r w:rsidR="00F03D1D" w:rsidRPr="00917C44">
        <w:rPr>
          <w:rFonts w:cstheme="minorHAnsi"/>
          <w:sz w:val="24"/>
          <w:szCs w:val="24"/>
        </w:rPr>
        <w:t>.</w:t>
      </w:r>
      <w:r w:rsidR="006642F8">
        <w:rPr>
          <w:rFonts w:cstheme="minorHAnsi"/>
          <w:sz w:val="24"/>
          <w:szCs w:val="24"/>
        </w:rPr>
        <w:t xml:space="preserve"> Transducer surface is generally a thin gold film.</w:t>
      </w:r>
    </w:p>
    <w:p w14:paraId="2C36D8D6" w14:textId="3F772D56" w:rsidR="00090E23" w:rsidRDefault="00FE1987" w:rsidP="00F3175C">
      <w:pPr>
        <w:pStyle w:val="ListParagraph"/>
        <w:numPr>
          <w:ilvl w:val="0"/>
          <w:numId w:val="31"/>
        </w:numPr>
        <w:rPr>
          <w:rFonts w:cstheme="minorHAnsi"/>
          <w:sz w:val="24"/>
          <w:szCs w:val="24"/>
        </w:rPr>
      </w:pPr>
      <w:r w:rsidRPr="003453D5">
        <w:rPr>
          <w:rFonts w:cstheme="minorHAnsi"/>
          <w:b/>
          <w:bCs/>
          <w:sz w:val="24"/>
          <w:szCs w:val="24"/>
        </w:rPr>
        <w:t>Chemiluminescence biosensors</w:t>
      </w:r>
      <w:r w:rsidR="00917C44" w:rsidRPr="00917C44">
        <w:rPr>
          <w:rFonts w:cstheme="minorHAnsi"/>
          <w:sz w:val="24"/>
          <w:szCs w:val="24"/>
        </w:rPr>
        <w:t xml:space="preserve">: reaction between the target </w:t>
      </w:r>
      <w:r w:rsidRPr="00917C44">
        <w:rPr>
          <w:rFonts w:cstheme="minorHAnsi"/>
          <w:sz w:val="24"/>
          <w:szCs w:val="24"/>
        </w:rPr>
        <w:t>and the</w:t>
      </w:r>
      <w:r w:rsidR="00917C44" w:rsidRPr="00917C44">
        <w:rPr>
          <w:rFonts w:cstheme="minorHAnsi"/>
          <w:sz w:val="24"/>
          <w:szCs w:val="24"/>
        </w:rPr>
        <w:t xml:space="preserve"> immobilized molecule which has been tagged with chemiluminescence species</w:t>
      </w:r>
      <w:r w:rsidR="0058450E">
        <w:rPr>
          <w:rFonts w:cstheme="minorHAnsi"/>
          <w:sz w:val="24"/>
          <w:szCs w:val="24"/>
        </w:rPr>
        <w:t>,</w:t>
      </w:r>
      <w:r w:rsidR="00917C44" w:rsidRPr="00917C44">
        <w:rPr>
          <w:rFonts w:cstheme="minorHAnsi"/>
          <w:sz w:val="24"/>
          <w:szCs w:val="24"/>
        </w:rPr>
        <w:t xml:space="preserve"> generates light detected </w:t>
      </w:r>
      <w:r w:rsidRPr="00917C44">
        <w:rPr>
          <w:rFonts w:cstheme="minorHAnsi"/>
          <w:sz w:val="24"/>
          <w:szCs w:val="24"/>
        </w:rPr>
        <w:t>by a</w:t>
      </w:r>
      <w:r w:rsidR="00917C44">
        <w:rPr>
          <w:rFonts w:cstheme="minorHAnsi"/>
          <w:sz w:val="24"/>
          <w:szCs w:val="24"/>
        </w:rPr>
        <w:t xml:space="preserve"> </w:t>
      </w:r>
      <w:r w:rsidR="00917C44" w:rsidRPr="00917C44">
        <w:rPr>
          <w:rFonts w:cstheme="minorHAnsi"/>
          <w:sz w:val="24"/>
          <w:szCs w:val="24"/>
        </w:rPr>
        <w:t>photo multiplier tube (PMT).</w:t>
      </w:r>
      <w:r>
        <w:rPr>
          <w:rFonts w:cstheme="minorHAnsi"/>
          <w:sz w:val="24"/>
          <w:szCs w:val="24"/>
        </w:rPr>
        <w:t xml:space="preserve"> </w:t>
      </w:r>
      <w:r w:rsidR="004A78E4">
        <w:rPr>
          <w:rFonts w:cstheme="minorHAnsi"/>
          <w:sz w:val="24"/>
          <w:szCs w:val="24"/>
        </w:rPr>
        <w:t>The</w:t>
      </w:r>
      <w:r>
        <w:rPr>
          <w:rFonts w:cstheme="minorHAnsi"/>
          <w:sz w:val="24"/>
          <w:szCs w:val="24"/>
        </w:rPr>
        <w:t xml:space="preserve"> tool</w:t>
      </w:r>
      <w:r w:rsidR="002523CA">
        <w:rPr>
          <w:rFonts w:cstheme="minorHAnsi"/>
          <w:sz w:val="24"/>
          <w:szCs w:val="24"/>
        </w:rPr>
        <w:t>,</w:t>
      </w:r>
      <w:r>
        <w:rPr>
          <w:rFonts w:cstheme="minorHAnsi"/>
          <w:sz w:val="24"/>
          <w:szCs w:val="24"/>
        </w:rPr>
        <w:t xml:space="preserve"> due to its simple instrumentation and fast response time, </w:t>
      </w:r>
      <w:r w:rsidR="002523CA">
        <w:rPr>
          <w:rFonts w:cstheme="minorHAnsi"/>
          <w:sz w:val="24"/>
          <w:szCs w:val="24"/>
        </w:rPr>
        <w:t xml:space="preserve">is </w:t>
      </w:r>
      <w:r>
        <w:rPr>
          <w:rFonts w:cstheme="minorHAnsi"/>
          <w:sz w:val="24"/>
          <w:szCs w:val="24"/>
        </w:rPr>
        <w:t xml:space="preserve">widely adopted in </w:t>
      </w:r>
      <w:r w:rsidR="003453D5">
        <w:rPr>
          <w:rFonts w:cstheme="minorHAnsi"/>
          <w:sz w:val="24"/>
          <w:szCs w:val="24"/>
        </w:rPr>
        <w:t>immuno-</w:t>
      </w:r>
      <w:r>
        <w:rPr>
          <w:rFonts w:cstheme="minorHAnsi"/>
          <w:sz w:val="24"/>
          <w:szCs w:val="24"/>
        </w:rPr>
        <w:t>sensing and nucleic acid hybridization.</w:t>
      </w:r>
    </w:p>
    <w:p w14:paraId="104FDE85" w14:textId="5028C057" w:rsidR="002523CA" w:rsidRDefault="002523CA" w:rsidP="00F3175C">
      <w:pPr>
        <w:pStyle w:val="ListParagraph"/>
        <w:numPr>
          <w:ilvl w:val="0"/>
          <w:numId w:val="31"/>
        </w:numPr>
        <w:rPr>
          <w:rFonts w:cstheme="minorHAnsi"/>
          <w:sz w:val="24"/>
          <w:szCs w:val="24"/>
        </w:rPr>
      </w:pPr>
      <w:r w:rsidRPr="003453D5">
        <w:rPr>
          <w:rFonts w:cstheme="minorHAnsi"/>
          <w:b/>
          <w:bCs/>
          <w:sz w:val="24"/>
          <w:szCs w:val="24"/>
        </w:rPr>
        <w:t>Fluorescence based sensors</w:t>
      </w:r>
      <w:r>
        <w:rPr>
          <w:rFonts w:cstheme="minorHAnsi"/>
          <w:sz w:val="24"/>
          <w:szCs w:val="24"/>
        </w:rPr>
        <w:t xml:space="preserve">: </w:t>
      </w:r>
      <w:r w:rsidR="00BA4B19">
        <w:rPr>
          <w:rFonts w:cstheme="minorHAnsi"/>
          <w:sz w:val="24"/>
          <w:szCs w:val="24"/>
        </w:rPr>
        <w:t>an external laser initiates a transition in fluorochrome molecules which produce light during the biological event</w:t>
      </w:r>
      <w:r w:rsidR="0058450E">
        <w:rPr>
          <w:rFonts w:cstheme="minorHAnsi"/>
          <w:sz w:val="24"/>
          <w:szCs w:val="24"/>
        </w:rPr>
        <w:t>, the light is then</w:t>
      </w:r>
      <w:r w:rsidR="00BA4B19">
        <w:rPr>
          <w:rFonts w:cstheme="minorHAnsi"/>
          <w:sz w:val="24"/>
          <w:szCs w:val="24"/>
        </w:rPr>
        <w:t xml:space="preserve"> transduced to an optical signal; e.g., nucl</w:t>
      </w:r>
      <w:r w:rsidR="00A41D8D">
        <w:rPr>
          <w:rFonts w:cstheme="minorHAnsi"/>
          <w:sz w:val="24"/>
          <w:szCs w:val="24"/>
        </w:rPr>
        <w:t>e</w:t>
      </w:r>
      <w:r w:rsidR="00BA4B19">
        <w:rPr>
          <w:rFonts w:cstheme="minorHAnsi"/>
          <w:sz w:val="24"/>
          <w:szCs w:val="24"/>
        </w:rPr>
        <w:t xml:space="preserve">ic acid or </w:t>
      </w:r>
      <w:r w:rsidR="00A41D8D">
        <w:rPr>
          <w:rFonts w:cstheme="minorHAnsi"/>
          <w:sz w:val="24"/>
          <w:szCs w:val="24"/>
        </w:rPr>
        <w:t>antibodies</w:t>
      </w:r>
      <w:r w:rsidR="00BA4B19">
        <w:rPr>
          <w:rFonts w:cstheme="minorHAnsi"/>
          <w:sz w:val="24"/>
          <w:szCs w:val="24"/>
        </w:rPr>
        <w:t xml:space="preserve"> are tagged with </w:t>
      </w:r>
      <w:r w:rsidR="00A41D8D">
        <w:rPr>
          <w:rFonts w:cstheme="minorHAnsi"/>
          <w:sz w:val="24"/>
          <w:szCs w:val="24"/>
        </w:rPr>
        <w:t>fluorochrome</w:t>
      </w:r>
      <w:r w:rsidR="00BA4B19">
        <w:rPr>
          <w:rFonts w:cstheme="minorHAnsi"/>
          <w:sz w:val="24"/>
          <w:szCs w:val="24"/>
        </w:rPr>
        <w:t xml:space="preserve"> and </w:t>
      </w:r>
      <w:r w:rsidR="006E74F0">
        <w:rPr>
          <w:rFonts w:cstheme="minorHAnsi"/>
          <w:sz w:val="24"/>
          <w:szCs w:val="24"/>
        </w:rPr>
        <w:t>hybrid</w:t>
      </w:r>
      <w:r w:rsidR="00A41D8D">
        <w:rPr>
          <w:rFonts w:cstheme="minorHAnsi"/>
          <w:sz w:val="24"/>
          <w:szCs w:val="24"/>
        </w:rPr>
        <w:t>iz</w:t>
      </w:r>
      <w:r w:rsidR="006E74F0">
        <w:rPr>
          <w:rFonts w:cstheme="minorHAnsi"/>
          <w:sz w:val="24"/>
          <w:szCs w:val="24"/>
        </w:rPr>
        <w:t xml:space="preserve">ation between two </w:t>
      </w:r>
      <w:proofErr w:type="spellStart"/>
      <w:r w:rsidR="006E74F0">
        <w:rPr>
          <w:rFonts w:cstheme="minorHAnsi"/>
          <w:sz w:val="24"/>
          <w:szCs w:val="24"/>
        </w:rPr>
        <w:t>sDNAs</w:t>
      </w:r>
      <w:proofErr w:type="spellEnd"/>
      <w:r w:rsidR="006E74F0">
        <w:rPr>
          <w:rFonts w:cstheme="minorHAnsi"/>
          <w:sz w:val="24"/>
          <w:szCs w:val="24"/>
        </w:rPr>
        <w:t xml:space="preserve"> is converted to an optical signal.</w:t>
      </w:r>
    </w:p>
    <w:p w14:paraId="490D3D8C" w14:textId="3336D909" w:rsidR="00D06C1D" w:rsidRDefault="00DB2E20" w:rsidP="00F3175C">
      <w:pPr>
        <w:pStyle w:val="ListParagraph"/>
        <w:numPr>
          <w:ilvl w:val="0"/>
          <w:numId w:val="31"/>
        </w:numPr>
        <w:rPr>
          <w:rFonts w:cstheme="minorHAnsi"/>
          <w:sz w:val="24"/>
          <w:szCs w:val="24"/>
        </w:rPr>
      </w:pPr>
      <w:proofErr w:type="spellStart"/>
      <w:r>
        <w:rPr>
          <w:rFonts w:cstheme="minorHAnsi"/>
          <w:b/>
          <w:bCs/>
          <w:sz w:val="24"/>
          <w:szCs w:val="24"/>
        </w:rPr>
        <w:t>Optrodes</w:t>
      </w:r>
      <w:proofErr w:type="spellEnd"/>
      <w:r w:rsidRPr="00DB2E20">
        <w:rPr>
          <w:rFonts w:cstheme="minorHAnsi"/>
          <w:sz w:val="24"/>
          <w:szCs w:val="24"/>
        </w:rPr>
        <w:t>:</w:t>
      </w:r>
      <w:r>
        <w:rPr>
          <w:rFonts w:cstheme="minorHAnsi"/>
          <w:sz w:val="24"/>
          <w:szCs w:val="24"/>
        </w:rPr>
        <w:t xml:space="preserve"> include a light source, a biorecognition component, </w:t>
      </w:r>
      <w:r w:rsidR="00D06C1D">
        <w:rPr>
          <w:rFonts w:cstheme="minorHAnsi"/>
          <w:sz w:val="24"/>
          <w:szCs w:val="24"/>
        </w:rPr>
        <w:t xml:space="preserve">an optical </w:t>
      </w:r>
      <w:r w:rsidR="00754FF2">
        <w:rPr>
          <w:rFonts w:cstheme="minorHAnsi"/>
          <w:sz w:val="24"/>
          <w:szCs w:val="24"/>
        </w:rPr>
        <w:t>fiber</w:t>
      </w:r>
      <w:r w:rsidR="00D06C1D">
        <w:rPr>
          <w:rFonts w:cstheme="minorHAnsi"/>
          <w:sz w:val="24"/>
          <w:szCs w:val="24"/>
        </w:rPr>
        <w:t>. The light is transmitted through the biochemical reaction and its reflection</w:t>
      </w:r>
      <w:r w:rsidR="006D62D3">
        <w:rPr>
          <w:rFonts w:cstheme="minorHAnsi"/>
          <w:sz w:val="24"/>
          <w:szCs w:val="24"/>
        </w:rPr>
        <w:t xml:space="preserve"> </w:t>
      </w:r>
      <w:r w:rsidR="00F57415">
        <w:rPr>
          <w:rFonts w:cstheme="minorHAnsi"/>
          <w:sz w:val="24"/>
          <w:szCs w:val="24"/>
        </w:rPr>
        <w:t>i</w:t>
      </w:r>
      <w:r w:rsidR="00D06C1D">
        <w:rPr>
          <w:rFonts w:cstheme="minorHAnsi"/>
          <w:sz w:val="24"/>
          <w:szCs w:val="24"/>
        </w:rPr>
        <w:t>s measured by a spectrophotometer.</w:t>
      </w:r>
      <w:r w:rsidR="00754FF2">
        <w:rPr>
          <w:rFonts w:cstheme="minorHAnsi"/>
          <w:sz w:val="24"/>
          <w:szCs w:val="24"/>
        </w:rPr>
        <w:t xml:space="preserve"> </w:t>
      </w:r>
      <w:r w:rsidR="00837D21">
        <w:rPr>
          <w:rFonts w:cstheme="minorHAnsi"/>
          <w:sz w:val="24"/>
          <w:szCs w:val="24"/>
        </w:rPr>
        <w:t>They</w:t>
      </w:r>
      <w:r w:rsidR="00754FF2">
        <w:rPr>
          <w:rFonts w:cstheme="minorHAnsi"/>
          <w:sz w:val="24"/>
          <w:szCs w:val="24"/>
        </w:rPr>
        <w:t xml:space="preserve"> are miniaturized high performance sensors, with high sensitivity and low detection limits.</w:t>
      </w:r>
    </w:p>
    <w:p w14:paraId="135A5682" w14:textId="260193C5" w:rsidR="00094EBD" w:rsidRPr="00094EBD" w:rsidRDefault="00094EBD" w:rsidP="00094EBD">
      <w:pPr>
        <w:rPr>
          <w:rFonts w:asciiTheme="minorHAnsi" w:hAnsiTheme="minorHAnsi" w:cstheme="minorHAnsi"/>
        </w:rPr>
      </w:pPr>
      <w:r w:rsidRPr="00094EBD">
        <w:rPr>
          <w:rFonts w:asciiTheme="minorHAnsi" w:hAnsiTheme="minorHAnsi" w:cstheme="minorHAnsi"/>
        </w:rPr>
        <w:t xml:space="preserve">Biosensors </w:t>
      </w:r>
      <w:r>
        <w:rPr>
          <w:rFonts w:asciiTheme="minorHAnsi" w:hAnsiTheme="minorHAnsi" w:cstheme="minorHAnsi"/>
        </w:rPr>
        <w:t xml:space="preserve">are used in many scientific domains like medicine, life-science, </w:t>
      </w:r>
      <w:r w:rsidR="00AA5B7A">
        <w:rPr>
          <w:rFonts w:asciiTheme="minorHAnsi" w:hAnsiTheme="minorHAnsi" w:cstheme="minorHAnsi"/>
        </w:rPr>
        <w:t>or</w:t>
      </w:r>
      <w:r>
        <w:rPr>
          <w:rFonts w:asciiTheme="minorHAnsi" w:hAnsiTheme="minorHAnsi" w:cstheme="minorHAnsi"/>
        </w:rPr>
        <w:t xml:space="preserve"> for environment protection, in the food industry and in military applications. </w:t>
      </w:r>
      <w:r w:rsidR="00376650">
        <w:rPr>
          <w:rFonts w:asciiTheme="minorHAnsi" w:hAnsiTheme="minorHAnsi" w:cstheme="minorHAnsi"/>
        </w:rPr>
        <w:t>However,</w:t>
      </w:r>
      <w:r>
        <w:rPr>
          <w:rFonts w:asciiTheme="minorHAnsi" w:hAnsiTheme="minorHAnsi" w:cstheme="minorHAnsi"/>
        </w:rPr>
        <w:t xml:space="preserve"> when rea</w:t>
      </w:r>
      <w:r w:rsidR="00376650">
        <w:rPr>
          <w:rFonts w:asciiTheme="minorHAnsi" w:hAnsiTheme="minorHAnsi" w:cstheme="minorHAnsi"/>
        </w:rPr>
        <w:t>l</w:t>
      </w:r>
      <w:r>
        <w:rPr>
          <w:rFonts w:asciiTheme="minorHAnsi" w:hAnsiTheme="minorHAnsi" w:cstheme="minorHAnsi"/>
        </w:rPr>
        <w:t xml:space="preserve">-time </w:t>
      </w:r>
      <w:r w:rsidR="00F37F9E">
        <w:rPr>
          <w:rFonts w:asciiTheme="minorHAnsi" w:hAnsiTheme="minorHAnsi" w:cstheme="minorHAnsi"/>
        </w:rPr>
        <w:t>monitoring</w:t>
      </w:r>
      <w:r>
        <w:rPr>
          <w:rFonts w:asciiTheme="minorHAnsi" w:hAnsiTheme="minorHAnsi" w:cstheme="minorHAnsi"/>
        </w:rPr>
        <w:t xml:space="preserve"> is not a requirement, simple buffer solutions are </w:t>
      </w:r>
      <w:r w:rsidR="00EE350B">
        <w:rPr>
          <w:rFonts w:asciiTheme="minorHAnsi" w:hAnsiTheme="minorHAnsi" w:cstheme="minorHAnsi"/>
        </w:rPr>
        <w:t xml:space="preserve">preferred </w:t>
      </w:r>
      <w:r w:rsidR="00376650">
        <w:rPr>
          <w:rFonts w:asciiTheme="minorHAnsi" w:hAnsiTheme="minorHAnsi" w:cstheme="minorHAnsi"/>
        </w:rPr>
        <w:t>due to</w:t>
      </w:r>
      <w:r w:rsidR="00F37F9E">
        <w:rPr>
          <w:rFonts w:asciiTheme="minorHAnsi" w:hAnsiTheme="minorHAnsi" w:cstheme="minorHAnsi"/>
        </w:rPr>
        <w:t xml:space="preserve"> their low complexity overhead and </w:t>
      </w:r>
      <w:r w:rsidR="00EE350B">
        <w:rPr>
          <w:rFonts w:asciiTheme="minorHAnsi" w:hAnsiTheme="minorHAnsi" w:cstheme="minorHAnsi"/>
        </w:rPr>
        <w:t xml:space="preserve">are </w:t>
      </w:r>
      <w:r w:rsidR="00F37F9E">
        <w:rPr>
          <w:rFonts w:asciiTheme="minorHAnsi" w:hAnsiTheme="minorHAnsi" w:cstheme="minorHAnsi"/>
        </w:rPr>
        <w:t>che</w:t>
      </w:r>
      <w:r w:rsidR="00376650">
        <w:rPr>
          <w:rFonts w:asciiTheme="minorHAnsi" w:hAnsiTheme="minorHAnsi" w:cstheme="minorHAnsi"/>
        </w:rPr>
        <w:t>aper</w:t>
      </w:r>
      <w:r w:rsidR="00EE350B">
        <w:rPr>
          <w:rFonts w:asciiTheme="minorHAnsi" w:hAnsiTheme="minorHAnsi" w:cstheme="minorHAnsi"/>
        </w:rPr>
        <w:t xml:space="preserve"> to make</w:t>
      </w:r>
      <w:r w:rsidR="00F37F9E">
        <w:rPr>
          <w:rFonts w:asciiTheme="minorHAnsi" w:hAnsiTheme="minorHAnsi" w:cstheme="minorHAnsi"/>
        </w:rPr>
        <w:t>.</w:t>
      </w:r>
      <w:r w:rsidR="00376650">
        <w:rPr>
          <w:rFonts w:asciiTheme="minorHAnsi" w:hAnsiTheme="minorHAnsi" w:cstheme="minorHAnsi"/>
        </w:rPr>
        <w:t xml:space="preserve"> </w:t>
      </w:r>
      <w:r w:rsidR="00EE350B">
        <w:rPr>
          <w:rFonts w:asciiTheme="minorHAnsi" w:hAnsiTheme="minorHAnsi" w:cstheme="minorHAnsi"/>
        </w:rPr>
        <w:t xml:space="preserve">One promising </w:t>
      </w:r>
      <w:r w:rsidR="00376650">
        <w:rPr>
          <w:rFonts w:asciiTheme="minorHAnsi" w:hAnsiTheme="minorHAnsi" w:cstheme="minorHAnsi"/>
        </w:rPr>
        <w:t>research is the development of disposable, easy to use at</w:t>
      </w:r>
      <w:r w:rsidR="00EE350B">
        <w:rPr>
          <w:rFonts w:asciiTheme="minorHAnsi" w:hAnsiTheme="minorHAnsi" w:cstheme="minorHAnsi"/>
        </w:rPr>
        <w:t>-</w:t>
      </w:r>
      <w:r w:rsidR="00376650">
        <w:rPr>
          <w:rFonts w:asciiTheme="minorHAnsi" w:hAnsiTheme="minorHAnsi" w:cstheme="minorHAnsi"/>
        </w:rPr>
        <w:t xml:space="preserve">home biosensors for medical diagnostics </w:t>
      </w:r>
      <w:r w:rsidR="00823552">
        <w:rPr>
          <w:rFonts w:asciiTheme="minorHAnsi" w:hAnsiTheme="minorHAnsi" w:cstheme="minorHAnsi"/>
        </w:rPr>
        <w:t>saving on</w:t>
      </w:r>
      <w:r w:rsidR="00376650">
        <w:rPr>
          <w:rFonts w:asciiTheme="minorHAnsi" w:hAnsiTheme="minorHAnsi" w:cstheme="minorHAnsi"/>
        </w:rPr>
        <w:t xml:space="preserve"> laboratory analyses.</w:t>
      </w:r>
    </w:p>
    <w:p w14:paraId="7BA78FCB" w14:textId="77777777" w:rsidR="0090482B" w:rsidRDefault="0090482B" w:rsidP="00EE0B47">
      <w:pPr>
        <w:rPr>
          <w:rFonts w:asciiTheme="minorHAnsi" w:hAnsiTheme="minorHAnsi" w:cstheme="minorHAnsi"/>
        </w:rPr>
      </w:pPr>
    </w:p>
    <w:p w14:paraId="58E867F5" w14:textId="37AF675A" w:rsidR="00EE0B47" w:rsidRPr="00BE6B00" w:rsidRDefault="00EE0B47" w:rsidP="00EE0B47">
      <w:pPr>
        <w:rPr>
          <w:rFonts w:asciiTheme="minorHAnsi" w:hAnsiTheme="minorHAnsi" w:cstheme="minorHAnsi"/>
          <w:b/>
          <w:bCs/>
        </w:rPr>
      </w:pPr>
      <w:r w:rsidRPr="00BE6B00">
        <w:rPr>
          <w:rFonts w:asciiTheme="minorHAnsi" w:hAnsiTheme="minorHAnsi" w:cstheme="minorHAnsi"/>
          <w:b/>
          <w:bCs/>
        </w:rPr>
        <w:t>Note how your knowledge of receptor-ligand interactions could help you in determining a new approach for a biomedical engineering application</w:t>
      </w:r>
      <w:r w:rsidR="00685E2D" w:rsidRPr="00BE6B00">
        <w:rPr>
          <w:rFonts w:asciiTheme="minorHAnsi" w:hAnsiTheme="minorHAnsi" w:cstheme="minorHAnsi"/>
          <w:b/>
          <w:bCs/>
        </w:rPr>
        <w:t>.</w:t>
      </w:r>
    </w:p>
    <w:p w14:paraId="66792A63" w14:textId="149A6D0B" w:rsidR="00E87952" w:rsidRPr="008D4EF3" w:rsidRDefault="007543F2" w:rsidP="00BE6B00">
      <w:pPr>
        <w:rPr>
          <w:rFonts w:asciiTheme="minorHAnsi" w:hAnsiTheme="minorHAnsi" w:cstheme="minorHAnsi"/>
        </w:rPr>
      </w:pPr>
      <w:r w:rsidRPr="008D4EF3">
        <w:rPr>
          <w:rFonts w:asciiTheme="minorHAnsi" w:hAnsiTheme="minorHAnsi" w:cstheme="minorHAnsi"/>
        </w:rPr>
        <w:t xml:space="preserve">Oral microbiome includes up to 1000 microbial species comprising bacteria, fungi, viruses, archaea and protozoa. The vast majority of </w:t>
      </w:r>
      <w:r w:rsidR="00BE6B00" w:rsidRPr="008D4EF3">
        <w:rPr>
          <w:rFonts w:asciiTheme="minorHAnsi" w:hAnsiTheme="minorHAnsi" w:cstheme="minorHAnsi"/>
        </w:rPr>
        <w:t>viruses in the oral cavity are bacteriophages; ab</w:t>
      </w:r>
      <w:r w:rsidR="00116A03" w:rsidRPr="008D4EF3">
        <w:rPr>
          <w:rFonts w:asciiTheme="minorHAnsi" w:hAnsiTheme="minorHAnsi" w:cstheme="minorHAnsi"/>
        </w:rPr>
        <w:t>o</w:t>
      </w:r>
      <w:r w:rsidR="00BE6B00" w:rsidRPr="008D4EF3">
        <w:rPr>
          <w:rFonts w:asciiTheme="minorHAnsi" w:hAnsiTheme="minorHAnsi" w:cstheme="minorHAnsi"/>
        </w:rPr>
        <w:t xml:space="preserve">ut 700 bacterial species live in the oral cavity making it the second largest bacterial community in the human body after the gut. </w:t>
      </w:r>
      <w:r w:rsidR="005733D2" w:rsidRPr="008D4EF3">
        <w:rPr>
          <w:rFonts w:asciiTheme="minorHAnsi" w:hAnsiTheme="minorHAnsi" w:cstheme="minorHAnsi"/>
        </w:rPr>
        <w:t>Like many functions in the human body, oral microbiome in a healthy individual maintains interspecies relationships and host-microbial interactions in homeostasis (</w:t>
      </w:r>
      <w:proofErr w:type="spellStart"/>
      <w:r w:rsidR="005733D2" w:rsidRPr="008D4EF3">
        <w:rPr>
          <w:rFonts w:asciiTheme="minorHAnsi" w:hAnsiTheme="minorHAnsi" w:cstheme="minorHAnsi"/>
        </w:rPr>
        <w:t>eurobiosis</w:t>
      </w:r>
      <w:proofErr w:type="spellEnd"/>
      <w:r w:rsidR="005733D2" w:rsidRPr="008D4EF3">
        <w:rPr>
          <w:rFonts w:asciiTheme="minorHAnsi" w:hAnsiTheme="minorHAnsi" w:cstheme="minorHAnsi"/>
        </w:rPr>
        <w:t xml:space="preserve">). The human host immune response </w:t>
      </w:r>
      <w:r w:rsidR="0079342E" w:rsidRPr="008D4EF3">
        <w:rPr>
          <w:rFonts w:asciiTheme="minorHAnsi" w:hAnsiTheme="minorHAnsi" w:cstheme="minorHAnsi"/>
        </w:rPr>
        <w:t>must balance between aggressive immune response for pathogen elimination and protection of beneficial oral microbes which prevent colonization of pathogens.</w:t>
      </w:r>
      <w:r w:rsidR="004347A4" w:rsidRPr="008D4EF3">
        <w:rPr>
          <w:rFonts w:asciiTheme="minorHAnsi" w:hAnsiTheme="minorHAnsi" w:cstheme="minorHAnsi"/>
        </w:rPr>
        <w:t xml:space="preserve"> Shift in </w:t>
      </w:r>
      <w:proofErr w:type="spellStart"/>
      <w:r w:rsidR="004347A4" w:rsidRPr="008D4EF3">
        <w:rPr>
          <w:rFonts w:asciiTheme="minorHAnsi" w:hAnsiTheme="minorHAnsi" w:cstheme="minorHAnsi"/>
        </w:rPr>
        <w:t>eubiotic</w:t>
      </w:r>
      <w:proofErr w:type="spellEnd"/>
      <w:r w:rsidR="004347A4" w:rsidRPr="008D4EF3">
        <w:rPr>
          <w:rFonts w:asciiTheme="minorHAnsi" w:hAnsiTheme="minorHAnsi" w:cstheme="minorHAnsi"/>
        </w:rPr>
        <w:t xml:space="preserve"> balance can lead to parasitic state promoting disease (dysbiosis).</w:t>
      </w:r>
      <w:r w:rsidR="00E87952" w:rsidRPr="008D4EF3">
        <w:rPr>
          <w:rFonts w:asciiTheme="minorHAnsi" w:hAnsiTheme="minorHAnsi" w:cstheme="minorHAnsi"/>
        </w:rPr>
        <w:t xml:space="preserve"> Dysbiosis is characterized by </w:t>
      </w:r>
      <w:r w:rsidR="005156D0" w:rsidRPr="008D4EF3">
        <w:rPr>
          <w:rFonts w:asciiTheme="minorHAnsi" w:hAnsiTheme="minorHAnsi" w:cstheme="minorHAnsi"/>
        </w:rPr>
        <w:t>1) l</w:t>
      </w:r>
      <w:r w:rsidR="00E87952" w:rsidRPr="008D4EF3">
        <w:rPr>
          <w:rFonts w:asciiTheme="minorHAnsi" w:hAnsiTheme="minorHAnsi" w:cstheme="minorHAnsi"/>
        </w:rPr>
        <w:t>oss of microbial diversity</w:t>
      </w:r>
      <w:r w:rsidR="005156D0" w:rsidRPr="008D4EF3">
        <w:rPr>
          <w:rFonts w:asciiTheme="minorHAnsi" w:hAnsiTheme="minorHAnsi" w:cstheme="minorHAnsi"/>
        </w:rPr>
        <w:t xml:space="preserve">; 2) loss of beneficial microbes which are part of the nitrate-nitrite-nitric pathway exposing the host to carcinogenic metabolites and detrimental vascular changes </w:t>
      </w:r>
      <w:r w:rsidR="00D830DB" w:rsidRPr="008D4EF3">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{"citationID":"w88lIEJu","properties":{"formattedCitation":"[2]","plainCitation":"[2]","noteIndex":0},"citationItems":[{"id":1115,"uris":["http://zotero.org/users/7286058/items/GU4U7ZXD"],"itemData":{"id":1115,"type":"article-journal","abstract":"Mammalian immune system development depends on instruction from resident commensal microorganisms. Diseases associated with abnormal immune responses towards environmental and self antigens have been rapidly increasing over the last 50 years. These diseases include inflammatory bowel disease (IBD), multiple sclerosis (MS), type I diabetes (T1D), allergies and asthma. The observation that people with immune mediated diseases house a different microbial community when compared to healthy individuals suggests that pathogenesis arises from improper training of the immune system by the microbiota. However, with hundreds of different microorganisms on our bodies it is hard to know which of these contribute to health and more importantly how? Microbiologists studying pathogenic organisms have long adhered to Koch's postulates to directly relate a certain disease to a specific microbe, raising the question of whether this might be true of commensal–host relationships as well. Emerging evidence supports that rather than one or two dominant organisms inducing host health, the composition of the entire community of microbial residents influences a balanced immune response. Thus, perturbations to the structure of complex commensal communities (referred to as dysbiosis) can lead to deficient education of the host immune system and subsequent development of immune mediated diseases. Here we will overview the literature that describes the causes of dysbiosis and the mechanisms evolved by the host to prevent these changes to community structure. Building off these studies, we will categorize the different types of dysbiosis and define how collections of microorganisms can influence the host response. This research has broad implications for future therapies that go beyond the introduction of a single organism to induce health. We propose that identifying mechanisms to re-establish a healthy complex microbiota after dysbiosis has occurred, a process we will refer to as rebiosis, will be fundamental to treating complex immune diseases.","container-title":"Cellular Microbiology","DOI":"10.1111/cmi.12308","ISSN":"1462-5822","issue":"7","language":"en","note":"_eprint: https://onlinelibrary.wiley.com/doi/pdf/10.1111/cmi.12308","page":"1024-1033","source":"Wiley Online Library","title":"Defining dysbiosis and its influence on host immunity and disease","URL":"http://onlinelibrary.wiley.com/doi/abs/10.1111/cmi.12308","volume":"16","author":[{"family":"Petersen","given":"Charisse"},{"family":"Round","given":"June L."}],"accessed":{"date-parts":[["2022",4,3]]},"issued":{"date-parts":[["2014"]]}}}],"schema":"https://github.com/citation-style-language/schema/raw/master/csl-citation.json"} </w:instrText>
      </w:r>
      <w:r w:rsidR="00D830DB" w:rsidRPr="008D4EF3">
        <w:rPr>
          <w:rFonts w:asciiTheme="minorHAnsi" w:hAnsiTheme="minorHAnsi" w:cstheme="minorHAnsi"/>
        </w:rPr>
        <w:fldChar w:fldCharType="separate"/>
      </w:r>
      <w:r w:rsidR="00155CAC">
        <w:rPr>
          <w:rFonts w:asciiTheme="minorHAnsi" w:hAnsiTheme="minorHAnsi" w:cstheme="minorHAnsi"/>
          <w:noProof/>
        </w:rPr>
        <w:t>[2]</w:t>
      </w:r>
      <w:r w:rsidR="00D830DB" w:rsidRPr="008D4EF3">
        <w:rPr>
          <w:rFonts w:asciiTheme="minorHAnsi" w:hAnsiTheme="minorHAnsi" w:cstheme="minorHAnsi"/>
        </w:rPr>
        <w:fldChar w:fldCharType="end"/>
      </w:r>
      <w:r w:rsidR="00D830DB" w:rsidRPr="008D4EF3">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{"citationID":"ZS9UuUAH","properties":{"formattedCitation":"[3]","plainCitation":"[3]","noteIndex":0},"citationItems":[{"id":1121,"uris":["http://zotero.org/users/7286058/items/33JTBVMG"],"itemData":{"id":1121,"type":"article-journal","abstract":"Microbes appear in every corner of human life, and microbes affect every aspect of human life. The human oral cavity contains a number of different habitats. Synergy and interaction of variable oral microorganisms help human body against invasion of undesirable stimulation outside. However, imbalance of microbial ﬂora contributes to oral diseases and systemic diseases. Oral microbiomes play an important role in the human microbial community and human health. The use of recently developed molecular methods has greatly expanded our knowledge of the composition and function of the oral microbiome in health and disease. Studies in oral microbiomes and their interactions with microbiomes in variable body sites and variable health condition are critical in our cognition of our body and how to make effect on human health improvement.","container-title":"Protein &amp; Cell","DOI":"10.1007/s13238-018-0548-1","ISSN":"1674-800X, 1674-8018","issue":"5","journalAbbreviation":"Protein Cell","language":"en","page":"488-500","source":"DOI.org (Crossref)","title":"Oral microbiomes: more and more importance in oral cavity and whole body","title-short":"Oral microbiomes","URL":"http://link.springer.com/10.1007/s13238-018-0548-1","volume":"9","author":[{"family":"Gao","given":"Lu"},{"family":"Xu","given":"Tiansong"},{"family":"Huang","given":"Gang"},{"family":"Jiang","given":"Song"},{"family":"Gu","given":"Yan"},{"family":"Chen","given":"Feng"}],"accessed":{"date-parts":[["2022",4,3]]},"issued":{"date-parts":[["2018",5]]}}}],"schema":"https://github.com/citation-style-language/schema/raw/master/csl-citation.json"} </w:instrText>
      </w:r>
      <w:r w:rsidR="00D830DB" w:rsidRPr="008D4EF3">
        <w:rPr>
          <w:rFonts w:asciiTheme="minorHAnsi" w:hAnsiTheme="minorHAnsi" w:cstheme="minorHAnsi"/>
        </w:rPr>
        <w:fldChar w:fldCharType="separate"/>
      </w:r>
      <w:r w:rsidR="00155CAC">
        <w:rPr>
          <w:rFonts w:asciiTheme="minorHAnsi" w:hAnsiTheme="minorHAnsi" w:cstheme="minorHAnsi"/>
          <w:noProof/>
        </w:rPr>
        <w:t>[3]</w:t>
      </w:r>
      <w:r w:rsidR="00D830DB" w:rsidRPr="008D4EF3">
        <w:rPr>
          <w:rFonts w:asciiTheme="minorHAnsi" w:hAnsiTheme="minorHAnsi" w:cstheme="minorHAnsi"/>
        </w:rPr>
        <w:fldChar w:fldCharType="end"/>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{"citationID":"ExrZ5NW5","properties":{"formattedCitation":"[4]","plainCitation":"[4]","noteIndex":0},"citationItems":[{"id":1087,"uris":["http://zotero.org/users/7286058/items/9V7GEGUA"],"itemData":{"id":1087,"type":"article-journal","container-title":"Periodontology 2000","DOI":"10.1111/prd.12002","ISSN":"0906-6713","issue":"1","journalAbbreviation":"Periodontol 2000","note":"PMID: 24320956\nPMCID: PMC4500791","page":"57-80","source":"PubMed Central","title":"Inflammatory and immune pathways in the pathogenesis of periodontal disease","URL":"https://www.ncbi.nlm.nih.gov/pmc/articles/PMC4500791/","volume":"64","author":[{"family":"Cekici","given":"Ali"},{"family":"Kantarci","given":"Alpdogan"},{"family":"Hasturk","given":"Hatice"},{"family":"Van Dyke","given":"Thomas E."}],"accessed":{"date-parts":[["2022",4,2]]},"issued":{"date-parts":[["2014",2]]}}}],"schema":"https://github.com/citation-style-language/schema/raw/master/csl-citation.json"}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[4]</w:t>
      </w:r>
      <w:r w:rsidR="00155CAC">
        <w:rPr>
          <w:rFonts w:asciiTheme="minorHAnsi" w:hAnsiTheme="minorHAnsi" w:cstheme="minorHAnsi"/>
        </w:rPr>
        <w:fldChar w:fldCharType="end"/>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{"citationID":"2bZ6BwdG","properties":{"formattedCitation":"[5]","plainCitation":"[5]","noteIndex":0},"citationItems":[{"id":1091,"uris":["http://zotero.org/users/7286058/items/GG3YL9KE"],"itemData":{"id":1091,"type":"article-journal","abstract":"The current paradigm of onset and progression of periodontitis includes oral dysbiosis directed by inﬂammophilic bacteria, leading to altered resolution of inﬂammation and lack of regulation of the inﬂammatory responses. In the construction of explanatory models of the etiopathogenesis of periodontal disease, autoimmune mechanisms were among the ﬁrst to be explored and historically, for more than ﬁve decades, they have been described in an isolated manner as part of the tissue damage process observed in periodontitis, however direct participation of these mechanisms in the tissue damage is still controversial. Autoimmunity is affected by genetic and environmental factors, leading to an imbalance between the effector and regulatory responses, mostly associated with failed resolution mechanisms. However, dysbiosis/infection and chronic inﬂammation could trigger autoimmunity by several mechanisms including bystander activation, dysregulation of toll-like receptors, ampliﬁcation of autoimmunity by cytokines, epitope spreading, autoantigens complementarity, autoantigens overproduction, microbial translocation, molecular mimicry, superantigens, and activation or inhibition of receptors related to autoimmunity by microorganisms. Even though autoreactivity in periodontitis is biologically plausible, the associated mechanisms could be related to non-pathologic responses which could even explain non-recognized physiological functions. In this review we shall discuss from a descriptive point of view, the autoimmune mechanisms related to periodontitis physio-pathogenesis and the participation of oral dysbiosis on local periodontal autoimmune responses as well as on different systemic inﬂammatory diseases.","container-title":"Frontiers in Immunology","DOI":"10.3389/fimmu.2020.591255","ISSN":"1664-3224","journalAbbreviation":"Front. Immunol.","language":"en","page":"591255","source":"DOI.org (Crossref)","title":"Oral Dysbiosis and Autoimmunity: From Local Periodontal Responses to an Imbalanced Systemic Immunity. A Review","title-short":"Oral Dysbiosis and Autoimmunity","URL":"https://www.frontiersin.org/articles/10.3389/fimmu.2020.591255/full","volume":"11","author":[{"family":"Suárez","given":"Lina J."},{"family":"Garzón","given":"Hernan"},{"family":"Arboleda","given":"Silie"},{"family":"Rodríguez","given":"Adriana"}],"accessed":{"date-parts":[["2022",4,2]]},"issued":{"date-parts":[["2020",12,8]]}}}],"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[5]</w:t>
      </w:r>
      <w:r w:rsidR="00155CAC">
        <w:rPr>
          <w:rFonts w:asciiTheme="minorHAnsi" w:hAnsiTheme="minorHAnsi" w:cstheme="minorHAnsi"/>
        </w:rPr>
        <w:fldChar w:fldCharType="end"/>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{"citationID":"fDLDIvsR","properties":{"formattedCitation":"[6]","plainCitation":"[6]","noteIndex":0},"citationItems":[{"id":1086,"uris":["http://zotero.org/users/7286058/items/DJFILDBP"],"itemData":{"id":1086,"type":"article-journal","abstract":"The oralome is the summary of the dynamic interactions orchestrated between the ecological community of oral microorganisms (comprised of up to approximately 1000 species of bacteria, fungi, viruses, archaea and protozoa - the oral microbiome) that live in the oral cavity and the host. These microorganisms form a complex ecosystem that thrive in the dynamic oral environment in a symbiotic relationship with the human host. However, the microbial composition is signiﬁcantly affected by interspecies and host-microbial interactions, which in turn, can impact the health and disease status of the host. In this review, we discuss the composition of the oralome and inter-species and host-microbial interactions that take place in the oral cavity and examine how these interactions change from healthy (eubiotic) to disease (dysbiotic) states. We further discuss the dysbiotic signatures associated with periodontitis and caries and their sequalae, (e.g., tooth/bone loss and pulpitis), and the systemic diseases associated with these oral diseases, such as infective endocarditis, atherosclerosis, diabetes, Alzheimer’s disease and head and neck/oral cancer. We then discuss current computational techniques to assess dysbiotic oral microbiome changes. Lastly, we discuss current and novel techniques for modulation of the dysbiotic oral microbiome that may help in disease prevention and treatment, including standard hygiene methods, prebiotics, probiotics, use of nano-sized drug delivery systems (nano-DDS), extracellular polymeric matrix (EPM) disruption, and host response modulators.","container-title":"Computational and Structural Biotechnology Journal","DOI":"10.1016/j.csbj.2021.02.010","ISSN":"20010370","journalAbbreviation":"Computational and Structural Biotechnology Journal","language":"en","page":"1335-1360","source":"DOI.org (Crossref)","title":"The oralome and its dysbiosis: New insights into oral microbiome-host interactions","title-short":"The oralome and its dysbiosis","URL":"https://linkinghub.elsevier.com/retrieve/pii/S2001037021000611","volume":"19","author":[{"family":"Radaic","given":"Allan"},{"family":"Kapila","given":"Yvonne L."}],"accessed":{"date-parts":[["2022",4,2]]},"issued":{"date-parts":[["2021"]]}}}],"schema":"https://github.com/citation-style-language/schema/raw/master/csl-citation.json"}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[6]</w:t>
      </w:r>
      <w:r w:rsidR="00155CAC">
        <w:rPr>
          <w:rFonts w:asciiTheme="minorHAnsi" w:hAnsiTheme="minorHAnsi" w:cstheme="minorHAnsi"/>
        </w:rPr>
        <w:fldChar w:fldCharType="end"/>
      </w:r>
      <w:r w:rsidR="005156D0" w:rsidRPr="008D4EF3">
        <w:rPr>
          <w:rFonts w:asciiTheme="minorHAnsi" w:hAnsiTheme="minorHAnsi" w:cstheme="minorHAnsi"/>
        </w:rPr>
        <w:t xml:space="preserve">, and 3) outgrowth of pathogens </w:t>
      </w:r>
      <w:r w:rsidR="00240F19" w:rsidRPr="008D4EF3">
        <w:rPr>
          <w:rFonts w:asciiTheme="minorHAnsi" w:hAnsiTheme="minorHAnsi" w:cstheme="minorHAnsi"/>
        </w:rPr>
        <w:t xml:space="preserve">specifically </w:t>
      </w:r>
      <w:proofErr w:type="spellStart"/>
      <w:r w:rsidR="00240F19" w:rsidRPr="008D4EF3">
        <w:rPr>
          <w:rFonts w:asciiTheme="minorHAnsi" w:hAnsiTheme="minorHAnsi" w:cstheme="minorHAnsi"/>
          <w:i/>
          <w:iCs/>
        </w:rPr>
        <w:t>P.gingivalis</w:t>
      </w:r>
      <w:proofErr w:type="spellEnd"/>
      <w:r w:rsidR="00240F19" w:rsidRPr="008D4EF3">
        <w:rPr>
          <w:rFonts w:asciiTheme="minorHAnsi" w:hAnsiTheme="minorHAnsi" w:cstheme="minorHAnsi"/>
        </w:rPr>
        <w:t xml:space="preserve">, </w:t>
      </w:r>
      <w:proofErr w:type="spellStart"/>
      <w:r w:rsidR="00240F19" w:rsidRPr="008D4EF3">
        <w:rPr>
          <w:rFonts w:asciiTheme="minorHAnsi" w:hAnsiTheme="minorHAnsi" w:cstheme="minorHAnsi"/>
          <w:i/>
          <w:iCs/>
        </w:rPr>
        <w:t>F.nucleatum</w:t>
      </w:r>
      <w:proofErr w:type="spellEnd"/>
      <w:r w:rsidR="00240F19" w:rsidRPr="008D4EF3">
        <w:rPr>
          <w:rFonts w:asciiTheme="minorHAnsi" w:hAnsiTheme="minorHAnsi" w:cstheme="minorHAnsi"/>
        </w:rPr>
        <w:t xml:space="preserve"> which have been associated to </w:t>
      </w:r>
      <w:r w:rsidR="00996D09" w:rsidRPr="008D4EF3">
        <w:rPr>
          <w:rFonts w:asciiTheme="minorHAnsi" w:hAnsiTheme="minorHAnsi" w:cstheme="minorHAnsi"/>
        </w:rPr>
        <w:t>periodontal</w:t>
      </w:r>
      <w:r w:rsidR="00240F19" w:rsidRPr="008D4EF3">
        <w:rPr>
          <w:rFonts w:asciiTheme="minorHAnsi" w:hAnsiTheme="minorHAnsi" w:cstheme="minorHAnsi"/>
        </w:rPr>
        <w:t xml:space="preserve"> disease, various cancers (head, neck, colorectal), atherosclerosis,  and Alzheimer’s disease</w:t>
      </w:r>
      <w:r w:rsidR="003D77C8" w:rsidRPr="008D4EF3">
        <w:rPr>
          <w:rFonts w:asciiTheme="minorHAnsi" w:hAnsiTheme="minorHAnsi" w:cstheme="minorHAnsi"/>
        </w:rPr>
        <w:t>:</w:t>
      </w:r>
    </w:p>
    <w:p w14:paraId="787AA375" w14:textId="060ACBC0" w:rsidR="003D77C8" w:rsidRPr="004F74C4" w:rsidRDefault="003D77C8" w:rsidP="004F74C4">
      <w:pPr>
        <w:pStyle w:val="ListParagraph"/>
        <w:numPr>
          <w:ilvl w:val="0"/>
          <w:numId w:val="34"/>
        </w:numPr>
        <w:rPr>
          <w:rFonts w:cstheme="minorHAnsi"/>
          <w:sz w:val="24"/>
          <w:szCs w:val="24"/>
        </w:rPr>
      </w:pPr>
      <w:proofErr w:type="spellStart"/>
      <w:proofErr w:type="gramStart"/>
      <w:r w:rsidRPr="004F74C4">
        <w:rPr>
          <w:rFonts w:cstheme="minorHAnsi"/>
          <w:i/>
          <w:iCs/>
          <w:sz w:val="24"/>
          <w:szCs w:val="24"/>
        </w:rPr>
        <w:t>P.gingivalis</w:t>
      </w:r>
      <w:proofErr w:type="spellEnd"/>
      <w:proofErr w:type="gramEnd"/>
      <w:r w:rsidRPr="004F74C4">
        <w:rPr>
          <w:rFonts w:cstheme="minorHAnsi"/>
          <w:sz w:val="24"/>
          <w:szCs w:val="24"/>
        </w:rPr>
        <w:t xml:space="preserve">: a variety of studies have shown that </w:t>
      </w:r>
      <w:proofErr w:type="spellStart"/>
      <w:r w:rsidRPr="004F02B2">
        <w:rPr>
          <w:rFonts w:cstheme="minorHAnsi"/>
          <w:i/>
          <w:iCs/>
          <w:sz w:val="24"/>
          <w:szCs w:val="24"/>
        </w:rPr>
        <w:t>P.gingivalis</w:t>
      </w:r>
      <w:proofErr w:type="spellEnd"/>
      <w:r w:rsidRPr="004F74C4">
        <w:rPr>
          <w:rFonts w:cstheme="minorHAnsi"/>
          <w:sz w:val="24"/>
          <w:szCs w:val="24"/>
        </w:rPr>
        <w:t xml:space="preserve">, led to a significant increase in </w:t>
      </w:r>
      <w:r w:rsidRPr="004F74C4">
        <w:rPr>
          <w:rFonts w:cstheme="minorHAnsi"/>
          <w:sz w:val="24"/>
          <w:szCs w:val="24"/>
        </w:rPr>
        <w:sym w:font="Symbol" w:char="F061"/>
      </w:r>
      <w:r w:rsidRPr="004F74C4">
        <w:rPr>
          <w:rFonts w:cstheme="minorHAnsi"/>
          <w:sz w:val="24"/>
          <w:szCs w:val="24"/>
        </w:rPr>
        <w:t xml:space="preserve">-defensin, boosting oral squamous cell carcinoma (OSCC) cell proliferation, induced </w:t>
      </w:r>
      <w:r w:rsidRPr="004F74C4">
        <w:rPr>
          <w:rFonts w:cstheme="minorHAnsi"/>
          <w:sz w:val="24"/>
          <w:szCs w:val="24"/>
        </w:rPr>
        <w:sym w:font="Symbol" w:char="F062"/>
      </w:r>
      <w:r w:rsidRPr="004F74C4">
        <w:rPr>
          <w:rFonts w:cstheme="minorHAnsi"/>
          <w:sz w:val="24"/>
          <w:szCs w:val="24"/>
        </w:rPr>
        <w:t>-</w:t>
      </w:r>
      <w:r w:rsidRPr="004F74C4">
        <w:rPr>
          <w:rFonts w:cstheme="minorHAnsi"/>
          <w:sz w:val="24"/>
          <w:szCs w:val="24"/>
        </w:rPr>
        <w:lastRenderedPageBreak/>
        <w:t>catenin destruction complex by gingipain-dependent proteolytic processing, contributing to cancer pathogenesis</w:t>
      </w:r>
      <w:r w:rsidR="0091491D" w:rsidRPr="004F74C4">
        <w:rPr>
          <w:rFonts w:cstheme="minorHAnsi"/>
          <w:sz w:val="24"/>
          <w:szCs w:val="24"/>
        </w:rPr>
        <w:t>, and activated PI3K pathway</w:t>
      </w:r>
      <w:r w:rsidR="00776A01">
        <w:rPr>
          <w:rFonts w:cstheme="minorHAnsi"/>
          <w:sz w:val="24"/>
          <w:szCs w:val="24"/>
        </w:rPr>
        <w:t>,</w:t>
      </w:r>
      <w:r w:rsidR="0091491D" w:rsidRPr="004F74C4">
        <w:rPr>
          <w:rFonts w:cstheme="minorHAnsi"/>
          <w:sz w:val="24"/>
          <w:szCs w:val="24"/>
        </w:rPr>
        <w:t xml:space="preserve"> promoting proliferation of gingival epithelia cells.</w:t>
      </w:r>
    </w:p>
    <w:p w14:paraId="3B2AA561" w14:textId="32764FE4" w:rsidR="0091491D" w:rsidRDefault="0091491D" w:rsidP="004F74C4">
      <w:pPr>
        <w:pStyle w:val="ListParagraph"/>
        <w:numPr>
          <w:ilvl w:val="0"/>
          <w:numId w:val="34"/>
        </w:numPr>
        <w:rPr>
          <w:rFonts w:cstheme="minorHAnsi"/>
          <w:sz w:val="24"/>
          <w:szCs w:val="24"/>
        </w:rPr>
      </w:pPr>
      <w:proofErr w:type="spellStart"/>
      <w:proofErr w:type="gramStart"/>
      <w:r w:rsidRPr="004F74C4">
        <w:rPr>
          <w:rFonts w:cstheme="minorHAnsi"/>
          <w:i/>
          <w:iCs/>
          <w:sz w:val="24"/>
          <w:szCs w:val="24"/>
        </w:rPr>
        <w:t>F.nucleatum</w:t>
      </w:r>
      <w:proofErr w:type="spellEnd"/>
      <w:proofErr w:type="gramEnd"/>
      <w:r w:rsidRPr="004F74C4">
        <w:rPr>
          <w:rFonts w:cstheme="minorHAnsi"/>
          <w:sz w:val="24"/>
          <w:szCs w:val="24"/>
        </w:rPr>
        <w:t xml:space="preserve">: was found to </w:t>
      </w:r>
      <w:r w:rsidR="00FD2030">
        <w:rPr>
          <w:rFonts w:cstheme="minorHAnsi"/>
          <w:sz w:val="24"/>
          <w:szCs w:val="24"/>
        </w:rPr>
        <w:t xml:space="preserve">contribute to </w:t>
      </w:r>
      <w:r w:rsidRPr="004F74C4">
        <w:rPr>
          <w:rFonts w:cstheme="minorHAnsi"/>
          <w:sz w:val="24"/>
          <w:szCs w:val="24"/>
        </w:rPr>
        <w:t>colorectal cancer growth via T</w:t>
      </w:r>
      <w:r w:rsidR="0071509A" w:rsidRPr="004F74C4">
        <w:rPr>
          <w:rFonts w:cstheme="minorHAnsi"/>
          <w:sz w:val="24"/>
          <w:szCs w:val="24"/>
        </w:rPr>
        <w:t xml:space="preserve">LR4, myeloid differentiation primary response 88 (MyD88) protein activation, and upregulation of microRNA 81a and 4802. </w:t>
      </w:r>
      <w:r w:rsidRPr="004F74C4">
        <w:rPr>
          <w:rFonts w:cstheme="minorHAnsi"/>
          <w:sz w:val="24"/>
          <w:szCs w:val="24"/>
        </w:rPr>
        <w:t xml:space="preserve"> </w:t>
      </w:r>
      <w:r w:rsidR="00A31CC3" w:rsidRPr="004F74C4">
        <w:rPr>
          <w:rFonts w:cstheme="minorHAnsi"/>
          <w:sz w:val="24"/>
          <w:szCs w:val="24"/>
        </w:rPr>
        <w:t>When bacterial lipopolysaccharides (LPS)-mediated activation of TLR4 are overproduced, they can damage small blood vessels, can</w:t>
      </w:r>
      <w:r w:rsidR="004F74C4">
        <w:rPr>
          <w:rFonts w:cstheme="minorHAnsi"/>
          <w:sz w:val="24"/>
          <w:szCs w:val="24"/>
        </w:rPr>
        <w:t xml:space="preserve"> c</w:t>
      </w:r>
      <w:r w:rsidR="00A31CC3" w:rsidRPr="004F74C4">
        <w:rPr>
          <w:rFonts w:cstheme="minorHAnsi"/>
          <w:sz w:val="24"/>
          <w:szCs w:val="24"/>
        </w:rPr>
        <w:t xml:space="preserve">ause disseminated intravascular coagulation and multiple organ failures. </w:t>
      </w:r>
    </w:p>
    <w:p w14:paraId="7FE3A861" w14:textId="7969BA20" w:rsidR="00CC60D3" w:rsidRDefault="00893732" w:rsidP="004F74C4">
      <w:pPr>
        <w:pStyle w:val="ListParagraph"/>
        <w:numPr>
          <w:ilvl w:val="0"/>
          <w:numId w:val="34"/>
        </w:numPr>
        <w:rPr>
          <w:rFonts w:cstheme="minorHAnsi"/>
          <w:sz w:val="24"/>
          <w:szCs w:val="24"/>
        </w:rPr>
      </w:pPr>
      <w:r w:rsidRPr="009A1D5E">
        <w:rPr>
          <w:rFonts w:cstheme="minorHAnsi"/>
          <w:i/>
          <w:iCs/>
          <w:sz w:val="24"/>
          <w:szCs w:val="24"/>
        </w:rPr>
        <w:t>S100A8</w:t>
      </w:r>
      <w:r w:rsidR="009A1D5E">
        <w:rPr>
          <w:rFonts w:cstheme="minorHAnsi"/>
          <w:i/>
          <w:iCs/>
          <w:sz w:val="24"/>
          <w:szCs w:val="24"/>
        </w:rPr>
        <w:t>/</w:t>
      </w:r>
      <w:r w:rsidRPr="009A1D5E">
        <w:rPr>
          <w:rFonts w:cstheme="minorHAnsi"/>
          <w:i/>
          <w:iCs/>
          <w:sz w:val="24"/>
          <w:szCs w:val="24"/>
        </w:rPr>
        <w:t>A9</w:t>
      </w:r>
      <w:r w:rsidR="009A1D5E" w:rsidRPr="009A1D5E">
        <w:rPr>
          <w:rFonts w:cstheme="minorHAnsi"/>
          <w:i/>
          <w:iCs/>
          <w:sz w:val="24"/>
          <w:szCs w:val="24"/>
        </w:rPr>
        <w:t xml:space="preserve"> </w:t>
      </w:r>
      <w:r w:rsidR="00357696" w:rsidRPr="009A1D5E">
        <w:rPr>
          <w:rFonts w:cstheme="minorHAnsi"/>
          <w:i/>
          <w:iCs/>
          <w:sz w:val="24"/>
          <w:szCs w:val="24"/>
        </w:rPr>
        <w:t>in saliva</w:t>
      </w:r>
      <w:r>
        <w:rPr>
          <w:rFonts w:cstheme="minorHAnsi"/>
          <w:sz w:val="24"/>
          <w:szCs w:val="24"/>
        </w:rPr>
        <w:t xml:space="preserve">: are two inflammatory calcium-binding S100 proteins, </w:t>
      </w:r>
      <w:r w:rsidR="009A1D5E">
        <w:rPr>
          <w:rFonts w:cstheme="minorHAnsi"/>
          <w:sz w:val="24"/>
          <w:szCs w:val="24"/>
        </w:rPr>
        <w:t xml:space="preserve">and </w:t>
      </w:r>
      <w:r>
        <w:rPr>
          <w:rFonts w:cstheme="minorHAnsi"/>
          <w:sz w:val="24"/>
          <w:szCs w:val="24"/>
        </w:rPr>
        <w:t>were associated with rheumatic diseases. S1009A has also been reported to increase IL-6 production and RANKL expressions in osteolysis</w:t>
      </w:r>
      <w:r w:rsidR="00155CAC">
        <w:rPr>
          <w:rFonts w:cstheme="minorHAnsi"/>
          <w:sz w:val="24"/>
          <w:szCs w:val="24"/>
        </w:rPr>
        <w:t xml:space="preserve"> </w:t>
      </w:r>
      <w:r w:rsidR="00155CAC">
        <w:rPr>
          <w:rFonts w:cstheme="minorHAnsi"/>
          <w:sz w:val="24"/>
          <w:szCs w:val="24"/>
        </w:rPr>
        <w:fldChar w:fldCharType="begin"/>
      </w:r>
      <w:r w:rsidR="00155CAC">
        <w:rPr>
          <w:rFonts w:cstheme="minorHAnsi"/>
          <w:sz w:val="24"/>
          <w:szCs w:val="24"/>
        </w:rPr>
        <w:instrText xml:space="preserve"> ADDIN ZOTERO_ITEM CSL_CITATION {"citationID":"STmT19Hu","properties":{"formattedCitation":"[7]","plainCitation":"[7]","noteIndex":0},"citationItems":[{"id":1093,"uris":["http://zotero.org/users/7286058/items/3T7WAS35"],"itemData":{"id":1093,"type":"article-journal","abstract":"Signaling crosstalk between complement and Toll-like receptors (TLRs) normally serves to coordinate host immunity. However, the periodontal bacterium Porphyromonas gingivalis expresses C5 convertaselike enzymatic activity and adeptly exploits complement–TLR crosstalk to subvert host defenses and escape elimination. Intriguingly, this defective immune surveillance leads to the remodeling of the periodontal microbiota to a dysbiotic state that causes inﬂammatory periodontitis. Understanding the mechanisms by which P. gingivalis modulates complement function to cause dysbiosis offers new targets for complement therapeutics.","container-title":"Immunobiology","DOI":"10.1016/j.imbio.2012.07.007","ISSN":"01712985","issue":"11","journalAbbreviation":"Immunobiology","language":"en","page":"1111-1116","source":"DOI.org (Crossref)","title":"Complement and dysbiosis in periodontal disease","URL":"https://linkinghub.elsevier.com/retrieve/pii/S0171298512001714","volume":"217","author":[{"family":"Hajishengallis","given":"George"},{"family":"Lambris","given":"John D."}],"accessed":{"date-parts":[["2022",4,2]]},"issued":{"date-parts":[["2012",11]]}}}],"schema":"https://github.com/citation-style-language/schema/raw/master/csl-citation.json"} </w:instrText>
      </w:r>
      <w:r w:rsidR="00155CAC">
        <w:rPr>
          <w:rFonts w:cstheme="minorHAnsi"/>
          <w:sz w:val="24"/>
          <w:szCs w:val="24"/>
        </w:rPr>
        <w:fldChar w:fldCharType="separate"/>
      </w:r>
      <w:r w:rsidR="00155CAC">
        <w:rPr>
          <w:rFonts w:cstheme="minorHAnsi"/>
          <w:noProof/>
          <w:sz w:val="24"/>
          <w:szCs w:val="24"/>
        </w:rPr>
        <w:t>[7]</w:t>
      </w:r>
      <w:r w:rsidR="00155CAC">
        <w:rPr>
          <w:rFonts w:cstheme="minorHAnsi"/>
          <w:sz w:val="24"/>
          <w:szCs w:val="24"/>
        </w:rPr>
        <w:fldChar w:fldCharType="end"/>
      </w:r>
      <w:r>
        <w:rPr>
          <w:rFonts w:cstheme="minorHAnsi"/>
          <w:sz w:val="24"/>
          <w:szCs w:val="24"/>
        </w:rPr>
        <w:t xml:space="preserve">. </w:t>
      </w:r>
    </w:p>
    <w:p w14:paraId="45A6EAF2" w14:textId="5B06D840" w:rsidR="006642F8" w:rsidRDefault="0051616D" w:rsidP="00D830DB">
      <w:pPr>
        <w:rPr>
          <w:rFonts w:asciiTheme="minorHAnsi" w:hAnsiTheme="minorHAnsi" w:cstheme="minorHAnsi"/>
        </w:rPr>
      </w:pPr>
      <w:r w:rsidRPr="00864390">
        <w:rPr>
          <w:rFonts w:asciiTheme="minorHAnsi" w:hAnsiTheme="minorHAnsi" w:cstheme="minorHAnsi"/>
        </w:rPr>
        <w:t>Periodontal disease (</w:t>
      </w:r>
      <w:proofErr w:type="spellStart"/>
      <w:r w:rsidRPr="00864390">
        <w:rPr>
          <w:rFonts w:asciiTheme="minorHAnsi" w:hAnsiTheme="minorHAnsi" w:cstheme="minorHAnsi"/>
          <w:b/>
          <w:bCs/>
        </w:rPr>
        <w:t>PerioD</w:t>
      </w:r>
      <w:proofErr w:type="spellEnd"/>
      <w:r w:rsidRPr="00864390">
        <w:rPr>
          <w:rFonts w:asciiTheme="minorHAnsi" w:hAnsiTheme="minorHAnsi" w:cstheme="minorHAnsi"/>
        </w:rPr>
        <w:t>) affects more than 50% of elderly peop</w:t>
      </w:r>
      <w:r w:rsidR="001D3ECA" w:rsidRPr="00864390">
        <w:rPr>
          <w:rFonts w:asciiTheme="minorHAnsi" w:hAnsiTheme="minorHAnsi" w:cstheme="minorHAnsi"/>
        </w:rPr>
        <w:t>l</w:t>
      </w:r>
      <w:r w:rsidRPr="00864390">
        <w:rPr>
          <w:rFonts w:asciiTheme="minorHAnsi" w:hAnsiTheme="minorHAnsi" w:cstheme="minorHAnsi"/>
        </w:rPr>
        <w:t>e.</w:t>
      </w:r>
      <w:r w:rsidR="001D3ECA" w:rsidRPr="00864390">
        <w:rPr>
          <w:rFonts w:asciiTheme="minorHAnsi" w:hAnsiTheme="minorHAnsi" w:cstheme="minorHAnsi"/>
        </w:rPr>
        <w:t xml:space="preserve"> Amyloid-</w:t>
      </w:r>
      <w:r w:rsidR="004B1500" w:rsidRPr="00864390">
        <w:rPr>
          <w:rFonts w:asciiTheme="minorHAnsi" w:hAnsiTheme="minorHAnsi" w:cstheme="minorHAnsi"/>
        </w:rPr>
        <w:sym w:font="Symbol" w:char="F062"/>
      </w:r>
      <w:r w:rsidR="001D3ECA" w:rsidRPr="00864390">
        <w:rPr>
          <w:rFonts w:asciiTheme="minorHAnsi" w:hAnsiTheme="minorHAnsi" w:cstheme="minorHAnsi"/>
        </w:rPr>
        <w:t xml:space="preserve"> (A</w:t>
      </w:r>
      <w:r w:rsidR="004B1500" w:rsidRPr="00864390">
        <w:rPr>
          <w:rFonts w:asciiTheme="minorHAnsi" w:hAnsiTheme="minorHAnsi" w:cstheme="minorHAnsi"/>
        </w:rPr>
        <w:sym w:font="Symbol" w:char="F062"/>
      </w:r>
      <w:r w:rsidR="001D3ECA" w:rsidRPr="00864390">
        <w:rPr>
          <w:rFonts w:asciiTheme="minorHAnsi" w:hAnsiTheme="minorHAnsi" w:cstheme="minorHAnsi"/>
        </w:rPr>
        <w:t>) plaques are hallmarks of Alzheimer’s disease</w:t>
      </w:r>
      <w:r w:rsidR="00DC365D" w:rsidRPr="00864390">
        <w:rPr>
          <w:rFonts w:asciiTheme="minorHAnsi" w:hAnsiTheme="minorHAnsi" w:cstheme="minorHAnsi"/>
        </w:rPr>
        <w:t xml:space="preserve"> (AD)</w:t>
      </w:r>
      <w:r w:rsidR="001D3ECA" w:rsidRPr="00864390">
        <w:rPr>
          <w:rFonts w:asciiTheme="minorHAnsi" w:hAnsiTheme="minorHAnsi" w:cstheme="minorHAnsi"/>
        </w:rPr>
        <w:t xml:space="preserve">. In </w:t>
      </w:r>
      <w:r w:rsidR="004B1500" w:rsidRPr="00864390">
        <w:rPr>
          <w:rFonts w:asciiTheme="minorHAnsi" w:hAnsiTheme="minorHAnsi" w:cstheme="minorHAnsi"/>
        </w:rPr>
        <w:t xml:space="preserve">a </w:t>
      </w:r>
      <w:r w:rsidR="001D3ECA" w:rsidRPr="00864390">
        <w:rPr>
          <w:rFonts w:asciiTheme="minorHAnsi" w:hAnsiTheme="minorHAnsi" w:cstheme="minorHAnsi"/>
        </w:rPr>
        <w:t xml:space="preserve">recent NYU </w:t>
      </w:r>
      <w:r w:rsidR="004B1500" w:rsidRPr="00864390">
        <w:rPr>
          <w:rFonts w:asciiTheme="minorHAnsi" w:hAnsiTheme="minorHAnsi" w:cstheme="minorHAnsi"/>
        </w:rPr>
        <w:t>study, 48</w:t>
      </w:r>
      <w:r w:rsidR="001D3ECA" w:rsidRPr="00864390">
        <w:rPr>
          <w:rFonts w:asciiTheme="minorHAnsi" w:hAnsiTheme="minorHAnsi" w:cstheme="minorHAnsi"/>
        </w:rPr>
        <w:t xml:space="preserve"> patients were divided into two groups: one with CSF A</w:t>
      </w:r>
      <w:r w:rsidR="004B1500" w:rsidRPr="00864390">
        <w:rPr>
          <w:rFonts w:asciiTheme="minorHAnsi" w:hAnsiTheme="minorHAnsi" w:cstheme="minorHAnsi"/>
        </w:rPr>
        <w:sym w:font="Symbol" w:char="F062"/>
      </w:r>
      <w:r w:rsidR="004B1500" w:rsidRPr="00864390">
        <w:rPr>
          <w:rFonts w:asciiTheme="minorHAnsi" w:hAnsiTheme="minorHAnsi" w:cstheme="minorHAnsi"/>
        </w:rPr>
        <w:t xml:space="preserve">42 levels &lt; 600 </w:t>
      </w:r>
      <w:proofErr w:type="spellStart"/>
      <w:r w:rsidR="004B1500" w:rsidRPr="00864390">
        <w:rPr>
          <w:rFonts w:asciiTheme="minorHAnsi" w:hAnsiTheme="minorHAnsi" w:cstheme="minorHAnsi"/>
        </w:rPr>
        <w:t>pg</w:t>
      </w:r>
      <w:proofErr w:type="spellEnd"/>
      <w:r w:rsidR="004B1500" w:rsidRPr="00864390">
        <w:rPr>
          <w:rFonts w:asciiTheme="minorHAnsi" w:hAnsiTheme="minorHAnsi" w:cstheme="minorHAnsi"/>
        </w:rPr>
        <w:t xml:space="preserve">/mL and &gt;= 600 </w:t>
      </w:r>
      <w:proofErr w:type="spellStart"/>
      <w:r w:rsidR="004B1500" w:rsidRPr="00864390">
        <w:rPr>
          <w:rFonts w:asciiTheme="minorHAnsi" w:hAnsiTheme="minorHAnsi" w:cstheme="minorHAnsi"/>
        </w:rPr>
        <w:t>pg</w:t>
      </w:r>
      <w:proofErr w:type="spellEnd"/>
      <w:r w:rsidR="004B1500" w:rsidRPr="00864390">
        <w:rPr>
          <w:rFonts w:asciiTheme="minorHAnsi" w:hAnsiTheme="minorHAnsi" w:cstheme="minorHAnsi"/>
        </w:rPr>
        <w:t>/</w:t>
      </w:r>
      <w:proofErr w:type="spellStart"/>
      <w:r w:rsidR="004B1500" w:rsidRPr="00864390">
        <w:rPr>
          <w:rFonts w:asciiTheme="minorHAnsi" w:hAnsiTheme="minorHAnsi" w:cstheme="minorHAnsi"/>
        </w:rPr>
        <w:t>mL.</w:t>
      </w:r>
      <w:proofErr w:type="spellEnd"/>
      <w:r w:rsidR="004B1500" w:rsidRPr="00864390">
        <w:rPr>
          <w:rFonts w:asciiTheme="minorHAnsi" w:hAnsiTheme="minorHAnsi" w:cstheme="minorHAnsi"/>
        </w:rPr>
        <w:t xml:space="preserve"> Researchers showed a strong correlation between </w:t>
      </w:r>
      <w:proofErr w:type="spellStart"/>
      <w:r w:rsidR="004B1500" w:rsidRPr="00864390">
        <w:rPr>
          <w:rFonts w:asciiTheme="minorHAnsi" w:hAnsiTheme="minorHAnsi" w:cstheme="minorHAnsi"/>
        </w:rPr>
        <w:t>PerioD</w:t>
      </w:r>
      <w:proofErr w:type="spellEnd"/>
      <w:r w:rsidR="004B1500" w:rsidRPr="00864390">
        <w:rPr>
          <w:rFonts w:asciiTheme="minorHAnsi" w:hAnsiTheme="minorHAnsi" w:cstheme="minorHAnsi"/>
        </w:rPr>
        <w:t xml:space="preserve"> bacterial species and greater brain A</w:t>
      </w:r>
      <w:r w:rsidR="004B1500" w:rsidRPr="00864390">
        <w:rPr>
          <w:rFonts w:asciiTheme="minorHAnsi" w:hAnsiTheme="minorHAnsi" w:cstheme="minorHAnsi"/>
        </w:rPr>
        <w:sym w:font="Symbol" w:char="F062"/>
      </w:r>
      <w:r w:rsidR="004B1500" w:rsidRPr="00864390">
        <w:rPr>
          <w:rFonts w:asciiTheme="minorHAnsi" w:hAnsiTheme="minorHAnsi" w:cstheme="minorHAnsi"/>
        </w:rPr>
        <w:t xml:space="preserve"> levels</w:t>
      </w:r>
      <w:r w:rsidR="00BB756D" w:rsidRPr="00864390">
        <w:rPr>
          <w:rFonts w:asciiTheme="minorHAnsi" w:hAnsiTheme="minorHAnsi" w:cstheme="minorHAnsi"/>
        </w:rPr>
        <w:t>, but not with tau, another Alzheimer’s biomarker</w:t>
      </w:r>
      <w:r w:rsidR="004B1500" w:rsidRPr="00864390">
        <w:rPr>
          <w:rFonts w:asciiTheme="minorHAnsi" w:hAnsiTheme="minorHAnsi" w:cstheme="minorHAnsi"/>
        </w:rPr>
        <w:t xml:space="preserve">. </w:t>
      </w:r>
      <w:r w:rsidR="00BB756D" w:rsidRPr="00864390">
        <w:rPr>
          <w:rFonts w:asciiTheme="minorHAnsi" w:hAnsiTheme="minorHAnsi" w:cstheme="minorHAnsi"/>
        </w:rPr>
        <w:t xml:space="preserve">AD </w:t>
      </w:r>
      <w:r w:rsidR="00B42A8D" w:rsidRPr="00864390">
        <w:rPr>
          <w:rFonts w:asciiTheme="minorHAnsi" w:hAnsiTheme="minorHAnsi" w:cstheme="minorHAnsi"/>
        </w:rPr>
        <w:t>slowly</w:t>
      </w:r>
      <w:r w:rsidR="00BB756D" w:rsidRPr="00864390">
        <w:rPr>
          <w:rFonts w:asciiTheme="minorHAnsi" w:hAnsiTheme="minorHAnsi" w:cstheme="minorHAnsi"/>
        </w:rPr>
        <w:t xml:space="preserve"> </w:t>
      </w:r>
      <w:r w:rsidR="00DC365D" w:rsidRPr="00864390">
        <w:rPr>
          <w:rFonts w:asciiTheme="minorHAnsi" w:hAnsiTheme="minorHAnsi" w:cstheme="minorHAnsi"/>
        </w:rPr>
        <w:t>develops</w:t>
      </w:r>
      <w:r w:rsidR="00B42A8D" w:rsidRPr="00864390">
        <w:rPr>
          <w:rFonts w:asciiTheme="minorHAnsi" w:hAnsiTheme="minorHAnsi" w:cstheme="minorHAnsi"/>
        </w:rPr>
        <w:t xml:space="preserve"> </w:t>
      </w:r>
      <w:r w:rsidR="00BB756D" w:rsidRPr="00864390">
        <w:rPr>
          <w:rFonts w:asciiTheme="minorHAnsi" w:hAnsiTheme="minorHAnsi" w:cstheme="minorHAnsi"/>
        </w:rPr>
        <w:t xml:space="preserve">over </w:t>
      </w:r>
      <w:r w:rsidR="00DF6CC5" w:rsidRPr="00864390">
        <w:rPr>
          <w:rFonts w:asciiTheme="minorHAnsi" w:hAnsiTheme="minorHAnsi" w:cstheme="minorHAnsi"/>
        </w:rPr>
        <w:t>the years</w:t>
      </w:r>
      <w:r w:rsidR="00BB756D" w:rsidRPr="00864390">
        <w:rPr>
          <w:rFonts w:asciiTheme="minorHAnsi" w:hAnsiTheme="minorHAnsi" w:cstheme="minorHAnsi"/>
        </w:rPr>
        <w:t xml:space="preserve">, a </w:t>
      </w:r>
      <w:r w:rsidR="00DC365D" w:rsidRPr="00864390">
        <w:rPr>
          <w:rFonts w:asciiTheme="minorHAnsi" w:hAnsiTheme="minorHAnsi" w:cstheme="minorHAnsi"/>
        </w:rPr>
        <w:t>biosensor</w:t>
      </w:r>
      <w:r w:rsidR="00BB756D" w:rsidRPr="00864390">
        <w:rPr>
          <w:rFonts w:asciiTheme="minorHAnsi" w:hAnsiTheme="minorHAnsi" w:cstheme="minorHAnsi"/>
        </w:rPr>
        <w:t xml:space="preserve"> to monitor levels of </w:t>
      </w:r>
      <w:proofErr w:type="spellStart"/>
      <w:r w:rsidR="00BB756D" w:rsidRPr="00864390">
        <w:rPr>
          <w:rFonts w:asciiTheme="minorHAnsi" w:hAnsiTheme="minorHAnsi" w:cstheme="minorHAnsi"/>
        </w:rPr>
        <w:t>PerioD</w:t>
      </w:r>
      <w:proofErr w:type="spellEnd"/>
      <w:r w:rsidR="00BB756D" w:rsidRPr="00864390">
        <w:rPr>
          <w:rFonts w:asciiTheme="minorHAnsi" w:hAnsiTheme="minorHAnsi" w:cstheme="minorHAnsi"/>
        </w:rPr>
        <w:t xml:space="preserve"> bacteria could help t</w:t>
      </w:r>
      <w:r w:rsidR="00B42A8D" w:rsidRPr="00864390">
        <w:rPr>
          <w:rFonts w:asciiTheme="minorHAnsi" w:hAnsiTheme="minorHAnsi" w:cstheme="minorHAnsi"/>
        </w:rPr>
        <w:t>o</w:t>
      </w:r>
      <w:r w:rsidR="00BB756D" w:rsidRPr="00864390">
        <w:rPr>
          <w:rFonts w:asciiTheme="minorHAnsi" w:hAnsiTheme="minorHAnsi" w:cstheme="minorHAnsi"/>
        </w:rPr>
        <w:t xml:space="preserve"> understand</w:t>
      </w:r>
      <w:r w:rsidR="00B42A8D" w:rsidRPr="00864390">
        <w:rPr>
          <w:rFonts w:asciiTheme="minorHAnsi" w:hAnsiTheme="minorHAnsi" w:cstheme="minorHAnsi"/>
        </w:rPr>
        <w:t xml:space="preserve"> </w:t>
      </w:r>
      <w:r w:rsidR="00CB0D2F" w:rsidRPr="00864390">
        <w:rPr>
          <w:rFonts w:asciiTheme="minorHAnsi" w:hAnsiTheme="minorHAnsi" w:cstheme="minorHAnsi"/>
        </w:rPr>
        <w:t>its progression</w:t>
      </w:r>
      <w:r w:rsidR="00B42A8D" w:rsidRPr="00864390">
        <w:rPr>
          <w:rFonts w:asciiTheme="minorHAnsi" w:hAnsiTheme="minorHAnsi" w:cstheme="minorHAnsi"/>
        </w:rPr>
        <w:t>, and creat</w:t>
      </w:r>
      <w:r w:rsidR="00DC365D" w:rsidRPr="00864390">
        <w:rPr>
          <w:rFonts w:asciiTheme="minorHAnsi" w:hAnsiTheme="minorHAnsi" w:cstheme="minorHAnsi"/>
        </w:rPr>
        <w:t>e</w:t>
      </w:r>
      <w:r w:rsidR="00B42A8D" w:rsidRPr="00864390">
        <w:rPr>
          <w:rFonts w:asciiTheme="minorHAnsi" w:hAnsiTheme="minorHAnsi" w:cstheme="minorHAnsi"/>
        </w:rPr>
        <w:t xml:space="preserve"> prevention therapies</w:t>
      </w:r>
      <w:r w:rsidR="00155CAC" w:rsidRPr="00864390">
        <w:rPr>
          <w:rFonts w:asciiTheme="minorHAnsi" w:hAnsiTheme="minorHAnsi" w:cstheme="minorHAnsi"/>
        </w:rPr>
        <w:t xml:space="preserve"> </w:t>
      </w:r>
      <w:r w:rsidR="00155CAC" w:rsidRPr="00864390">
        <w:rPr>
          <w:rFonts w:asciiTheme="minorHAnsi" w:hAnsiTheme="minorHAnsi" w:cstheme="minorHAnsi"/>
        </w:rPr>
        <w:fldChar w:fldCharType="begin"/>
      </w:r>
      <w:r w:rsidR="00155CAC" w:rsidRPr="00864390">
        <w:rPr>
          <w:rFonts w:asciiTheme="minorHAnsi" w:hAnsiTheme="minorHAnsi" w:cstheme="minorHAnsi"/>
        </w:rPr>
        <w:instrText xml:space="preserve"> ADDIN ZOTERO_ITEM CSL_CITATION {"citationID":"EHFAp9P9","properties":{"formattedCitation":"[8]","plainCitation":"[8]","noteIndex":0},"citationItems":[{"id":1123,"uris":["http://zotero.org/users/7286058/items/62QHKUIN"],"itemData":{"id":1123,"type":"article-journal","abstract":"Introduction: Periodontal disease is a chronic, inflammatory bacterial dysbiosis that is associated with both Alzheimer’s disease (AD) and Down syndrome. Methods: A total of 48 elderly cognitively normal subjects were evaluated for differences in subgingival periodontal bacteria (assayed by 16S rRNA sequencing) between cerebrospinal fluid (CSF) biomarker groups of amyloid and neurofibrillary pathology. A dysbiotic index (DI) was defined at the genus level as the abundance ratio of known periodontal bacteria to healthy bacteria. Analysis of variance/analysis of covariance (ANOVA/ANCOVA), linear discriminant effect-size analyses (LEfSe) were used to determine the bacterial genera and species differences between the CSF biomarker groups.","container-title":"Alzheimer's &amp; Dementia: Diagnosis, Assessment &amp; Disease Monitoring","DOI":"10.1002/dad2.12172","ISSN":"2352-8729, 2352-8729","issue":"1","journalAbbreviation":"Alz &amp; Dem Diag Ass &amp; Dis Mo","language":"en","source":"DOI.org (Crossref)","title":"Periodontal dysbiosis associates with reduced CSF Aβ42 in cognitively normal elderly","URL":"https://onlinelibrary.wiley.com/doi/10.1002/dad2.12172","volume":"13","author":[{"family":"Kamer","given":"Angela R."},{"family":"Pushalkar","given":"Smruti"},{"family":"Gulivindala","given":"Deepthi"},{"family":"Butler","given":"Tracy"},{"family":"Li","given":"Yi"},{"family":"Annam","given":"Kumar Raghava Chowdary"},{"family":"Glodzik","given":"Lidia"},{"family":"Ballman","given":"Karla V."},{"family":"Corby","given":"Patricia M."},{"family":"Blennow","given":"Kaj"},{"family":"Zetterberg","given":"Henrik"},{"family":"Saxena","given":"Deepak"},{"family":"Leon","given":"Mony J."}],"accessed":{"date-parts":[["2022",4,3]]},"issued":{"date-parts":[["2021",1]]}}}],"schema":"https://github.com/citation-style-language/schema/raw/master/csl-citation.json"} </w:instrText>
      </w:r>
      <w:r w:rsidR="00155CAC" w:rsidRPr="00864390">
        <w:rPr>
          <w:rFonts w:asciiTheme="minorHAnsi" w:hAnsiTheme="minorHAnsi" w:cstheme="minorHAnsi"/>
        </w:rPr>
        <w:fldChar w:fldCharType="separate"/>
      </w:r>
      <w:r w:rsidR="00155CAC" w:rsidRPr="00864390">
        <w:rPr>
          <w:rFonts w:asciiTheme="minorHAnsi" w:hAnsiTheme="minorHAnsi" w:cstheme="minorHAnsi"/>
          <w:noProof/>
        </w:rPr>
        <w:t>[8]</w:t>
      </w:r>
      <w:r w:rsidR="00155CAC" w:rsidRPr="00864390">
        <w:rPr>
          <w:rFonts w:asciiTheme="minorHAnsi" w:hAnsiTheme="minorHAnsi" w:cstheme="minorHAnsi"/>
        </w:rPr>
        <w:fldChar w:fldCharType="end"/>
      </w:r>
      <w:r w:rsidR="00B42A8D" w:rsidRPr="00864390">
        <w:rPr>
          <w:rFonts w:asciiTheme="minorHAnsi" w:hAnsiTheme="minorHAnsi" w:cstheme="minorHAnsi"/>
        </w:rPr>
        <w:t>.</w:t>
      </w:r>
      <w:r w:rsidR="00763981" w:rsidRPr="00864390">
        <w:rPr>
          <w:rFonts w:asciiTheme="minorHAnsi" w:hAnsiTheme="minorHAnsi" w:cstheme="minorHAnsi"/>
        </w:rPr>
        <w:t xml:space="preserve"> </w:t>
      </w:r>
    </w:p>
    <w:p w14:paraId="2B33F8F6" w14:textId="5C81E653" w:rsidR="00665AB2" w:rsidRDefault="001A3C77" w:rsidP="00D830DB">
      <w:pPr>
        <w:rPr>
          <w:rFonts w:asciiTheme="minorHAnsi" w:hAnsiTheme="minorHAnsi" w:cstheme="minorHAnsi"/>
        </w:rPr>
      </w:pPr>
      <w:r>
        <w:rPr>
          <w:rFonts w:asciiTheme="minorHAnsi" w:hAnsiTheme="minorHAnsi" w:cstheme="minorHAnsi"/>
        </w:rPr>
        <w:t>Over the years, m</w:t>
      </w:r>
      <w:r w:rsidR="0036704F">
        <w:rPr>
          <w:rFonts w:asciiTheme="minorHAnsi" w:hAnsiTheme="minorHAnsi" w:cstheme="minorHAnsi"/>
        </w:rPr>
        <w:t xml:space="preserve">ost of the studies have been focused on the detection of </w:t>
      </w:r>
      <w:r w:rsidR="0036704F" w:rsidRPr="001A3C77">
        <w:rPr>
          <w:rFonts w:asciiTheme="minorHAnsi" w:hAnsiTheme="minorHAnsi" w:cstheme="minorHAnsi"/>
          <w:i/>
          <w:iCs/>
        </w:rPr>
        <w:t>E.coli</w:t>
      </w:r>
      <w:r w:rsidR="0036704F">
        <w:rPr>
          <w:rFonts w:asciiTheme="minorHAnsi" w:hAnsiTheme="minorHAnsi" w:cstheme="minorHAnsi"/>
        </w:rPr>
        <w:t xml:space="preserve"> using either SPR</w:t>
      </w:r>
      <w:r w:rsidR="003313F9">
        <w:rPr>
          <w:rFonts w:asciiTheme="minorHAnsi" w:hAnsiTheme="minorHAnsi" w:cstheme="minorHAnsi"/>
        </w:rPr>
        <w:t xml:space="preserve">, </w:t>
      </w:r>
      <w:r w:rsidR="0036704F">
        <w:rPr>
          <w:rFonts w:asciiTheme="minorHAnsi" w:hAnsiTheme="minorHAnsi" w:cstheme="minorHAnsi"/>
        </w:rPr>
        <w:t xml:space="preserve">quartz crystal microbalance (QCM),  </w:t>
      </w:r>
      <w:r w:rsidR="003313F9">
        <w:rPr>
          <w:rFonts w:asciiTheme="minorHAnsi" w:hAnsiTheme="minorHAnsi" w:cstheme="minorHAnsi"/>
        </w:rPr>
        <w:t>microcantilever</w:t>
      </w:r>
      <w:r w:rsidR="0036704F">
        <w:rPr>
          <w:rFonts w:asciiTheme="minorHAnsi" w:hAnsiTheme="minorHAnsi" w:cstheme="minorHAnsi"/>
        </w:rPr>
        <w:t xml:space="preserve">  or impedimetric based sensors </w:t>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{"citationID":"FjsRA5K8","properties":{"formattedCitation":"[9]","plainCitation":"[9]","noteIndex":0},"citationItems":[{"id":1107,"uris":["http://zotero.org/users/7286058/items/5RFPXWYE"],"itemData":{"id":1107,"type":"article-journal","abstract":"Periodontitis is a complex multifactorial disease that can lead to destruction of tooth supporting tissues and subsequent tooth loss. The most recent global burden of disease studies highlight that severe periodontitis is one of the most prevalent chronic inflammatory conditions affecting humans. Periodontitis risk is attributed to genetics, host-microbiome and environmental factors. Empirical diagnostic and prognostic systems have yet to be validated in the field of periodontics. Early diagnosis and intervention prevents periodontitis progression in most patients. Increased susceptibility and suboptimal control of modifiable risk factors can result in poor response to therapy, and relapse. The chronic immune-inflammatory response to microbial biofilms at the tooth or dental implant surface is associated with systemic conditions such as cardiovascular disease, diabetes or gastrointestinal diseases. Oral fluid-based biomarkers have demonstrated easy accessibility and potential as diagnostics for oral and systemic diseases, including the identification of SARS-CoV-2 in saliva. Advances in biotechnology have led to innovations in lab-on-a-chip and biosensors to interface with oral-based biomarker assessment. This review highlights new developments in oral biomarker discovery and their validation for clinical application to advance precision oral medicine through improved diagnosis, prognosis and patient stratification. Their potential to improve clinical outcomes of periodontitis and associated chronic conditions will benefit the dental and overall public health.","container-title":"Frontiers in Pharmacology","DOI":"10.3389/fphar.2020.588480","ISSN":"1663-9812","journalAbbreviation":"Front Pharmacol","note":"PMID: 33343358\nPMCID: PMC7748088","page":"588480","source":"PubMed Central","title":"Biosensor and Lab-on-a-chip Biomarker-identifying Technologies for Oral and Periodontal Diseases","URL":"https://www.ncbi.nlm.nih.gov/pmc/articles/PMC7748088/","volume":"11","author":[{"family":"Steigmann","given":"Larissa"},{"family":"Maekawa","given":"Shogo"},{"family":"Sima","given":"Corneliu"},{"family":"Travan","given":"Suncica"},{"family":"Wang","given":"Chin-Wei"},{"family":"Giannobile","given":"William V."}],"accessed":{"date-parts":[["2022",4,2]]},"issued":{"date-parts":[["2020",11,9]]}}}],"schema":"https://github.com/citation-style-language/schema/raw/master/csl-citation.json"}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[9]</w:t>
      </w:r>
      <w:r w:rsidR="00155CAC">
        <w:rPr>
          <w:rFonts w:asciiTheme="minorHAnsi" w:hAnsiTheme="minorHAnsi" w:cstheme="minorHAnsi"/>
        </w:rPr>
        <w:fldChar w:fldCharType="end"/>
      </w:r>
      <w:r>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{"citationID":"QsD48p51","properties":{"formattedCitation":"[10]","plainCitation":"[10]","noteIndex":0},"citationItems":[{"id":1110,"uris":["http://zotero.org/users/7286058/items/4DH4RUQY"],"itemData":{"id":1110,"type":"article-journal","abstract":"SUMMARY\nBacterial pathogens are important targets for detection and identification in medicine, food safety, public health, and security. Bacterial infection is a common cause of morbidity and mortality worldwide. In spite of the availability of antibiotics, these infections are often misdiagnosed or there is an unacceptable delay in diagnosis. Current methods of bacterial detection rely upon laboratory-based techniques such as cell culture, microscopic analysis, and biochemical assays. These procedures are time-consuming and costly and require specialist equipment and trained users. Portable stand-alone biosensors can facilitate rapid detection and diagnosis at the point of care. Biosensors will be particularly useful where a clear diagnosis informs treatment, in critical illness (e.g., meningitis) or to prevent further disease spread (e.g., in case of food-borne pathogens or sexually transmitted diseases). Detection of bacteria is also becoming increasingly important in antibioterrorism measures (e.g., anthrax detection). In this review, we discuss recent progress in the use of biosensors for the detection of whole bacterial cells for sensitive and earlier identification of bacteria without the need for sample processing. There is a particular focus on electrochemical biosensors, especially impedance-based systems, as these present key advantages in terms of ease of miniaturization, lack of reagents, sensitivity, and low cost.","container-title":"Clinical Microbiology Reviews","DOI":"10.1128/CMR.00120-13","ISSN":"0893-8512","issue":"3","journalAbbreviation":"Clin Microbiol Rev","note":"PMID: 24982325\nPMCID: PMC4135896","page":"631-646","source":"PubMed Central","title":"Biosensors for Whole-Cell Bacterial Detection","URL":"https://www.ncbi.nlm.nih.gov/pmc/articles/PMC4135896/","volume":"27","author":[{"family":"Ahmed","given":"Asif"},{"family":"Rushworth","given":"Jo V."},{"family":"Hirst","given":"Natalie A."},{"family":"Millner","given":"Paul A."}],"accessed":{"date-parts":[["2022",4,2]]},"issued":{"date-parts":[["2014",7]]}}}],"schema":"https://github.com/citation-style-language/schema/raw/master/csl-citation.json"} </w:instrText>
      </w:r>
      <w:r>
        <w:rPr>
          <w:rFonts w:asciiTheme="minorHAnsi" w:hAnsiTheme="minorHAnsi" w:cstheme="minorHAnsi"/>
        </w:rPr>
        <w:fldChar w:fldCharType="separate"/>
      </w:r>
      <w:r w:rsidR="00155CAC">
        <w:rPr>
          <w:rFonts w:asciiTheme="minorHAnsi" w:hAnsiTheme="minorHAnsi" w:cstheme="minorHAnsi"/>
          <w:noProof/>
        </w:rPr>
        <w:t>[10]</w:t>
      </w:r>
      <w:r>
        <w:rPr>
          <w:rFonts w:asciiTheme="minorHAnsi" w:hAnsiTheme="minorHAnsi" w:cstheme="minorHAnsi"/>
        </w:rPr>
        <w:fldChar w:fldCharType="end"/>
      </w:r>
      <w:r w:rsidR="0036704F">
        <w:rPr>
          <w:rFonts w:asciiTheme="minorHAnsi" w:hAnsiTheme="minorHAnsi" w:cstheme="minorHAnsi"/>
        </w:rPr>
        <w:t xml:space="preserve">.  </w:t>
      </w:r>
      <w:r w:rsidR="00DB3F88" w:rsidRPr="001A3C77">
        <w:rPr>
          <w:rFonts w:asciiTheme="minorHAnsi" w:hAnsiTheme="minorHAnsi" w:cstheme="minorHAnsi"/>
          <w:i/>
          <w:iCs/>
        </w:rPr>
        <w:t xml:space="preserve">E. </w:t>
      </w:r>
      <w:r w:rsidR="004E7A4F" w:rsidRPr="001A3C77">
        <w:rPr>
          <w:rFonts w:asciiTheme="minorHAnsi" w:hAnsiTheme="minorHAnsi" w:cstheme="minorHAnsi"/>
          <w:i/>
          <w:iCs/>
        </w:rPr>
        <w:t>coli</w:t>
      </w:r>
      <w:r w:rsidR="004E7A4F">
        <w:rPr>
          <w:rFonts w:asciiTheme="minorHAnsi" w:hAnsiTheme="minorHAnsi" w:cstheme="minorHAnsi"/>
        </w:rPr>
        <w:t xml:space="preserve"> is</w:t>
      </w:r>
      <w:r>
        <w:rPr>
          <w:rFonts w:asciiTheme="minorHAnsi" w:hAnsiTheme="minorHAnsi" w:cstheme="minorHAnsi"/>
        </w:rPr>
        <w:t xml:space="preserve"> a</w:t>
      </w:r>
      <w:r w:rsidR="00665AB2">
        <w:rPr>
          <w:rFonts w:asciiTheme="minorHAnsi" w:hAnsiTheme="minorHAnsi" w:cstheme="minorHAnsi"/>
        </w:rPr>
        <w:t xml:space="preserve"> gram-negative bacteria likewise </w:t>
      </w:r>
      <w:proofErr w:type="spellStart"/>
      <w:proofErr w:type="gramStart"/>
      <w:r w:rsidRPr="001A3C77">
        <w:rPr>
          <w:rFonts w:asciiTheme="minorHAnsi" w:hAnsiTheme="minorHAnsi" w:cstheme="minorHAnsi"/>
          <w:i/>
          <w:iCs/>
        </w:rPr>
        <w:t>P.gingivalis</w:t>
      </w:r>
      <w:proofErr w:type="spellEnd"/>
      <w:proofErr w:type="gramEnd"/>
      <w:r>
        <w:rPr>
          <w:rFonts w:asciiTheme="minorHAnsi" w:hAnsiTheme="minorHAnsi" w:cstheme="minorHAnsi"/>
        </w:rPr>
        <w:t xml:space="preserve"> </w:t>
      </w:r>
      <w:r w:rsidRPr="001A3C77">
        <w:rPr>
          <w:rFonts w:asciiTheme="minorHAnsi" w:hAnsiTheme="minorHAnsi" w:cstheme="minorHAnsi"/>
          <w:i/>
          <w:iCs/>
        </w:rPr>
        <w:t xml:space="preserve">and </w:t>
      </w:r>
      <w:proofErr w:type="spellStart"/>
      <w:r w:rsidRPr="001A3C77">
        <w:rPr>
          <w:rFonts w:asciiTheme="minorHAnsi" w:hAnsiTheme="minorHAnsi" w:cstheme="minorHAnsi"/>
          <w:i/>
          <w:iCs/>
        </w:rPr>
        <w:t>F.nucleatum</w:t>
      </w:r>
      <w:proofErr w:type="spellEnd"/>
      <w:r>
        <w:rPr>
          <w:rFonts w:asciiTheme="minorHAnsi" w:hAnsiTheme="minorHAnsi" w:cstheme="minorHAnsi"/>
        </w:rPr>
        <w:t xml:space="preserve">, thus </w:t>
      </w:r>
      <w:r w:rsidR="00665AB2">
        <w:rPr>
          <w:rFonts w:asciiTheme="minorHAnsi" w:hAnsiTheme="minorHAnsi" w:cstheme="minorHAnsi"/>
        </w:rPr>
        <w:t xml:space="preserve">some of the crafting </w:t>
      </w:r>
      <w:r>
        <w:rPr>
          <w:rFonts w:asciiTheme="minorHAnsi" w:hAnsiTheme="minorHAnsi" w:cstheme="minorHAnsi"/>
        </w:rPr>
        <w:t xml:space="preserve">which went into </w:t>
      </w:r>
      <w:r w:rsidR="00665AB2">
        <w:rPr>
          <w:rFonts w:asciiTheme="minorHAnsi" w:hAnsiTheme="minorHAnsi" w:cstheme="minorHAnsi"/>
        </w:rPr>
        <w:t xml:space="preserve">these devices could be to some extent reused; </w:t>
      </w:r>
      <w:r>
        <w:rPr>
          <w:rFonts w:asciiTheme="minorHAnsi" w:hAnsiTheme="minorHAnsi" w:cstheme="minorHAnsi"/>
        </w:rPr>
        <w:t xml:space="preserve">still </w:t>
      </w:r>
      <w:r w:rsidR="00665AB2">
        <w:rPr>
          <w:rFonts w:asciiTheme="minorHAnsi" w:hAnsiTheme="minorHAnsi" w:cstheme="minorHAnsi"/>
        </w:rPr>
        <w:t xml:space="preserve">the devices will need to be recalibrated </w:t>
      </w:r>
      <w:r>
        <w:rPr>
          <w:rFonts w:asciiTheme="minorHAnsi" w:hAnsiTheme="minorHAnsi" w:cstheme="minorHAnsi"/>
        </w:rPr>
        <w:t xml:space="preserve">to have a high affinity to </w:t>
      </w:r>
      <w:r w:rsidR="00665AB2">
        <w:rPr>
          <w:rFonts w:asciiTheme="minorHAnsi" w:hAnsiTheme="minorHAnsi" w:cstheme="minorHAnsi"/>
        </w:rPr>
        <w:t>the cells of the targeted microorganism</w:t>
      </w:r>
      <w:r>
        <w:rPr>
          <w:rFonts w:asciiTheme="minorHAnsi" w:hAnsiTheme="minorHAnsi" w:cstheme="minorHAnsi"/>
        </w:rPr>
        <w:t>. The “</w:t>
      </w:r>
      <w:r w:rsidRPr="005F1FD7">
        <w:rPr>
          <w:rFonts w:asciiTheme="minorHAnsi" w:hAnsiTheme="minorHAnsi" w:cstheme="minorHAnsi"/>
          <w:i/>
          <w:iCs/>
        </w:rPr>
        <w:t>lab-on-chip</w:t>
      </w:r>
      <w:r>
        <w:rPr>
          <w:rFonts w:asciiTheme="minorHAnsi" w:hAnsiTheme="minorHAnsi" w:cstheme="minorHAnsi"/>
        </w:rPr>
        <w:t xml:space="preserve">” device will need to be cost-effective, </w:t>
      </w:r>
      <w:proofErr w:type="spellStart"/>
      <w:r>
        <w:rPr>
          <w:rFonts w:asciiTheme="minorHAnsi" w:hAnsiTheme="minorHAnsi" w:cstheme="minorHAnsi"/>
        </w:rPr>
        <w:t>reagentless</w:t>
      </w:r>
      <w:proofErr w:type="spellEnd"/>
      <w:r>
        <w:rPr>
          <w:rFonts w:asciiTheme="minorHAnsi" w:hAnsiTheme="minorHAnsi" w:cstheme="minorHAnsi"/>
        </w:rPr>
        <w:t xml:space="preserve">, miniature </w:t>
      </w:r>
      <w:r w:rsidR="00705621">
        <w:rPr>
          <w:rFonts w:asciiTheme="minorHAnsi" w:hAnsiTheme="minorHAnsi" w:cstheme="minorHAnsi"/>
        </w:rPr>
        <w:t xml:space="preserve">to fit on a tooth, </w:t>
      </w:r>
      <w:r w:rsidR="005F1FD7">
        <w:rPr>
          <w:rFonts w:asciiTheme="minorHAnsi" w:hAnsiTheme="minorHAnsi" w:cstheme="minorHAnsi"/>
        </w:rPr>
        <w:t>not</w:t>
      </w:r>
      <w:r w:rsidR="00705621">
        <w:rPr>
          <w:rFonts w:asciiTheme="minorHAnsi" w:hAnsiTheme="minorHAnsi" w:cstheme="minorHAnsi"/>
        </w:rPr>
        <w:t xml:space="preserve"> </w:t>
      </w:r>
      <w:r w:rsidR="005F1FD7">
        <w:rPr>
          <w:rFonts w:asciiTheme="minorHAnsi" w:hAnsiTheme="minorHAnsi" w:cstheme="minorHAnsi"/>
        </w:rPr>
        <w:t xml:space="preserve">a </w:t>
      </w:r>
      <w:r w:rsidR="00705621">
        <w:rPr>
          <w:rFonts w:asciiTheme="minorHAnsi" w:hAnsiTheme="minorHAnsi" w:cstheme="minorHAnsi"/>
        </w:rPr>
        <w:t xml:space="preserve">discomfort to their host, </w:t>
      </w:r>
      <w:r w:rsidR="005F1FD7">
        <w:rPr>
          <w:rFonts w:asciiTheme="minorHAnsi" w:hAnsiTheme="minorHAnsi" w:cstheme="minorHAnsi"/>
        </w:rPr>
        <w:t>and</w:t>
      </w:r>
      <w:r w:rsidR="00705621">
        <w:rPr>
          <w:rFonts w:asciiTheme="minorHAnsi" w:hAnsiTheme="minorHAnsi" w:cstheme="minorHAnsi"/>
        </w:rPr>
        <w:t xml:space="preserve"> be able to survive the challenging oral cavity environment.</w:t>
      </w:r>
    </w:p>
    <w:p w14:paraId="12D3A444" w14:textId="673729C3" w:rsidR="00DB3F88" w:rsidRDefault="00DB3F88" w:rsidP="00D830DB">
      <w:pPr>
        <w:rPr>
          <w:rFonts w:asciiTheme="minorHAnsi" w:hAnsiTheme="minorHAnsi" w:cstheme="minorHAnsi"/>
        </w:rPr>
      </w:pPr>
      <w:r>
        <w:rPr>
          <w:rFonts w:asciiTheme="minorHAnsi" w:hAnsiTheme="minorHAnsi" w:cstheme="minorHAnsi"/>
        </w:rPr>
        <w:t xml:space="preserve">Regarding the detection of S100A8/A9 </w:t>
      </w:r>
      <w:r w:rsidR="00305C69">
        <w:rPr>
          <w:rFonts w:asciiTheme="minorHAnsi" w:hAnsiTheme="minorHAnsi" w:cstheme="minorHAnsi"/>
        </w:rPr>
        <w:t>proteins, we</w:t>
      </w:r>
      <w:r>
        <w:rPr>
          <w:rFonts w:asciiTheme="minorHAnsi" w:hAnsiTheme="minorHAnsi" w:cstheme="minorHAnsi"/>
        </w:rPr>
        <w:t xml:space="preserve"> will investigate the recent “</w:t>
      </w:r>
      <w:proofErr w:type="spellStart"/>
      <w:r w:rsidRPr="00305C69">
        <w:rPr>
          <w:rFonts w:asciiTheme="minorHAnsi" w:hAnsiTheme="minorHAnsi" w:cstheme="minorHAnsi"/>
          <w:b/>
          <w:bCs/>
        </w:rPr>
        <w:t>lucCage</w:t>
      </w:r>
      <w:proofErr w:type="spellEnd"/>
      <w:r>
        <w:rPr>
          <w:rFonts w:asciiTheme="minorHAnsi" w:hAnsiTheme="minorHAnsi" w:cstheme="minorHAnsi"/>
        </w:rPr>
        <w:t xml:space="preserve">” system that includes </w:t>
      </w:r>
      <w:r w:rsidR="00305C69">
        <w:rPr>
          <w:rFonts w:asciiTheme="minorHAnsi" w:hAnsiTheme="minorHAnsi" w:cstheme="minorHAnsi"/>
        </w:rPr>
        <w:t>two major components</w:t>
      </w:r>
      <w:r>
        <w:rPr>
          <w:rFonts w:asciiTheme="minorHAnsi" w:hAnsiTheme="minorHAnsi" w:cstheme="minorHAnsi"/>
        </w:rPr>
        <w:t>: 1) the “</w:t>
      </w:r>
      <w:proofErr w:type="spellStart"/>
      <w:r>
        <w:rPr>
          <w:rFonts w:asciiTheme="minorHAnsi" w:hAnsiTheme="minorHAnsi" w:cstheme="minorHAnsi"/>
        </w:rPr>
        <w:t>lucCage</w:t>
      </w:r>
      <w:proofErr w:type="spellEnd"/>
      <w:r>
        <w:rPr>
          <w:rFonts w:asciiTheme="minorHAnsi" w:hAnsiTheme="minorHAnsi" w:cstheme="minorHAnsi"/>
        </w:rPr>
        <w:t>” itself which includes a cage and a latch domain, and a s</w:t>
      </w:r>
      <w:r w:rsidR="00776A01">
        <w:rPr>
          <w:rFonts w:asciiTheme="minorHAnsi" w:hAnsiTheme="minorHAnsi" w:cstheme="minorHAnsi"/>
        </w:rPr>
        <w:t>p</w:t>
      </w:r>
      <w:r>
        <w:rPr>
          <w:rFonts w:asciiTheme="minorHAnsi" w:hAnsiTheme="minorHAnsi" w:cstheme="minorHAnsi"/>
        </w:rPr>
        <w:t>lit luciferase fragment 2) a “</w:t>
      </w:r>
      <w:proofErr w:type="spellStart"/>
      <w:r>
        <w:rPr>
          <w:rFonts w:asciiTheme="minorHAnsi" w:hAnsiTheme="minorHAnsi" w:cstheme="minorHAnsi"/>
        </w:rPr>
        <w:t>luckKey</w:t>
      </w:r>
      <w:proofErr w:type="spellEnd"/>
      <w:r>
        <w:rPr>
          <w:rFonts w:asciiTheme="minorHAnsi" w:hAnsiTheme="minorHAnsi" w:cstheme="minorHAnsi"/>
        </w:rPr>
        <w:t xml:space="preserve">” that contains a key peptide that binds to the open state of </w:t>
      </w:r>
      <w:proofErr w:type="spellStart"/>
      <w:r>
        <w:rPr>
          <w:rFonts w:asciiTheme="minorHAnsi" w:hAnsiTheme="minorHAnsi" w:cstheme="minorHAnsi"/>
        </w:rPr>
        <w:t>lucCage</w:t>
      </w:r>
      <w:proofErr w:type="spellEnd"/>
      <w:r>
        <w:rPr>
          <w:rFonts w:asciiTheme="minorHAnsi" w:hAnsiTheme="minorHAnsi" w:cstheme="minorHAnsi"/>
        </w:rPr>
        <w:t xml:space="preserve"> upon activation of luciferase and the target protein.</w:t>
      </w:r>
      <w:r w:rsidR="00305C69">
        <w:rPr>
          <w:rFonts w:asciiTheme="minorHAnsi" w:hAnsiTheme="minorHAnsi" w:cstheme="minorHAnsi"/>
        </w:rPr>
        <w:t xml:space="preserve"> Compared to existing protein-based biosensors, the “</w:t>
      </w:r>
      <w:proofErr w:type="spellStart"/>
      <w:r w:rsidR="00305C69">
        <w:rPr>
          <w:rFonts w:asciiTheme="minorHAnsi" w:hAnsiTheme="minorHAnsi" w:cstheme="minorHAnsi"/>
        </w:rPr>
        <w:t>lucCage</w:t>
      </w:r>
      <w:proofErr w:type="spellEnd"/>
      <w:r w:rsidR="00305C69">
        <w:rPr>
          <w:rFonts w:asciiTheme="minorHAnsi" w:hAnsiTheme="minorHAnsi" w:cstheme="minorHAnsi"/>
        </w:rPr>
        <w:t xml:space="preserve">” sensor is based on binding </w:t>
      </w:r>
      <w:r w:rsidR="007D0775">
        <w:rPr>
          <w:rFonts w:asciiTheme="minorHAnsi" w:hAnsiTheme="minorHAnsi" w:cstheme="minorHAnsi"/>
        </w:rPr>
        <w:t>thermodynamic properties</w:t>
      </w:r>
      <w:r w:rsidR="00305C69">
        <w:rPr>
          <w:rFonts w:asciiTheme="minorHAnsi" w:hAnsiTheme="minorHAnsi" w:cstheme="minorHAnsi"/>
        </w:rPr>
        <w:t xml:space="preserve"> but not on the geometry of </w:t>
      </w:r>
      <w:r w:rsidR="007D0775">
        <w:rPr>
          <w:rFonts w:asciiTheme="minorHAnsi" w:hAnsiTheme="minorHAnsi" w:cstheme="minorHAnsi"/>
        </w:rPr>
        <w:t xml:space="preserve">a </w:t>
      </w:r>
      <w:r w:rsidR="00305C69">
        <w:rPr>
          <w:rFonts w:asciiTheme="minorHAnsi" w:hAnsiTheme="minorHAnsi" w:cstheme="minorHAnsi"/>
        </w:rPr>
        <w:t xml:space="preserve">specific coupling, allowing the component to detect a variety of analytes with different binding energies </w:t>
      </w:r>
      <w:r w:rsidR="00305C69">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tdULbvLn","properties":{"formattedCitation":"[11]","plainCitation":"[11]","noteIndex":0},"citationItems":[{"id":1044,"uris":["http://zotero.org/users/7286058/items/VMU3NE2B"],"itemData":{"id":1044,"type":"article-journal","container-title":"Nature","DOI":"10.1038/s41586-021-03258-z","ISSN":"0028-0836, 1476-4687","issue":"7850","journalAbbreviation":"Nature","language":"en","page":"482-487","source":"DOI.org (Crossref)","title":"De novo design of modular and tunable protein biosensors","URL":"http://www.nature.com/articles/s41586-021-03258-z","volume":"591","author":[{"family":"Quijano-Rubio","given":"Alfredo"},{"family":"Yeh","given":"Hsien-Wei"},{"family":"Park","given":"Jooyoung"},{"family":"Lee","given":"Hansol"},{"family":"Langan","given":"Robert A."},{"family":"Boyken","given":"Scott E."},{"family":"Lajoie","given":"Marc J."},{"family":"Cao","given":"Longxing"},{"family":"Chow","given":"Cameron M."},{"family":"Miranda","given":"Marcos C."},{"family":"Wi","given":"Jimin"},{"family":"Hong","given":"Hyo Jeong"},{"family":"Stewart","given":"Lance"},{"family":"Oh","given":"Byung-Ha"},{"family":"Baker","given":"David"}],"accessed":{"date-parts":[["2022",3,31]]},"issued":{"date-parts":[["2021",3,18]]}}}],"schema":"https://github.com/citation-style-language/schema/raw/master/csl-citation.json"} </w:instrText>
      </w:r>
      <w:r w:rsidR="00305C69">
        <w:rPr>
          <w:rFonts w:asciiTheme="minorHAnsi" w:hAnsiTheme="minorHAnsi" w:cstheme="minorHAnsi"/>
        </w:rPr>
        <w:fldChar w:fldCharType="separate"/>
      </w:r>
      <w:r w:rsidR="00155CAC">
        <w:rPr>
          <w:rFonts w:asciiTheme="minorHAnsi" w:hAnsiTheme="minorHAnsi" w:cstheme="minorHAnsi"/>
          <w:noProof/>
        </w:rPr>
        <w:t>[11]</w:t>
      </w:r>
      <w:r w:rsidR="00305C69">
        <w:rPr>
          <w:rFonts w:asciiTheme="minorHAnsi" w:hAnsiTheme="minorHAnsi" w:cstheme="minorHAnsi"/>
        </w:rPr>
        <w:fldChar w:fldCharType="end"/>
      </w:r>
      <w:r w:rsidR="00305C69">
        <w:rPr>
          <w:rFonts w:asciiTheme="minorHAnsi" w:hAnsiTheme="minorHAnsi" w:cstheme="minorHAnsi"/>
        </w:rPr>
        <w:t>.</w:t>
      </w:r>
    </w:p>
    <w:p w14:paraId="634A4F91" w14:textId="5245F46A" w:rsidR="002D51A0" w:rsidRDefault="002D51A0" w:rsidP="00F3175C">
      <w:pPr>
        <w:rPr>
          <w:rFonts w:asciiTheme="minorHAnsi" w:hAnsiTheme="minorHAnsi" w:cstheme="minorHAnsi"/>
        </w:rPr>
      </w:pPr>
    </w:p>
    <w:p w14:paraId="60BE5F5F" w14:textId="304C34AE" w:rsidR="00155CAC" w:rsidRPr="00155CAC" w:rsidRDefault="00155CAC" w:rsidP="00F3175C">
      <w:pPr>
        <w:rPr>
          <w:rFonts w:asciiTheme="minorHAnsi" w:hAnsiTheme="minorHAnsi" w:cstheme="minorHAnsi"/>
          <w:b/>
          <w:bCs/>
          <w:u w:val="single"/>
        </w:rPr>
      </w:pPr>
      <w:r w:rsidRPr="00155CAC">
        <w:rPr>
          <w:rFonts w:asciiTheme="minorHAnsi" w:hAnsiTheme="minorHAnsi" w:cstheme="minorHAnsi"/>
          <w:b/>
          <w:bCs/>
          <w:u w:val="single"/>
        </w:rPr>
        <w:t>References</w:t>
      </w:r>
    </w:p>
    <w:p w14:paraId="42F9BD4E" w14:textId="77777777" w:rsidR="00155CAC" w:rsidRPr="00155CAC" w:rsidRDefault="00155CAC" w:rsidP="00155CAC">
      <w:pPr>
        <w:pStyle w:val="Bibliography"/>
        <w:rPr>
          <w:rFonts w:ascii="Calibri" w:cs="Calibri"/>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155CAC">
        <w:rPr>
          <w:rFonts w:ascii="Calibri" w:cs="Calibri"/>
          <w:sz w:val="24"/>
        </w:rPr>
        <w:t>[1]</w:t>
      </w:r>
      <w:r w:rsidRPr="00155CAC">
        <w:rPr>
          <w:rFonts w:ascii="Calibri" w:cs="Calibri"/>
          <w:sz w:val="24"/>
        </w:rPr>
        <w:tab/>
        <w:t xml:space="preserve">V. Perumal and U. Hashim, “Advances in biosensors: Principle, architecture and applications,” </w:t>
      </w:r>
      <w:r w:rsidRPr="00155CAC">
        <w:rPr>
          <w:rFonts w:ascii="Calibri" w:cs="Calibri"/>
          <w:i/>
          <w:iCs/>
          <w:sz w:val="24"/>
        </w:rPr>
        <w:t>J Appl Biomed</w:t>
      </w:r>
      <w:r w:rsidRPr="00155CAC">
        <w:rPr>
          <w:rFonts w:ascii="Calibri" w:cs="Calibri"/>
          <w:sz w:val="24"/>
        </w:rPr>
        <w:t>, vol. 12, no. 1, pp. 1–15, Jan. 2014, doi: 10.1016/j.jab.2013.02.001.</w:t>
      </w:r>
    </w:p>
    <w:p w14:paraId="01E034D4" w14:textId="77777777" w:rsidR="00155CAC" w:rsidRPr="00155CAC" w:rsidRDefault="00155CAC" w:rsidP="00155CAC">
      <w:pPr>
        <w:pStyle w:val="Bibliography"/>
        <w:rPr>
          <w:rFonts w:ascii="Calibri" w:cs="Calibri"/>
          <w:sz w:val="24"/>
        </w:rPr>
      </w:pPr>
      <w:r w:rsidRPr="00155CAC">
        <w:rPr>
          <w:rFonts w:ascii="Calibri" w:cs="Calibri"/>
          <w:sz w:val="24"/>
        </w:rPr>
        <w:t>[2]</w:t>
      </w:r>
      <w:r w:rsidRPr="00155CAC">
        <w:rPr>
          <w:rFonts w:ascii="Calibri" w:cs="Calibri"/>
          <w:sz w:val="24"/>
        </w:rPr>
        <w:tab/>
        <w:t xml:space="preserve">C. Petersen and J. L. Round, “Defining dysbiosis and its influence on host immunity and disease,” </w:t>
      </w:r>
      <w:r w:rsidRPr="00155CAC">
        <w:rPr>
          <w:rFonts w:ascii="Calibri" w:cs="Calibri"/>
          <w:i/>
          <w:iCs/>
          <w:sz w:val="24"/>
        </w:rPr>
        <w:t>Cellular Microbiology</w:t>
      </w:r>
      <w:r w:rsidRPr="00155CAC">
        <w:rPr>
          <w:rFonts w:ascii="Calibri" w:cs="Calibri"/>
          <w:sz w:val="24"/>
        </w:rPr>
        <w:t>, vol. 16, no. 7, pp. 1024–1033, 2014, doi: 10.1111/cmi.12308.</w:t>
      </w:r>
    </w:p>
    <w:p w14:paraId="1157542D" w14:textId="77777777" w:rsidR="00155CAC" w:rsidRPr="00155CAC" w:rsidRDefault="00155CAC" w:rsidP="00155CAC">
      <w:pPr>
        <w:pStyle w:val="Bibliography"/>
        <w:rPr>
          <w:rFonts w:ascii="Calibri" w:cs="Calibri"/>
          <w:sz w:val="24"/>
        </w:rPr>
      </w:pPr>
      <w:r w:rsidRPr="00155CAC">
        <w:rPr>
          <w:rFonts w:ascii="Calibri" w:cs="Calibri"/>
          <w:sz w:val="24"/>
        </w:rPr>
        <w:lastRenderedPageBreak/>
        <w:t>[3]</w:t>
      </w:r>
      <w:r w:rsidRPr="00155CAC">
        <w:rPr>
          <w:rFonts w:ascii="Calibri" w:cs="Calibri"/>
          <w:sz w:val="24"/>
        </w:rPr>
        <w:tab/>
        <w:t xml:space="preserve">L. Gao, T. Xu, G. Huang, S. Jiang, Y. Gu, and F. Chen, “Oral microbiomes: more and more importance in oral cavity and whole body,” </w:t>
      </w:r>
      <w:r w:rsidRPr="00155CAC">
        <w:rPr>
          <w:rFonts w:ascii="Calibri" w:cs="Calibri"/>
          <w:i/>
          <w:iCs/>
          <w:sz w:val="24"/>
        </w:rPr>
        <w:t>Protein Cell</w:t>
      </w:r>
      <w:r w:rsidRPr="00155CAC">
        <w:rPr>
          <w:rFonts w:ascii="Calibri" w:cs="Calibri"/>
          <w:sz w:val="24"/>
        </w:rPr>
        <w:t>, vol. 9, no. 5, pp. 488–500, May 2018, doi: 10.1007/s13238-018-0548-1.</w:t>
      </w:r>
    </w:p>
    <w:p w14:paraId="5E450DCD" w14:textId="77777777" w:rsidR="00155CAC" w:rsidRPr="00155CAC" w:rsidRDefault="00155CAC" w:rsidP="00155CAC">
      <w:pPr>
        <w:pStyle w:val="Bibliography"/>
        <w:rPr>
          <w:rFonts w:ascii="Calibri" w:cs="Calibri"/>
          <w:sz w:val="24"/>
        </w:rPr>
      </w:pPr>
      <w:r w:rsidRPr="00155CAC">
        <w:rPr>
          <w:rFonts w:ascii="Calibri" w:cs="Calibri"/>
          <w:sz w:val="24"/>
        </w:rPr>
        <w:t>[4]</w:t>
      </w:r>
      <w:r w:rsidRPr="00155CAC">
        <w:rPr>
          <w:rFonts w:ascii="Calibri" w:cs="Calibri"/>
          <w:sz w:val="24"/>
        </w:rPr>
        <w:tab/>
        <w:t xml:space="preserve">A. Cekici, A. Kantarci, H. Hasturk, and T. E. Van Dyke, “Inflammatory and immune pathways in the pathogenesis of periodontal disease,” </w:t>
      </w:r>
      <w:r w:rsidRPr="00155CAC">
        <w:rPr>
          <w:rFonts w:ascii="Calibri" w:cs="Calibri"/>
          <w:i/>
          <w:iCs/>
          <w:sz w:val="24"/>
        </w:rPr>
        <w:t>Periodontol 2000</w:t>
      </w:r>
      <w:r w:rsidRPr="00155CAC">
        <w:rPr>
          <w:rFonts w:ascii="Calibri" w:cs="Calibri"/>
          <w:sz w:val="24"/>
        </w:rPr>
        <w:t>, vol. 64, no. 1, pp. 57–80, Feb. 2014, doi: 10.1111/prd.12002.</w:t>
      </w:r>
    </w:p>
    <w:p w14:paraId="1A2F5EF2" w14:textId="77777777" w:rsidR="00155CAC" w:rsidRPr="00155CAC" w:rsidRDefault="00155CAC" w:rsidP="00155CAC">
      <w:pPr>
        <w:pStyle w:val="Bibliography"/>
        <w:rPr>
          <w:rFonts w:ascii="Calibri" w:cs="Calibri"/>
          <w:sz w:val="24"/>
        </w:rPr>
      </w:pPr>
      <w:r w:rsidRPr="00155CAC">
        <w:rPr>
          <w:rFonts w:ascii="Calibri" w:cs="Calibri"/>
          <w:sz w:val="24"/>
        </w:rPr>
        <w:t>[5]</w:t>
      </w:r>
      <w:r w:rsidRPr="00155CAC">
        <w:rPr>
          <w:rFonts w:ascii="Calibri" w:cs="Calibri"/>
          <w:sz w:val="24"/>
        </w:rPr>
        <w:tab/>
        <w:t xml:space="preserve">L. J. Suárez, H. Garzón, S. Arboleda, and A. Rodríguez, “Oral Dysbiosis and Autoimmunity: From Local Periodontal Responses to an Imbalanced Systemic Immunity. A Review,” </w:t>
      </w:r>
      <w:r w:rsidRPr="00155CAC">
        <w:rPr>
          <w:rFonts w:ascii="Calibri" w:cs="Calibri"/>
          <w:i/>
          <w:iCs/>
          <w:sz w:val="24"/>
        </w:rPr>
        <w:t>Front. Immunol.</w:t>
      </w:r>
      <w:r w:rsidRPr="00155CAC">
        <w:rPr>
          <w:rFonts w:ascii="Calibri" w:cs="Calibri"/>
          <w:sz w:val="24"/>
        </w:rPr>
        <w:t>, vol. 11, p. 591255, Dec. 2020, doi: 10.3389/fimmu.2020.591255.</w:t>
      </w:r>
    </w:p>
    <w:p w14:paraId="265A2BDA" w14:textId="77777777" w:rsidR="00155CAC" w:rsidRPr="00155CAC" w:rsidRDefault="00155CAC" w:rsidP="00155CAC">
      <w:pPr>
        <w:pStyle w:val="Bibliography"/>
        <w:rPr>
          <w:rFonts w:ascii="Calibri" w:cs="Calibri"/>
          <w:sz w:val="24"/>
        </w:rPr>
      </w:pPr>
      <w:r w:rsidRPr="00155CAC">
        <w:rPr>
          <w:rFonts w:ascii="Calibri" w:cs="Calibri"/>
          <w:sz w:val="24"/>
        </w:rPr>
        <w:t>[6]</w:t>
      </w:r>
      <w:r w:rsidRPr="00155CAC">
        <w:rPr>
          <w:rFonts w:ascii="Calibri" w:cs="Calibri"/>
          <w:sz w:val="24"/>
        </w:rPr>
        <w:tab/>
        <w:t xml:space="preserve">A. Radaic and Y. L. Kapila, “The oralome and its dysbiosis: New insights into oral microbiome-host interactions,” </w:t>
      </w:r>
      <w:r w:rsidRPr="00155CAC">
        <w:rPr>
          <w:rFonts w:ascii="Calibri" w:cs="Calibri"/>
          <w:i/>
          <w:iCs/>
          <w:sz w:val="24"/>
        </w:rPr>
        <w:t>Computational and Structural Biotechnology Journal</w:t>
      </w:r>
      <w:r w:rsidRPr="00155CAC">
        <w:rPr>
          <w:rFonts w:ascii="Calibri" w:cs="Calibri"/>
          <w:sz w:val="24"/>
        </w:rPr>
        <w:t>, vol. 19, pp. 1335–1360, 2021, doi: 10.1016/j.csbj.2021.02.010.</w:t>
      </w:r>
    </w:p>
    <w:p w14:paraId="6C511E0A" w14:textId="77777777" w:rsidR="00155CAC" w:rsidRPr="00155CAC" w:rsidRDefault="00155CAC" w:rsidP="00155CAC">
      <w:pPr>
        <w:pStyle w:val="Bibliography"/>
        <w:rPr>
          <w:rFonts w:ascii="Calibri" w:cs="Calibri"/>
          <w:sz w:val="24"/>
        </w:rPr>
      </w:pPr>
      <w:r w:rsidRPr="00155CAC">
        <w:rPr>
          <w:rFonts w:ascii="Calibri" w:cs="Calibri"/>
          <w:sz w:val="24"/>
        </w:rPr>
        <w:t>[7]</w:t>
      </w:r>
      <w:r w:rsidRPr="00155CAC">
        <w:rPr>
          <w:rFonts w:ascii="Calibri" w:cs="Calibri"/>
          <w:sz w:val="24"/>
        </w:rPr>
        <w:tab/>
        <w:t xml:space="preserve">G. Hajishengallis and J. D. Lambris, “Complement and dysbiosis in periodontal disease,” </w:t>
      </w:r>
      <w:r w:rsidRPr="00155CAC">
        <w:rPr>
          <w:rFonts w:ascii="Calibri" w:cs="Calibri"/>
          <w:i/>
          <w:iCs/>
          <w:sz w:val="24"/>
        </w:rPr>
        <w:t>Immunobiology</w:t>
      </w:r>
      <w:r w:rsidRPr="00155CAC">
        <w:rPr>
          <w:rFonts w:ascii="Calibri" w:cs="Calibri"/>
          <w:sz w:val="24"/>
        </w:rPr>
        <w:t>, vol. 217, no. 11, pp. 1111–1116, Nov. 2012, doi: 10.1016/j.imbio.2012.07.007.</w:t>
      </w:r>
    </w:p>
    <w:p w14:paraId="7EFA4949" w14:textId="77777777" w:rsidR="00155CAC" w:rsidRPr="00155CAC" w:rsidRDefault="00155CAC" w:rsidP="00155CAC">
      <w:pPr>
        <w:pStyle w:val="Bibliography"/>
        <w:rPr>
          <w:rFonts w:ascii="Calibri" w:cs="Calibri"/>
          <w:sz w:val="24"/>
        </w:rPr>
      </w:pPr>
      <w:r w:rsidRPr="00155CAC">
        <w:rPr>
          <w:rFonts w:ascii="Calibri" w:cs="Calibri"/>
          <w:sz w:val="24"/>
        </w:rPr>
        <w:t>[8]</w:t>
      </w:r>
      <w:r w:rsidRPr="00155CAC">
        <w:rPr>
          <w:rFonts w:ascii="Calibri" w:cs="Calibri"/>
          <w:sz w:val="24"/>
        </w:rPr>
        <w:tab/>
        <w:t xml:space="preserve">A. R. Kamer </w:t>
      </w:r>
      <w:r w:rsidRPr="00155CAC">
        <w:rPr>
          <w:rFonts w:ascii="Calibri" w:cs="Calibri"/>
          <w:i/>
          <w:iCs/>
          <w:sz w:val="24"/>
        </w:rPr>
        <w:t>et al.</w:t>
      </w:r>
      <w:r w:rsidRPr="00155CAC">
        <w:rPr>
          <w:rFonts w:ascii="Calibri" w:cs="Calibri"/>
          <w:sz w:val="24"/>
        </w:rPr>
        <w:t xml:space="preserve">, “Periodontal dysbiosis associates with reduced CSF Aβ42 in cognitively normal elderly,” </w:t>
      </w:r>
      <w:r w:rsidRPr="00155CAC">
        <w:rPr>
          <w:rFonts w:ascii="Calibri" w:cs="Calibri"/>
          <w:i/>
          <w:iCs/>
          <w:sz w:val="24"/>
        </w:rPr>
        <w:t>Alz &amp; Dem Diag Ass &amp; Dis Mo</w:t>
      </w:r>
      <w:r w:rsidRPr="00155CAC">
        <w:rPr>
          <w:rFonts w:ascii="Calibri" w:cs="Calibri"/>
          <w:sz w:val="24"/>
        </w:rPr>
        <w:t>, vol. 13, no. 1, Jan. 2021, doi: 10.1002/dad2.12172.</w:t>
      </w:r>
    </w:p>
    <w:p w14:paraId="62DA65D6" w14:textId="77777777" w:rsidR="00155CAC" w:rsidRPr="00155CAC" w:rsidRDefault="00155CAC" w:rsidP="00155CAC">
      <w:pPr>
        <w:pStyle w:val="Bibliography"/>
        <w:rPr>
          <w:rFonts w:ascii="Calibri" w:cs="Calibri"/>
          <w:sz w:val="24"/>
        </w:rPr>
      </w:pPr>
      <w:r w:rsidRPr="00155CAC">
        <w:rPr>
          <w:rFonts w:ascii="Calibri" w:cs="Calibri"/>
          <w:sz w:val="24"/>
        </w:rPr>
        <w:t>[9]</w:t>
      </w:r>
      <w:r w:rsidRPr="00155CAC">
        <w:rPr>
          <w:rFonts w:ascii="Calibri" w:cs="Calibri"/>
          <w:sz w:val="24"/>
        </w:rPr>
        <w:tab/>
        <w:t xml:space="preserve">L. Steigmann, S. Maekawa, C. Sima, S. Travan, C.-W. Wang, and W. V. Giannobile, “Biosensor and Lab-on-a-chip Biomarker-identifying Technologies for Oral and Periodontal Diseases,” </w:t>
      </w:r>
      <w:r w:rsidRPr="00155CAC">
        <w:rPr>
          <w:rFonts w:ascii="Calibri" w:cs="Calibri"/>
          <w:i/>
          <w:iCs/>
          <w:sz w:val="24"/>
        </w:rPr>
        <w:t>Front Pharmacol</w:t>
      </w:r>
      <w:r w:rsidRPr="00155CAC">
        <w:rPr>
          <w:rFonts w:ascii="Calibri" w:cs="Calibri"/>
          <w:sz w:val="24"/>
        </w:rPr>
        <w:t>, vol. 11, p. 588480, Nov. 2020, doi: 10.3389/fphar.2020.588480.</w:t>
      </w:r>
    </w:p>
    <w:p w14:paraId="6F81A75E" w14:textId="77777777" w:rsidR="00155CAC" w:rsidRPr="00155CAC" w:rsidRDefault="00155CAC" w:rsidP="00155CAC">
      <w:pPr>
        <w:pStyle w:val="Bibliography"/>
        <w:rPr>
          <w:rFonts w:ascii="Calibri" w:cs="Calibri"/>
          <w:sz w:val="24"/>
        </w:rPr>
      </w:pPr>
      <w:r w:rsidRPr="00155CAC">
        <w:rPr>
          <w:rFonts w:ascii="Calibri" w:cs="Calibri"/>
          <w:sz w:val="24"/>
        </w:rPr>
        <w:t>[10]</w:t>
      </w:r>
      <w:r w:rsidRPr="00155CAC">
        <w:rPr>
          <w:rFonts w:ascii="Calibri" w:cs="Calibri"/>
          <w:sz w:val="24"/>
        </w:rPr>
        <w:tab/>
        <w:t xml:space="preserve">A. Ahmed, J. V. Rushworth, N. A. Hirst, and P. A. Millner, “Biosensors for Whole-Cell Bacterial Detection,” </w:t>
      </w:r>
      <w:r w:rsidRPr="00155CAC">
        <w:rPr>
          <w:rFonts w:ascii="Calibri" w:cs="Calibri"/>
          <w:i/>
          <w:iCs/>
          <w:sz w:val="24"/>
        </w:rPr>
        <w:t>Clin Microbiol Rev</w:t>
      </w:r>
      <w:r w:rsidRPr="00155CAC">
        <w:rPr>
          <w:rFonts w:ascii="Calibri" w:cs="Calibri"/>
          <w:sz w:val="24"/>
        </w:rPr>
        <w:t>, vol. 27, no. 3, pp. 631–646, Jul. 2014, doi: 10.1128/CMR.00120-13.</w:t>
      </w:r>
    </w:p>
    <w:p w14:paraId="5BFEBF2D" w14:textId="77777777" w:rsidR="00155CAC" w:rsidRPr="00155CAC" w:rsidRDefault="00155CAC" w:rsidP="00155CAC">
      <w:pPr>
        <w:pStyle w:val="Bibliography"/>
        <w:rPr>
          <w:rFonts w:ascii="Calibri" w:cs="Calibri"/>
          <w:sz w:val="24"/>
        </w:rPr>
      </w:pPr>
      <w:r w:rsidRPr="00155CAC">
        <w:rPr>
          <w:rFonts w:ascii="Calibri" w:cs="Calibri"/>
          <w:sz w:val="24"/>
        </w:rPr>
        <w:t>[11]</w:t>
      </w:r>
      <w:r w:rsidRPr="00155CAC">
        <w:rPr>
          <w:rFonts w:ascii="Calibri" w:cs="Calibri"/>
          <w:sz w:val="24"/>
        </w:rPr>
        <w:tab/>
        <w:t xml:space="preserve">A. Quijano-Rubio </w:t>
      </w:r>
      <w:r w:rsidRPr="00155CAC">
        <w:rPr>
          <w:rFonts w:ascii="Calibri" w:cs="Calibri"/>
          <w:i/>
          <w:iCs/>
          <w:sz w:val="24"/>
        </w:rPr>
        <w:t>et al.</w:t>
      </w:r>
      <w:r w:rsidRPr="00155CAC">
        <w:rPr>
          <w:rFonts w:ascii="Calibri" w:cs="Calibri"/>
          <w:sz w:val="24"/>
        </w:rPr>
        <w:t xml:space="preserve">, “De novo design of modular and tunable protein biosensors,” </w:t>
      </w:r>
      <w:r w:rsidRPr="00155CAC">
        <w:rPr>
          <w:rFonts w:ascii="Calibri" w:cs="Calibri"/>
          <w:i/>
          <w:iCs/>
          <w:sz w:val="24"/>
        </w:rPr>
        <w:t>Nature</w:t>
      </w:r>
      <w:r w:rsidRPr="00155CAC">
        <w:rPr>
          <w:rFonts w:ascii="Calibri" w:cs="Calibri"/>
          <w:sz w:val="24"/>
        </w:rPr>
        <w:t>, vol. 591, no. 7850, pp. 482–487, Mar. 2021, doi: 10.1038/s41586-021-03258-z.</w:t>
      </w:r>
    </w:p>
    <w:p w14:paraId="0136C9E1" w14:textId="7001CB5E" w:rsidR="00155CAC" w:rsidRDefault="00155CAC" w:rsidP="00F3175C">
      <w:pPr>
        <w:rPr>
          <w:rFonts w:asciiTheme="minorHAnsi" w:hAnsiTheme="minorHAnsi" w:cstheme="minorHAnsi"/>
        </w:rPr>
      </w:pPr>
      <w:r>
        <w:rPr>
          <w:rFonts w:asciiTheme="minorHAnsi" w:hAnsiTheme="minorHAnsi" w:cstheme="minorHAnsi"/>
        </w:rPr>
        <w:fldChar w:fldCharType="end"/>
      </w:r>
    </w:p>
    <w:p w14:paraId="6004EE91" w14:textId="38410DD0" w:rsidR="002D51A0" w:rsidRDefault="002D51A0" w:rsidP="00F3175C">
      <w:pPr>
        <w:rPr>
          <w:rFonts w:asciiTheme="minorHAnsi" w:hAnsiTheme="minorHAnsi" w:cstheme="minorHAnsi"/>
        </w:rPr>
      </w:pPr>
    </w:p>
    <w:p w14:paraId="5EAB61F2" w14:textId="39AD8A84" w:rsidR="0099005B" w:rsidRPr="00956344" w:rsidRDefault="0099005B" w:rsidP="00D830DB">
      <w:pPr>
        <w:rPr>
          <w:rFonts w:asciiTheme="minorHAnsi" w:hAnsiTheme="minorHAnsi" w:cstheme="minorHAnsi"/>
        </w:rPr>
      </w:pPr>
    </w:p>
    <w:sectPr w:rsidR="0099005B" w:rsidRPr="0095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7813C" w14:textId="77777777" w:rsidR="00C5672B" w:rsidRDefault="00C5672B" w:rsidP="00816FCF">
      <w:r>
        <w:separator/>
      </w:r>
    </w:p>
  </w:endnote>
  <w:endnote w:type="continuationSeparator" w:id="0">
    <w:p w14:paraId="373297B7" w14:textId="77777777" w:rsidR="00C5672B" w:rsidRDefault="00C5672B"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021EA" w14:textId="77777777" w:rsidR="00C5672B" w:rsidRDefault="00C5672B" w:rsidP="00816FCF">
      <w:r>
        <w:separator/>
      </w:r>
    </w:p>
  </w:footnote>
  <w:footnote w:type="continuationSeparator" w:id="0">
    <w:p w14:paraId="7C3B31ED" w14:textId="77777777" w:rsidR="00C5672B" w:rsidRDefault="00C5672B"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5"/>
  </w:num>
  <w:num w:numId="3" w16cid:durableId="1945259844">
    <w:abstractNumId w:val="10"/>
  </w:num>
  <w:num w:numId="4" w16cid:durableId="865556767">
    <w:abstractNumId w:val="28"/>
  </w:num>
  <w:num w:numId="5" w16cid:durableId="1168130446">
    <w:abstractNumId w:val="9"/>
  </w:num>
  <w:num w:numId="6" w16cid:durableId="144904291">
    <w:abstractNumId w:val="21"/>
  </w:num>
  <w:num w:numId="7" w16cid:durableId="783307723">
    <w:abstractNumId w:val="20"/>
  </w:num>
  <w:num w:numId="8" w16cid:durableId="1648516089">
    <w:abstractNumId w:val="2"/>
  </w:num>
  <w:num w:numId="9" w16cid:durableId="1390761623">
    <w:abstractNumId w:val="14"/>
  </w:num>
  <w:num w:numId="10" w16cid:durableId="483393727">
    <w:abstractNumId w:val="1"/>
  </w:num>
  <w:num w:numId="11" w16cid:durableId="1754080240">
    <w:abstractNumId w:val="25"/>
  </w:num>
  <w:num w:numId="12" w16cid:durableId="1823038665">
    <w:abstractNumId w:val="0"/>
  </w:num>
  <w:num w:numId="13" w16cid:durableId="145975072">
    <w:abstractNumId w:val="7"/>
  </w:num>
  <w:num w:numId="14" w16cid:durableId="442725010">
    <w:abstractNumId w:val="27"/>
  </w:num>
  <w:num w:numId="15" w16cid:durableId="406611283">
    <w:abstractNumId w:val="8"/>
  </w:num>
  <w:num w:numId="16" w16cid:durableId="244341858">
    <w:abstractNumId w:val="22"/>
  </w:num>
  <w:num w:numId="17" w16cid:durableId="1831099623">
    <w:abstractNumId w:val="31"/>
  </w:num>
  <w:num w:numId="18" w16cid:durableId="77602603">
    <w:abstractNumId w:val="12"/>
  </w:num>
  <w:num w:numId="19" w16cid:durableId="206914567">
    <w:abstractNumId w:val="5"/>
  </w:num>
  <w:num w:numId="20" w16cid:durableId="40370820">
    <w:abstractNumId w:val="18"/>
  </w:num>
  <w:num w:numId="21" w16cid:durableId="454451421">
    <w:abstractNumId w:val="30"/>
  </w:num>
  <w:num w:numId="22" w16cid:durableId="724375420">
    <w:abstractNumId w:val="19"/>
  </w:num>
  <w:num w:numId="23" w16cid:durableId="471363913">
    <w:abstractNumId w:val="3"/>
  </w:num>
  <w:num w:numId="24" w16cid:durableId="544297242">
    <w:abstractNumId w:val="11"/>
  </w:num>
  <w:num w:numId="25" w16cid:durableId="1245412842">
    <w:abstractNumId w:val="33"/>
  </w:num>
  <w:num w:numId="26" w16cid:durableId="981812200">
    <w:abstractNumId w:val="26"/>
  </w:num>
  <w:num w:numId="27" w16cid:durableId="1599408526">
    <w:abstractNumId w:val="17"/>
  </w:num>
  <w:num w:numId="28" w16cid:durableId="2057855111">
    <w:abstractNumId w:val="24"/>
  </w:num>
  <w:num w:numId="29" w16cid:durableId="2061050957">
    <w:abstractNumId w:val="4"/>
  </w:num>
  <w:num w:numId="30" w16cid:durableId="901256865">
    <w:abstractNumId w:val="13"/>
  </w:num>
  <w:num w:numId="31" w16cid:durableId="1533378056">
    <w:abstractNumId w:val="23"/>
  </w:num>
  <w:num w:numId="32" w16cid:durableId="211623990">
    <w:abstractNumId w:val="16"/>
  </w:num>
  <w:num w:numId="33" w16cid:durableId="776408787">
    <w:abstractNumId w:val="32"/>
  </w:num>
  <w:num w:numId="34" w16cid:durableId="5005085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36860"/>
    <w:rsid w:val="00041A9B"/>
    <w:rsid w:val="00043FE5"/>
    <w:rsid w:val="00052094"/>
    <w:rsid w:val="00055835"/>
    <w:rsid w:val="00055F5F"/>
    <w:rsid w:val="00063469"/>
    <w:rsid w:val="0006589B"/>
    <w:rsid w:val="00072E88"/>
    <w:rsid w:val="00072F65"/>
    <w:rsid w:val="0007368C"/>
    <w:rsid w:val="00075520"/>
    <w:rsid w:val="00077979"/>
    <w:rsid w:val="00080240"/>
    <w:rsid w:val="00090E23"/>
    <w:rsid w:val="0009243D"/>
    <w:rsid w:val="00094293"/>
    <w:rsid w:val="00094EBD"/>
    <w:rsid w:val="000B2B41"/>
    <w:rsid w:val="000C4D60"/>
    <w:rsid w:val="000C5DE6"/>
    <w:rsid w:val="000C71C6"/>
    <w:rsid w:val="000D202C"/>
    <w:rsid w:val="000E553D"/>
    <w:rsid w:val="000E7007"/>
    <w:rsid w:val="000F0988"/>
    <w:rsid w:val="001054C5"/>
    <w:rsid w:val="00116A03"/>
    <w:rsid w:val="00121E56"/>
    <w:rsid w:val="0013397C"/>
    <w:rsid w:val="00146C8A"/>
    <w:rsid w:val="00147586"/>
    <w:rsid w:val="0015202A"/>
    <w:rsid w:val="00155CAC"/>
    <w:rsid w:val="00157D88"/>
    <w:rsid w:val="00162930"/>
    <w:rsid w:val="00164860"/>
    <w:rsid w:val="00171A8C"/>
    <w:rsid w:val="00172BED"/>
    <w:rsid w:val="001804A5"/>
    <w:rsid w:val="0019408A"/>
    <w:rsid w:val="001A3C77"/>
    <w:rsid w:val="001B1196"/>
    <w:rsid w:val="001C544A"/>
    <w:rsid w:val="001D09AD"/>
    <w:rsid w:val="001D3ECA"/>
    <w:rsid w:val="0020081E"/>
    <w:rsid w:val="002036C9"/>
    <w:rsid w:val="0020509A"/>
    <w:rsid w:val="002061C2"/>
    <w:rsid w:val="002153FB"/>
    <w:rsid w:val="00215509"/>
    <w:rsid w:val="002155DE"/>
    <w:rsid w:val="0023740B"/>
    <w:rsid w:val="002401FF"/>
    <w:rsid w:val="00240F19"/>
    <w:rsid w:val="00242829"/>
    <w:rsid w:val="00244217"/>
    <w:rsid w:val="0024478A"/>
    <w:rsid w:val="002467D2"/>
    <w:rsid w:val="00252019"/>
    <w:rsid w:val="002523CA"/>
    <w:rsid w:val="00263AFF"/>
    <w:rsid w:val="00274BD7"/>
    <w:rsid w:val="00277732"/>
    <w:rsid w:val="00277D46"/>
    <w:rsid w:val="002815ED"/>
    <w:rsid w:val="002A07B2"/>
    <w:rsid w:val="002C0DC6"/>
    <w:rsid w:val="002C4CBE"/>
    <w:rsid w:val="002D51A0"/>
    <w:rsid w:val="002D5ECD"/>
    <w:rsid w:val="002E04A8"/>
    <w:rsid w:val="002E71A9"/>
    <w:rsid w:val="00303F08"/>
    <w:rsid w:val="00305C69"/>
    <w:rsid w:val="00311534"/>
    <w:rsid w:val="00313C7E"/>
    <w:rsid w:val="00314479"/>
    <w:rsid w:val="00316AD8"/>
    <w:rsid w:val="003313F9"/>
    <w:rsid w:val="003337F9"/>
    <w:rsid w:val="00340292"/>
    <w:rsid w:val="00344B9A"/>
    <w:rsid w:val="003453D5"/>
    <w:rsid w:val="0034570A"/>
    <w:rsid w:val="003473AB"/>
    <w:rsid w:val="00352C52"/>
    <w:rsid w:val="00357696"/>
    <w:rsid w:val="00360859"/>
    <w:rsid w:val="0036704F"/>
    <w:rsid w:val="00376650"/>
    <w:rsid w:val="00393910"/>
    <w:rsid w:val="00397F24"/>
    <w:rsid w:val="003A10FC"/>
    <w:rsid w:val="003B3868"/>
    <w:rsid w:val="003B64B8"/>
    <w:rsid w:val="003D4666"/>
    <w:rsid w:val="003D5415"/>
    <w:rsid w:val="003D77C8"/>
    <w:rsid w:val="003E0BFA"/>
    <w:rsid w:val="003E5E3A"/>
    <w:rsid w:val="003E6E2D"/>
    <w:rsid w:val="003F00AB"/>
    <w:rsid w:val="003F1974"/>
    <w:rsid w:val="0040191B"/>
    <w:rsid w:val="00404037"/>
    <w:rsid w:val="0040403B"/>
    <w:rsid w:val="00414375"/>
    <w:rsid w:val="00421AA6"/>
    <w:rsid w:val="004269FE"/>
    <w:rsid w:val="004347A4"/>
    <w:rsid w:val="004464C7"/>
    <w:rsid w:val="004514D3"/>
    <w:rsid w:val="00456A40"/>
    <w:rsid w:val="00465C92"/>
    <w:rsid w:val="004711BC"/>
    <w:rsid w:val="00471BDF"/>
    <w:rsid w:val="004742A6"/>
    <w:rsid w:val="00477D80"/>
    <w:rsid w:val="00486A30"/>
    <w:rsid w:val="004953BD"/>
    <w:rsid w:val="0049689C"/>
    <w:rsid w:val="00497E74"/>
    <w:rsid w:val="004A78E4"/>
    <w:rsid w:val="004B1500"/>
    <w:rsid w:val="004B6706"/>
    <w:rsid w:val="004C616C"/>
    <w:rsid w:val="004D28EA"/>
    <w:rsid w:val="004D3DE1"/>
    <w:rsid w:val="004E19A0"/>
    <w:rsid w:val="004E66DA"/>
    <w:rsid w:val="004E7A4F"/>
    <w:rsid w:val="004F0235"/>
    <w:rsid w:val="004F02B2"/>
    <w:rsid w:val="004F74C4"/>
    <w:rsid w:val="005000DD"/>
    <w:rsid w:val="005156D0"/>
    <w:rsid w:val="0051616D"/>
    <w:rsid w:val="005170DF"/>
    <w:rsid w:val="00517323"/>
    <w:rsid w:val="005312B9"/>
    <w:rsid w:val="0055617C"/>
    <w:rsid w:val="00557205"/>
    <w:rsid w:val="00557345"/>
    <w:rsid w:val="00566261"/>
    <w:rsid w:val="005733D2"/>
    <w:rsid w:val="00580F8C"/>
    <w:rsid w:val="0058450E"/>
    <w:rsid w:val="005861A5"/>
    <w:rsid w:val="00586A8E"/>
    <w:rsid w:val="0059297F"/>
    <w:rsid w:val="00593E52"/>
    <w:rsid w:val="00595972"/>
    <w:rsid w:val="005A5BF7"/>
    <w:rsid w:val="005B0322"/>
    <w:rsid w:val="005E00B6"/>
    <w:rsid w:val="005E4662"/>
    <w:rsid w:val="005E4B99"/>
    <w:rsid w:val="005E7ADC"/>
    <w:rsid w:val="005F114E"/>
    <w:rsid w:val="005F1FD7"/>
    <w:rsid w:val="00605EF5"/>
    <w:rsid w:val="00610E89"/>
    <w:rsid w:val="00617491"/>
    <w:rsid w:val="0062330F"/>
    <w:rsid w:val="00635426"/>
    <w:rsid w:val="00636239"/>
    <w:rsid w:val="00640995"/>
    <w:rsid w:val="00641AD9"/>
    <w:rsid w:val="0064399E"/>
    <w:rsid w:val="00644D4F"/>
    <w:rsid w:val="00664264"/>
    <w:rsid w:val="006642F8"/>
    <w:rsid w:val="00665AB2"/>
    <w:rsid w:val="00671817"/>
    <w:rsid w:val="00683313"/>
    <w:rsid w:val="00685E2D"/>
    <w:rsid w:val="00686482"/>
    <w:rsid w:val="006956E5"/>
    <w:rsid w:val="00697776"/>
    <w:rsid w:val="006A0D1E"/>
    <w:rsid w:val="006A62E2"/>
    <w:rsid w:val="006B5F86"/>
    <w:rsid w:val="006C45B7"/>
    <w:rsid w:val="006D2A61"/>
    <w:rsid w:val="006D2E20"/>
    <w:rsid w:val="006D4AD6"/>
    <w:rsid w:val="006D62D3"/>
    <w:rsid w:val="006E27AE"/>
    <w:rsid w:val="006E74F0"/>
    <w:rsid w:val="006E7CA8"/>
    <w:rsid w:val="006E7FE0"/>
    <w:rsid w:val="006F17E3"/>
    <w:rsid w:val="006F3053"/>
    <w:rsid w:val="006F590C"/>
    <w:rsid w:val="007002F0"/>
    <w:rsid w:val="007043F7"/>
    <w:rsid w:val="00705621"/>
    <w:rsid w:val="007101CA"/>
    <w:rsid w:val="0071203C"/>
    <w:rsid w:val="0071509A"/>
    <w:rsid w:val="007203FF"/>
    <w:rsid w:val="00727514"/>
    <w:rsid w:val="00730E24"/>
    <w:rsid w:val="00731F08"/>
    <w:rsid w:val="00735D5F"/>
    <w:rsid w:val="00736130"/>
    <w:rsid w:val="00744726"/>
    <w:rsid w:val="00744986"/>
    <w:rsid w:val="00754011"/>
    <w:rsid w:val="007543F2"/>
    <w:rsid w:val="00754FF2"/>
    <w:rsid w:val="007565DB"/>
    <w:rsid w:val="00763981"/>
    <w:rsid w:val="00766A85"/>
    <w:rsid w:val="00776A01"/>
    <w:rsid w:val="00776EB3"/>
    <w:rsid w:val="00777846"/>
    <w:rsid w:val="0078052A"/>
    <w:rsid w:val="00784758"/>
    <w:rsid w:val="0079342E"/>
    <w:rsid w:val="00794F58"/>
    <w:rsid w:val="00796E89"/>
    <w:rsid w:val="007A0393"/>
    <w:rsid w:val="007A0DD3"/>
    <w:rsid w:val="007A2B61"/>
    <w:rsid w:val="007B1AC1"/>
    <w:rsid w:val="007B1C07"/>
    <w:rsid w:val="007B309F"/>
    <w:rsid w:val="007B7785"/>
    <w:rsid w:val="007C1DA2"/>
    <w:rsid w:val="007C4CEA"/>
    <w:rsid w:val="007C5AD8"/>
    <w:rsid w:val="007C6D46"/>
    <w:rsid w:val="007D0775"/>
    <w:rsid w:val="007D0B35"/>
    <w:rsid w:val="007E2B66"/>
    <w:rsid w:val="007F6211"/>
    <w:rsid w:val="00806F66"/>
    <w:rsid w:val="00810DA2"/>
    <w:rsid w:val="00816FCF"/>
    <w:rsid w:val="00822E89"/>
    <w:rsid w:val="00823552"/>
    <w:rsid w:val="00825588"/>
    <w:rsid w:val="008257B8"/>
    <w:rsid w:val="00831C79"/>
    <w:rsid w:val="00837D21"/>
    <w:rsid w:val="008408E4"/>
    <w:rsid w:val="00845173"/>
    <w:rsid w:val="00845339"/>
    <w:rsid w:val="008465C4"/>
    <w:rsid w:val="00846AC2"/>
    <w:rsid w:val="008603D0"/>
    <w:rsid w:val="00864390"/>
    <w:rsid w:val="0086459E"/>
    <w:rsid w:val="00871442"/>
    <w:rsid w:val="00877626"/>
    <w:rsid w:val="00882182"/>
    <w:rsid w:val="00887A5F"/>
    <w:rsid w:val="00893732"/>
    <w:rsid w:val="00896F25"/>
    <w:rsid w:val="008A594B"/>
    <w:rsid w:val="008A7B5C"/>
    <w:rsid w:val="008B07A8"/>
    <w:rsid w:val="008B1B3B"/>
    <w:rsid w:val="008C6533"/>
    <w:rsid w:val="008D4EF3"/>
    <w:rsid w:val="008E2D4C"/>
    <w:rsid w:val="008E307C"/>
    <w:rsid w:val="008E5452"/>
    <w:rsid w:val="008E560C"/>
    <w:rsid w:val="008E7A32"/>
    <w:rsid w:val="008F6C88"/>
    <w:rsid w:val="00902647"/>
    <w:rsid w:val="0090482B"/>
    <w:rsid w:val="00907817"/>
    <w:rsid w:val="00911FFD"/>
    <w:rsid w:val="0091491D"/>
    <w:rsid w:val="00917431"/>
    <w:rsid w:val="00917C44"/>
    <w:rsid w:val="0092747A"/>
    <w:rsid w:val="00940DC8"/>
    <w:rsid w:val="0095486F"/>
    <w:rsid w:val="00956344"/>
    <w:rsid w:val="009605F2"/>
    <w:rsid w:val="009618BF"/>
    <w:rsid w:val="00963130"/>
    <w:rsid w:val="00964475"/>
    <w:rsid w:val="00964902"/>
    <w:rsid w:val="0097346A"/>
    <w:rsid w:val="009773A0"/>
    <w:rsid w:val="00983016"/>
    <w:rsid w:val="0099005B"/>
    <w:rsid w:val="00996D09"/>
    <w:rsid w:val="009979F5"/>
    <w:rsid w:val="009A1D5E"/>
    <w:rsid w:val="009A388F"/>
    <w:rsid w:val="009A6F44"/>
    <w:rsid w:val="009B7DB9"/>
    <w:rsid w:val="009C5D86"/>
    <w:rsid w:val="009C66A6"/>
    <w:rsid w:val="009E2155"/>
    <w:rsid w:val="009F33A9"/>
    <w:rsid w:val="00A31CC3"/>
    <w:rsid w:val="00A34FF0"/>
    <w:rsid w:val="00A4155C"/>
    <w:rsid w:val="00A41D8D"/>
    <w:rsid w:val="00A43644"/>
    <w:rsid w:val="00A46848"/>
    <w:rsid w:val="00A46A0B"/>
    <w:rsid w:val="00A55F5D"/>
    <w:rsid w:val="00A762E1"/>
    <w:rsid w:val="00A80344"/>
    <w:rsid w:val="00A81823"/>
    <w:rsid w:val="00A820EE"/>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7EA4"/>
    <w:rsid w:val="00B0039B"/>
    <w:rsid w:val="00B1795D"/>
    <w:rsid w:val="00B22C2C"/>
    <w:rsid w:val="00B356B5"/>
    <w:rsid w:val="00B40A33"/>
    <w:rsid w:val="00B42A8D"/>
    <w:rsid w:val="00B43525"/>
    <w:rsid w:val="00B65A98"/>
    <w:rsid w:val="00B73290"/>
    <w:rsid w:val="00B74B5F"/>
    <w:rsid w:val="00B75939"/>
    <w:rsid w:val="00B762C1"/>
    <w:rsid w:val="00B86005"/>
    <w:rsid w:val="00B87E59"/>
    <w:rsid w:val="00B97D99"/>
    <w:rsid w:val="00BA3084"/>
    <w:rsid w:val="00BA4B19"/>
    <w:rsid w:val="00BB0C49"/>
    <w:rsid w:val="00BB386E"/>
    <w:rsid w:val="00BB5551"/>
    <w:rsid w:val="00BB6866"/>
    <w:rsid w:val="00BB756D"/>
    <w:rsid w:val="00BD5B82"/>
    <w:rsid w:val="00BE6B00"/>
    <w:rsid w:val="00BF2E23"/>
    <w:rsid w:val="00BF4DDD"/>
    <w:rsid w:val="00BF7CE2"/>
    <w:rsid w:val="00C1506D"/>
    <w:rsid w:val="00C15610"/>
    <w:rsid w:val="00C15AB2"/>
    <w:rsid w:val="00C3192D"/>
    <w:rsid w:val="00C42D9B"/>
    <w:rsid w:val="00C468C9"/>
    <w:rsid w:val="00C50AF2"/>
    <w:rsid w:val="00C5672B"/>
    <w:rsid w:val="00C617D2"/>
    <w:rsid w:val="00C64D3D"/>
    <w:rsid w:val="00C65FB8"/>
    <w:rsid w:val="00C6627A"/>
    <w:rsid w:val="00C70ACD"/>
    <w:rsid w:val="00C74F46"/>
    <w:rsid w:val="00C8381A"/>
    <w:rsid w:val="00C86737"/>
    <w:rsid w:val="00CA13B8"/>
    <w:rsid w:val="00CA5C0F"/>
    <w:rsid w:val="00CB0D2F"/>
    <w:rsid w:val="00CC3F21"/>
    <w:rsid w:val="00CC60D3"/>
    <w:rsid w:val="00CC7D6E"/>
    <w:rsid w:val="00CD0E98"/>
    <w:rsid w:val="00CE00DF"/>
    <w:rsid w:val="00CE1490"/>
    <w:rsid w:val="00CE66F8"/>
    <w:rsid w:val="00CF2DF7"/>
    <w:rsid w:val="00CF5347"/>
    <w:rsid w:val="00CF5D04"/>
    <w:rsid w:val="00D0442F"/>
    <w:rsid w:val="00D06C1D"/>
    <w:rsid w:val="00D10CB8"/>
    <w:rsid w:val="00D11DF8"/>
    <w:rsid w:val="00D2174E"/>
    <w:rsid w:val="00D2446E"/>
    <w:rsid w:val="00D36FAC"/>
    <w:rsid w:val="00D43B0F"/>
    <w:rsid w:val="00D46A87"/>
    <w:rsid w:val="00D73091"/>
    <w:rsid w:val="00D76E0D"/>
    <w:rsid w:val="00D83094"/>
    <w:rsid w:val="00D830DB"/>
    <w:rsid w:val="00D90E61"/>
    <w:rsid w:val="00DB147A"/>
    <w:rsid w:val="00DB2E20"/>
    <w:rsid w:val="00DB3F88"/>
    <w:rsid w:val="00DC365D"/>
    <w:rsid w:val="00DC4756"/>
    <w:rsid w:val="00DC5AD6"/>
    <w:rsid w:val="00DD078F"/>
    <w:rsid w:val="00DD195E"/>
    <w:rsid w:val="00DD22CA"/>
    <w:rsid w:val="00DD33B7"/>
    <w:rsid w:val="00DE2863"/>
    <w:rsid w:val="00DE30B0"/>
    <w:rsid w:val="00DE46EC"/>
    <w:rsid w:val="00DF6CC5"/>
    <w:rsid w:val="00E014A4"/>
    <w:rsid w:val="00E04F94"/>
    <w:rsid w:val="00E05656"/>
    <w:rsid w:val="00E11551"/>
    <w:rsid w:val="00E200CB"/>
    <w:rsid w:val="00E41760"/>
    <w:rsid w:val="00E43A56"/>
    <w:rsid w:val="00E458C6"/>
    <w:rsid w:val="00E56AD1"/>
    <w:rsid w:val="00E67227"/>
    <w:rsid w:val="00E73C01"/>
    <w:rsid w:val="00E740C5"/>
    <w:rsid w:val="00E75082"/>
    <w:rsid w:val="00E76FCD"/>
    <w:rsid w:val="00E77B1C"/>
    <w:rsid w:val="00E86A95"/>
    <w:rsid w:val="00E87952"/>
    <w:rsid w:val="00E87EDE"/>
    <w:rsid w:val="00E90DAB"/>
    <w:rsid w:val="00E92991"/>
    <w:rsid w:val="00E9619C"/>
    <w:rsid w:val="00E9713C"/>
    <w:rsid w:val="00EA5747"/>
    <w:rsid w:val="00EA5845"/>
    <w:rsid w:val="00EB581E"/>
    <w:rsid w:val="00EC2460"/>
    <w:rsid w:val="00EC48E0"/>
    <w:rsid w:val="00EC7AF4"/>
    <w:rsid w:val="00ED57A0"/>
    <w:rsid w:val="00EE04EE"/>
    <w:rsid w:val="00EE0B47"/>
    <w:rsid w:val="00EE350B"/>
    <w:rsid w:val="00EE7BBD"/>
    <w:rsid w:val="00EF57E7"/>
    <w:rsid w:val="00EF718F"/>
    <w:rsid w:val="00F03A11"/>
    <w:rsid w:val="00F03D1D"/>
    <w:rsid w:val="00F069A0"/>
    <w:rsid w:val="00F07403"/>
    <w:rsid w:val="00F103F3"/>
    <w:rsid w:val="00F1171B"/>
    <w:rsid w:val="00F12A1B"/>
    <w:rsid w:val="00F25C90"/>
    <w:rsid w:val="00F3002D"/>
    <w:rsid w:val="00F3175C"/>
    <w:rsid w:val="00F354A5"/>
    <w:rsid w:val="00F37F9E"/>
    <w:rsid w:val="00F40881"/>
    <w:rsid w:val="00F414BA"/>
    <w:rsid w:val="00F57415"/>
    <w:rsid w:val="00F67C78"/>
    <w:rsid w:val="00F710FB"/>
    <w:rsid w:val="00F833AF"/>
    <w:rsid w:val="00F963CC"/>
    <w:rsid w:val="00F97E5C"/>
    <w:rsid w:val="00FA059D"/>
    <w:rsid w:val="00FA0EC2"/>
    <w:rsid w:val="00FA68F1"/>
    <w:rsid w:val="00FA6A5D"/>
    <w:rsid w:val="00FA7749"/>
    <w:rsid w:val="00FB0B42"/>
    <w:rsid w:val="00FC05A3"/>
    <w:rsid w:val="00FD2030"/>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5356</Words>
  <Characters>30531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4</cp:revision>
  <cp:lastPrinted>2022-04-09T12:45:00Z</cp:lastPrinted>
  <dcterms:created xsi:type="dcterms:W3CDTF">2022-04-09T12:45:00Z</dcterms:created>
  <dcterms:modified xsi:type="dcterms:W3CDTF">2022-04-09T12:46:00Z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id="XVKuShlf"/&gt;&lt;style id="http://www.zotero.org/styles/ieee" locale="en-US" hasBibliography="1" bibliographyStyleHasBeenSet="1"/&gt;&lt;prefs&gt;&lt;pref name="fieldType" value="Field"/&gt;&lt;/prefs&gt;&lt;/data&gt;</vt:lpwstr>
  </property>
</Properties>
</file>