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E3693F"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07AD77DE" w14:textId="15D699BC"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D4757">
      <w:r w:rsidRPr="001C0F2A">
        <w:t>ER (rough and smooth)</w:t>
      </w:r>
    </w:p>
    <w:p w14:paraId="41CDFDDC" w14:textId="21A150CB" w:rsidR="001C0F2A" w:rsidRPr="001C0F2A" w:rsidRDefault="001C0F2A" w:rsidP="002D4757">
      <w:r w:rsidRPr="001C0F2A">
        <w:t>Golgi complex</w:t>
      </w:r>
    </w:p>
    <w:p w14:paraId="0E6BD3C6" w14:textId="6D68EF41" w:rsidR="001C0F2A" w:rsidRPr="001C0F2A" w:rsidRDefault="001C0F2A" w:rsidP="002D4757">
      <w:r w:rsidRPr="001C0F2A">
        <w:t>Vacuoles</w:t>
      </w:r>
    </w:p>
    <w:p w14:paraId="040FB5A8" w14:textId="69BD7351" w:rsidR="001C0F2A" w:rsidRPr="001C0F2A" w:rsidRDefault="001C0F2A" w:rsidP="002D4757">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w:t>
      </w:r>
      <w:r w:rsidR="00505AE4">
        <w:lastRenderedPageBreak/>
        <w:t xml:space="preserve">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DD3325">
      <w:pPr>
        <w:pStyle w:val="Heading2"/>
      </w:pPr>
      <w:r>
        <w:t xml:space="preserve">Module 6 – Membrane Transport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0B24DC13" w:rsidR="00A45870" w:rsidRDefault="00A02208" w:rsidP="00DD3325">
      <w:r>
        <w:t>Small h</w:t>
      </w:r>
      <w:r w:rsidR="00B537BA">
        <w:t xml:space="preserve">ydrophobic molecules </w:t>
      </w:r>
      <w:r>
        <w:t>including</w:t>
      </w:r>
      <w:r w:rsidR="00E844DD">
        <w:t xml:space="preserve">, uncharged and no polar </w:t>
      </w:r>
      <w:r>
        <w:t>molecules (oils, steroids)</w:t>
      </w:r>
      <w:r w:rsidR="00314F9F">
        <w:t xml:space="preserve">, </w:t>
      </w:r>
      <w:r w:rsidR="00314F9F">
        <w:t xml:space="preserve">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31561C88" w:rsidR="00E844DD" w:rsidRDefault="00E844DD" w:rsidP="00DD3325">
      <w:r>
        <w:t xml:space="preserve">Which are due to a mixture of </w:t>
      </w:r>
      <w:proofErr w:type="spellStart"/>
      <w:r>
        <w:t>unsatured</w:t>
      </w:r>
      <w:proofErr w:type="spellEnd"/>
      <w:r>
        <w:t xml:space="preserve"> or saturated fatty acid</w:t>
      </w:r>
      <w:r w:rsidR="0085247D">
        <w:t>s tails in both f the monolayers of the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236605" w:rsidP="00DD3325">
      <w:hyperlink r:id="rId9" w:history="1">
        <w:r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w:t>
      </w:r>
      <w:r w:rsidR="00022486">
        <w:lastRenderedPageBreak/>
        <w:t xml:space="preserve">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688E74F5" w:rsidR="00204375" w:rsidRDefault="000D417B" w:rsidP="00DD3325">
      <w:r>
        <w:t xml:space="preserve">In facilitated diffusion, integral membrane proteins move polar 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77777777" w:rsidR="00E3693F" w:rsidRPr="00DD3325" w:rsidRDefault="00E3693F" w:rsidP="00DD3325"/>
    <w:sectPr w:rsidR="00E3693F" w:rsidRPr="00DD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14"/>
  </w:num>
  <w:num w:numId="6">
    <w:abstractNumId w:val="4"/>
  </w:num>
  <w:num w:numId="7">
    <w:abstractNumId w:val="8"/>
  </w:num>
  <w:num w:numId="8">
    <w:abstractNumId w:val="2"/>
  </w:num>
  <w:num w:numId="9">
    <w:abstractNumId w:val="10"/>
  </w:num>
  <w:num w:numId="10">
    <w:abstractNumId w:val="7"/>
  </w:num>
  <w:num w:numId="11">
    <w:abstractNumId w:val="12"/>
  </w:num>
  <w:num w:numId="12">
    <w:abstractNumId w:val="11"/>
  </w:num>
  <w:num w:numId="13">
    <w:abstractNumId w:val="13"/>
  </w:num>
  <w:num w:numId="14">
    <w:abstractNumId w:val="5"/>
  </w:num>
  <w:num w:numId="1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2486"/>
    <w:rsid w:val="00023C13"/>
    <w:rsid w:val="00024E50"/>
    <w:rsid w:val="00030706"/>
    <w:rsid w:val="000326E1"/>
    <w:rsid w:val="00034FB3"/>
    <w:rsid w:val="000379C4"/>
    <w:rsid w:val="000415DC"/>
    <w:rsid w:val="00042A74"/>
    <w:rsid w:val="00051497"/>
    <w:rsid w:val="000526D5"/>
    <w:rsid w:val="00065673"/>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3D2A"/>
    <w:rsid w:val="001772B2"/>
    <w:rsid w:val="00194D70"/>
    <w:rsid w:val="0019682D"/>
    <w:rsid w:val="001A0F69"/>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1252B"/>
    <w:rsid w:val="00212F2B"/>
    <w:rsid w:val="00225301"/>
    <w:rsid w:val="00236605"/>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4F9F"/>
    <w:rsid w:val="00317F71"/>
    <w:rsid w:val="00323FE9"/>
    <w:rsid w:val="00330CD5"/>
    <w:rsid w:val="0033665C"/>
    <w:rsid w:val="0034123E"/>
    <w:rsid w:val="003423F1"/>
    <w:rsid w:val="003441FA"/>
    <w:rsid w:val="00346E05"/>
    <w:rsid w:val="003511FE"/>
    <w:rsid w:val="003517C2"/>
    <w:rsid w:val="003520AB"/>
    <w:rsid w:val="00352395"/>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566B"/>
    <w:rsid w:val="00501865"/>
    <w:rsid w:val="00502156"/>
    <w:rsid w:val="00505AE4"/>
    <w:rsid w:val="00506519"/>
    <w:rsid w:val="005156DE"/>
    <w:rsid w:val="00515BA4"/>
    <w:rsid w:val="00521144"/>
    <w:rsid w:val="00531914"/>
    <w:rsid w:val="00535579"/>
    <w:rsid w:val="005361AF"/>
    <w:rsid w:val="005434C8"/>
    <w:rsid w:val="00552659"/>
    <w:rsid w:val="0056024F"/>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4C79"/>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5247D"/>
    <w:rsid w:val="0086146A"/>
    <w:rsid w:val="00863F2B"/>
    <w:rsid w:val="00867560"/>
    <w:rsid w:val="0087081D"/>
    <w:rsid w:val="008713DA"/>
    <w:rsid w:val="00871C98"/>
    <w:rsid w:val="00873491"/>
    <w:rsid w:val="00874DC9"/>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357E"/>
    <w:rsid w:val="00AB008A"/>
    <w:rsid w:val="00AB4E89"/>
    <w:rsid w:val="00AB5DD3"/>
    <w:rsid w:val="00AC3434"/>
    <w:rsid w:val="00AC5A5F"/>
    <w:rsid w:val="00AD5836"/>
    <w:rsid w:val="00AD758F"/>
    <w:rsid w:val="00AE095E"/>
    <w:rsid w:val="00AE237F"/>
    <w:rsid w:val="00AF2209"/>
    <w:rsid w:val="00AF5047"/>
    <w:rsid w:val="00B0645F"/>
    <w:rsid w:val="00B216EA"/>
    <w:rsid w:val="00B25259"/>
    <w:rsid w:val="00B25EA9"/>
    <w:rsid w:val="00B415BE"/>
    <w:rsid w:val="00B4654E"/>
    <w:rsid w:val="00B537BA"/>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82D45"/>
    <w:rsid w:val="00D978D8"/>
    <w:rsid w:val="00DA2023"/>
    <w:rsid w:val="00DA4CC0"/>
    <w:rsid w:val="00DB4416"/>
    <w:rsid w:val="00DC2A9B"/>
    <w:rsid w:val="00DC390D"/>
    <w:rsid w:val="00DD0D9C"/>
    <w:rsid w:val="00DD20E5"/>
    <w:rsid w:val="00DD332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F319D"/>
    <w:rsid w:val="00EF45E2"/>
    <w:rsid w:val="00EF49DF"/>
    <w:rsid w:val="00EF5D03"/>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7099B"/>
    <w:rsid w:val="00F72A76"/>
    <w:rsid w:val="00F73035"/>
    <w:rsid w:val="00F741BE"/>
    <w:rsid w:val="00F82817"/>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13</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428</cp:revision>
  <dcterms:created xsi:type="dcterms:W3CDTF">2022-01-25T00:20:00Z</dcterms:created>
  <dcterms:modified xsi:type="dcterms:W3CDTF">2022-03-06T17:06:00Z</dcterms:modified>
</cp:coreProperties>
</file>