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E9F3D" w14:textId="77777777" w:rsidR="008F561D" w:rsidRDefault="008F561D" w:rsidP="008F561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Cancer cells produce cytokines and chemokines that attract a diverse population of immune cells, including macrophages, neutrophils, and lymphocytes, although other cell types may also be present. However, persistent activation of the immune system and failure of the inflammatory response to resolve can lead to chronic inflammation, which promotes tumor growth.</w:t>
      </w:r>
      <w:r>
        <w:rPr>
          <w:rStyle w:val="eop"/>
          <w:rFonts w:ascii="Arial" w:hAnsi="Arial" w:cs="Arial"/>
          <w:color w:val="000000"/>
          <w:sz w:val="22"/>
          <w:szCs w:val="22"/>
        </w:rPr>
        <w:t> </w:t>
      </w:r>
    </w:p>
    <w:p w14:paraId="31CFA919" w14:textId="2A203461" w:rsidR="008F561D" w:rsidRDefault="008F561D" w:rsidP="008F561D">
      <w:pPr>
        <w:pStyle w:val="paragraph"/>
        <w:spacing w:before="0" w:beforeAutospacing="0" w:after="0" w:afterAutospacing="0"/>
        <w:textAlignment w:val="baseline"/>
        <w:rPr>
          <w:rStyle w:val="eop"/>
          <w:rFonts w:ascii="Arial" w:hAnsi="Arial" w:cs="Arial"/>
          <w:color w:val="000000"/>
          <w:sz w:val="22"/>
          <w:szCs w:val="22"/>
        </w:rPr>
      </w:pPr>
      <w:r>
        <w:rPr>
          <w:rStyle w:val="normaltextrun"/>
          <w:rFonts w:ascii="Arial" w:hAnsi="Arial" w:cs="Arial"/>
          <w:color w:val="000000"/>
          <w:sz w:val="22"/>
          <w:szCs w:val="22"/>
        </w:rPr>
        <w:t>The intricate interplay between tumor and immune cells in the microenvironment leads to the production of a wide variety of cytokines and growth factors that foster tumor cell proliferation, survival, and metastasis. The complex nature of this communication highlights the significant impact that immune cells have in the tumor microenvironment, with both pro-tumoral and anti-cancer roles.</w:t>
      </w:r>
      <w:r>
        <w:rPr>
          <w:rStyle w:val="eop"/>
          <w:rFonts w:ascii="Arial" w:hAnsi="Arial" w:cs="Arial"/>
          <w:color w:val="000000"/>
          <w:sz w:val="22"/>
          <w:szCs w:val="22"/>
        </w:rPr>
        <w:t> </w:t>
      </w:r>
    </w:p>
    <w:p w14:paraId="30863399" w14:textId="77777777" w:rsidR="008F561D" w:rsidRDefault="008F561D" w:rsidP="008F561D">
      <w:pPr>
        <w:pStyle w:val="paragraph"/>
        <w:spacing w:before="0" w:beforeAutospacing="0" w:after="0" w:afterAutospacing="0"/>
        <w:textAlignment w:val="baseline"/>
        <w:rPr>
          <w:rFonts w:ascii="Segoe UI" w:hAnsi="Segoe UI" w:cs="Segoe UI"/>
          <w:sz w:val="18"/>
          <w:szCs w:val="18"/>
        </w:rPr>
      </w:pPr>
    </w:p>
    <w:p w14:paraId="0696F7EF" w14:textId="419A7ED9" w:rsidR="008F561D" w:rsidRDefault="008F561D" w:rsidP="008F561D">
      <w:pPr>
        <w:pStyle w:val="paragraph"/>
        <w:spacing w:before="0" w:beforeAutospacing="0" w:after="0" w:afterAutospacing="0"/>
        <w:textAlignment w:val="baseline"/>
        <w:rPr>
          <w:rStyle w:val="eop"/>
          <w:rFonts w:ascii="Arial" w:hAnsi="Arial" w:cs="Arial"/>
          <w:color w:val="000000"/>
          <w:sz w:val="22"/>
          <w:szCs w:val="22"/>
        </w:rPr>
      </w:pPr>
      <w:r>
        <w:rPr>
          <w:rStyle w:val="normaltextrun"/>
          <w:rFonts w:ascii="Arial" w:hAnsi="Arial" w:cs="Arial"/>
          <w:color w:val="000000"/>
          <w:sz w:val="22"/>
          <w:szCs w:val="22"/>
        </w:rPr>
        <w:t>Recent studies have shown that accounting for the heterogeneity of immune cell infiltration can result in more sensitive survival analyses and more accurate tumor subtype predictions. Ongoing research is focused on the role of infiltrating lymphocytes and other immune cells in the tumor microenvironment.</w:t>
      </w:r>
      <w:r>
        <w:rPr>
          <w:rStyle w:val="eop"/>
          <w:rFonts w:ascii="Arial" w:hAnsi="Arial" w:cs="Arial"/>
          <w:color w:val="000000"/>
          <w:sz w:val="22"/>
          <w:szCs w:val="22"/>
        </w:rPr>
        <w:t> </w:t>
      </w:r>
    </w:p>
    <w:p w14:paraId="5F01110A" w14:textId="77777777" w:rsidR="008F561D" w:rsidRDefault="008F561D" w:rsidP="008F561D">
      <w:pPr>
        <w:pStyle w:val="paragraph"/>
        <w:spacing w:before="0" w:beforeAutospacing="0" w:after="0" w:afterAutospacing="0"/>
        <w:textAlignment w:val="baseline"/>
        <w:rPr>
          <w:rFonts w:ascii="Segoe UI" w:hAnsi="Segoe UI" w:cs="Segoe UI"/>
          <w:sz w:val="18"/>
          <w:szCs w:val="18"/>
        </w:rPr>
      </w:pPr>
    </w:p>
    <w:p w14:paraId="68B23123" w14:textId="77777777" w:rsidR="008F561D" w:rsidRDefault="008F561D" w:rsidP="008F561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Myeloid cells such as macrophages, monocytes, dendritic cells, neutrophils, basophils, and eosinophils are frequently found in the stroma of various tumors. Their presence can affect the effectiveness of different types of cancer treatments.</w:t>
      </w:r>
      <w:r>
        <w:rPr>
          <w:rStyle w:val="eop"/>
          <w:rFonts w:ascii="Arial" w:hAnsi="Arial" w:cs="Arial"/>
          <w:color w:val="000000"/>
          <w:sz w:val="22"/>
          <w:szCs w:val="22"/>
        </w:rPr>
        <w:t> </w:t>
      </w:r>
    </w:p>
    <w:p w14:paraId="1713F717" w14:textId="77777777" w:rsidR="008F561D" w:rsidRDefault="008F561D" w:rsidP="008F561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Recent advances in single-cell RNA sequencing and flow cytometry have enabled the identification of various immune cell populations. As a result, numerous methodologies have been proposed to infer the proportions, or deconvolve, individual cell types from bulk RNA-seq samples.</w:t>
      </w:r>
      <w:r>
        <w:rPr>
          <w:rStyle w:val="eop"/>
          <w:rFonts w:ascii="Arial" w:hAnsi="Arial" w:cs="Arial"/>
          <w:color w:val="000000"/>
          <w:sz w:val="22"/>
          <w:szCs w:val="22"/>
        </w:rPr>
        <w:t> </w:t>
      </w:r>
    </w:p>
    <w:p w14:paraId="2210F492" w14:textId="77777777" w:rsidR="008F561D" w:rsidRDefault="008F561D" w:rsidP="008F561D">
      <w:pPr>
        <w:pStyle w:val="paragraph"/>
        <w:spacing w:before="0" w:beforeAutospacing="0" w:after="0" w:afterAutospacing="0"/>
        <w:textAlignment w:val="baseline"/>
        <w:rPr>
          <w:rStyle w:val="normaltextrun"/>
          <w:rFonts w:ascii="Arial" w:hAnsi="Arial" w:cs="Arial"/>
          <w:color w:val="000000"/>
          <w:sz w:val="22"/>
          <w:szCs w:val="22"/>
        </w:rPr>
      </w:pPr>
    </w:p>
    <w:p w14:paraId="73FAEBFE" w14:textId="46F78E0A" w:rsidR="008F561D" w:rsidRDefault="008F561D" w:rsidP="008F561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However, several studies have highlighted the crucial role of factors such as data transformations, scaling/normalization, cell type composition, cell type specific marker selection and choice of methodology on the accuracy of deconvolution results.</w:t>
      </w:r>
      <w:r>
        <w:rPr>
          <w:rStyle w:val="eop"/>
          <w:rFonts w:ascii="Arial" w:hAnsi="Arial" w:cs="Arial"/>
          <w:color w:val="000000"/>
          <w:sz w:val="22"/>
          <w:szCs w:val="22"/>
        </w:rPr>
        <w:t> </w:t>
      </w:r>
    </w:p>
    <w:p w14:paraId="7C3C69C7" w14:textId="77777777" w:rsidR="008F561D" w:rsidRDefault="008F561D" w:rsidP="008F561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 xml:space="preserve">We will evaluate the impacts of these different factors on the most recent deconvolution methods: MuSiC2, </w:t>
      </w:r>
      <w:proofErr w:type="gramStart"/>
      <w:r>
        <w:rPr>
          <w:rStyle w:val="normaltextrun"/>
          <w:rFonts w:ascii="Arial" w:hAnsi="Arial" w:cs="Arial"/>
          <w:color w:val="000000"/>
          <w:sz w:val="22"/>
          <w:szCs w:val="22"/>
        </w:rPr>
        <w:t>EPIC ,</w:t>
      </w:r>
      <w:proofErr w:type="gramEnd"/>
      <w:r>
        <w:rPr>
          <w:rStyle w:val="normaltextrun"/>
          <w:rFonts w:ascii="Arial" w:hAnsi="Arial" w:cs="Arial"/>
          <w:color w:val="000000"/>
          <w:sz w:val="22"/>
          <w:szCs w:val="22"/>
        </w:rPr>
        <w:t xml:space="preserve"> </w:t>
      </w:r>
      <w:proofErr w:type="spellStart"/>
      <w:r>
        <w:rPr>
          <w:rStyle w:val="normaltextrun"/>
          <w:rFonts w:ascii="Arial" w:hAnsi="Arial" w:cs="Arial"/>
          <w:color w:val="000000"/>
          <w:sz w:val="22"/>
          <w:szCs w:val="22"/>
        </w:rPr>
        <w:t>BisqueRNA</w:t>
      </w:r>
      <w:proofErr w:type="spellEnd"/>
      <w:r>
        <w:rPr>
          <w:rStyle w:val="normaltextrun"/>
          <w:rFonts w:ascii="Arial" w:hAnsi="Arial" w:cs="Arial"/>
          <w:color w:val="000000"/>
          <w:sz w:val="22"/>
          <w:szCs w:val="22"/>
        </w:rPr>
        <w:t xml:space="preserve">, </w:t>
      </w:r>
      <w:proofErr w:type="spellStart"/>
      <w:r>
        <w:rPr>
          <w:rStyle w:val="normaltextrun"/>
          <w:rFonts w:ascii="Arial" w:hAnsi="Arial" w:cs="Arial"/>
          <w:sz w:val="22"/>
          <w:szCs w:val="22"/>
        </w:rPr>
        <w:t>deconvSeq</w:t>
      </w:r>
      <w:proofErr w:type="spellEnd"/>
      <w:r>
        <w:rPr>
          <w:rStyle w:val="normaltextrun"/>
          <w:rFonts w:ascii="Arial" w:hAnsi="Arial" w:cs="Arial"/>
          <w:sz w:val="22"/>
          <w:szCs w:val="22"/>
        </w:rPr>
        <w:t xml:space="preserve">, SCDC, FARDEEP, </w:t>
      </w:r>
      <w:proofErr w:type="spellStart"/>
      <w:r>
        <w:rPr>
          <w:rStyle w:val="normaltextrun"/>
          <w:rFonts w:ascii="Arial" w:hAnsi="Arial" w:cs="Arial"/>
          <w:sz w:val="22"/>
          <w:szCs w:val="22"/>
        </w:rPr>
        <w:t>DeconvRNASeq</w:t>
      </w:r>
      <w:proofErr w:type="spellEnd"/>
      <w:r>
        <w:rPr>
          <w:rStyle w:val="normaltextrun"/>
          <w:rFonts w:ascii="Arial" w:hAnsi="Arial" w:cs="Arial"/>
          <w:sz w:val="22"/>
          <w:szCs w:val="22"/>
        </w:rPr>
        <w:t xml:space="preserve"> (list subject to changes)</w:t>
      </w:r>
      <w:r>
        <w:rPr>
          <w:rStyle w:val="normaltextrun"/>
          <w:rFonts w:ascii="Arial" w:hAnsi="Arial" w:cs="Arial"/>
          <w:color w:val="000000"/>
          <w:sz w:val="22"/>
          <w:szCs w:val="22"/>
        </w:rPr>
        <w:t>.</w:t>
      </w:r>
      <w:r>
        <w:rPr>
          <w:rStyle w:val="eop"/>
          <w:rFonts w:ascii="Arial" w:hAnsi="Arial" w:cs="Arial"/>
          <w:color w:val="000000"/>
          <w:sz w:val="22"/>
          <w:szCs w:val="22"/>
        </w:rPr>
        <w:t> </w:t>
      </w:r>
    </w:p>
    <w:p w14:paraId="68E80871" w14:textId="77777777" w:rsidR="008F561D" w:rsidRDefault="008F561D" w:rsidP="008F561D">
      <w:pPr>
        <w:pStyle w:val="paragraph"/>
        <w:spacing w:before="0" w:beforeAutospacing="0" w:after="0" w:afterAutospacing="0"/>
        <w:textAlignment w:val="baseline"/>
        <w:rPr>
          <w:rStyle w:val="normaltextrun"/>
          <w:rFonts w:ascii="Arial" w:hAnsi="Arial" w:cs="Arial"/>
          <w:color w:val="000000"/>
          <w:sz w:val="22"/>
          <w:szCs w:val="22"/>
        </w:rPr>
      </w:pPr>
    </w:p>
    <w:p w14:paraId="34B2F6E6" w14:textId="7F833DD5" w:rsidR="008F561D" w:rsidRDefault="008F561D" w:rsidP="008F561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Our approach will start by identifying relevant single-cell RNA-seq datasets to extract cell type-specific expression values and cell-type proportions. We will search for these datasets on platforms such as Gene Expression Omnibus (GEO), The Single Cell Portal, or in specific past research. Alternatively, we may use deconvolution tools that provide both single cell and bulk RNA-seq datasets.</w:t>
      </w:r>
      <w:r>
        <w:rPr>
          <w:rStyle w:val="eop"/>
          <w:rFonts w:ascii="Arial" w:hAnsi="Arial" w:cs="Arial"/>
          <w:color w:val="000000"/>
          <w:sz w:val="22"/>
          <w:szCs w:val="22"/>
        </w:rPr>
        <w:t> </w:t>
      </w:r>
    </w:p>
    <w:p w14:paraId="06DD9473" w14:textId="77777777" w:rsidR="008F561D" w:rsidRDefault="008F561D" w:rsidP="008F561D">
      <w:pPr>
        <w:pStyle w:val="paragraph"/>
        <w:spacing w:before="0" w:beforeAutospacing="0" w:after="0" w:afterAutospacing="0"/>
        <w:textAlignment w:val="baseline"/>
        <w:rPr>
          <w:rStyle w:val="normaltextrun"/>
          <w:rFonts w:ascii="Arial" w:hAnsi="Arial" w:cs="Arial"/>
          <w:color w:val="000000"/>
          <w:sz w:val="22"/>
          <w:szCs w:val="22"/>
        </w:rPr>
      </w:pPr>
    </w:p>
    <w:p w14:paraId="50B695EB" w14:textId="2898BED4" w:rsidR="008F561D" w:rsidRDefault="008F561D" w:rsidP="008F561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Next, we will obtain bulk tumor data for a specific cancer type from the Cancer Genome Atlas data portal (TCGA). Accurately determining immune cell-type proportions in bulk samples can be challenging, so we will generate pseudo-bulk mixtures with known compositions. Additionally, we will explore the possibility of creating a tool that uses signature of genes highly correlated with immune infiltration levels in different cancer types and differentially expressed in both types of datasets, rather than relying on the expression of immune cells.</w:t>
      </w:r>
      <w:r>
        <w:rPr>
          <w:rStyle w:val="eop"/>
          <w:rFonts w:ascii="Arial" w:hAnsi="Arial" w:cs="Arial"/>
          <w:color w:val="000000"/>
          <w:sz w:val="22"/>
          <w:szCs w:val="22"/>
        </w:rPr>
        <w:t> </w:t>
      </w:r>
    </w:p>
    <w:p w14:paraId="07A23356" w14:textId="77777777" w:rsidR="008F561D" w:rsidRDefault="008F561D" w:rsidP="008F561D">
      <w:pPr>
        <w:pStyle w:val="paragraph"/>
        <w:spacing w:before="0" w:beforeAutospacing="0" w:after="0" w:afterAutospacing="0"/>
        <w:textAlignment w:val="baseline"/>
        <w:rPr>
          <w:rFonts w:ascii="Segoe UI" w:hAnsi="Segoe UI" w:cs="Segoe UI"/>
          <w:sz w:val="18"/>
          <w:szCs w:val="18"/>
        </w:rPr>
      </w:pPr>
      <w:r>
        <w:rPr>
          <w:rStyle w:val="scxw136904578"/>
          <w:rFonts w:ascii="Calibri" w:hAnsi="Calibri" w:cs="Calibri"/>
          <w:sz w:val="22"/>
          <w:szCs w:val="22"/>
        </w:rPr>
        <w:t> </w:t>
      </w:r>
      <w:r>
        <w:rPr>
          <w:rFonts w:ascii="Calibri" w:hAnsi="Calibri" w:cs="Calibri"/>
          <w:sz w:val="22"/>
          <w:szCs w:val="22"/>
        </w:rPr>
        <w:br/>
      </w:r>
      <w:r>
        <w:rPr>
          <w:rStyle w:val="normaltextrun"/>
          <w:rFonts w:ascii="Arial" w:hAnsi="Arial" w:cs="Arial"/>
          <w:color w:val="000000"/>
          <w:sz w:val="22"/>
          <w:szCs w:val="22"/>
        </w:rPr>
        <w:t>To evaluate the performance of each deconvolution method, we will measure correlation coefficients and root-mean-square error (RMSE) between the estimated immune cell-type compositions and the known compositions from TCGA datasets or he pseudo-bulk mixtures. Finally, we will also statistically validate the significance of our results.</w:t>
      </w:r>
      <w:r>
        <w:rPr>
          <w:rStyle w:val="eop"/>
          <w:rFonts w:ascii="Arial" w:hAnsi="Arial" w:cs="Arial"/>
          <w:color w:val="000000"/>
          <w:sz w:val="22"/>
          <w:szCs w:val="22"/>
        </w:rPr>
        <w:t> </w:t>
      </w:r>
    </w:p>
    <w:p w14:paraId="1EED319E" w14:textId="1289FF2D" w:rsidR="009F2877" w:rsidRDefault="009F2877"/>
    <w:p w14:paraId="530F0FF4" w14:textId="2C997DE6" w:rsidR="00844DE8" w:rsidRDefault="00844DE8">
      <w:r>
        <w:fldChar w:fldCharType="begin"/>
      </w:r>
      <w:r>
        <w:instrText xml:space="preserve"> ADDIN ZOTERO_ITEM CSL_CITATION {"citationID":"r65IUy3z","properties":{"formattedCitation":"(Wang et al.)","plainCitation":"(Wang et al.)","noteIndex":0},"citationItems":[{"id":6163,"uris":["http://zotero.org/users/7286058/items/QAKMAGVY"],"itemData":{"id":6163,"type":"article-journal","abstract":"When assessed over a large number of samples, bulk RNA sequencing provides reliable data for gene expression at the tissue level. Single-cell RNA sequencing (scRNA-seq) deepens those analyses by evaluating gene expression at the cellular level. Both data types lend insights into disease etiology. With current technologies, however, scRNA-seq data are known to be noisy. Moreover, constrained by costs, scRNA-seq data are typically generated from a relatively small number of subjects, which limits their utility for some analyses, such as identiﬁcation of gene expression quantitative trait loci (eQTLs). To address these issues, while maintaining the unique advantages of each data type, we develop a Bayesian method (bMIND) to integrate bulk and scRNA-seq data. With a prior derived from scRNA-seq data, we propose to estimate samplelevel cell type-speciﬁc (CTS) expression from bulk expression data. The CTS expression enables large-scale sample-level downstream analyses, such as detection of CTS diﬀerentially expressed genes (DEGs) and eQTLs. Through simulations, we demonstrate that bMIND improves the accuracy of sample-level CTS expression estimates and power to discover CTS-DEGs when compared to existing methods. To further our understanding of two complex phenotypes, autism spectrum disorder and Alzheimer’s disease, we apply bMIND to gene expression data of relevant brain tissue to identify CTS-DEGs. Our results complement ﬁndings for CTS-DEGs obtained from snRNA-seq studies, replicating certain DEGs in speciﬁc cell types while nominating other novel genes for those cell types. Finally, we calculate CTS-eQTLs for eleven brain regions by analyzing Genotype-Tissue Expression Project data, creating a new resource for biological insights.","container-title":"Genome Research","DOI":"10.1101/gr.268722.120","ISSN":"1088-9051, 1549-5469","issue":"10","journalAbbreviation":"Genome Res.","language":"en","page":"1807-1818","source":"DOI.org (Crossref)","title":"Bayesian estimation of cell type–specific gene expression with prior derived from single-cell data","URL":"http://genome.cshlp.org/lookup/doi/10.1101/gr.268722.120","volume":"31","author":[{"family":"Wang","given":"Jiebiao"},{"family":"Roeder","given":"Kathryn"},{"family":"Devlin","given":"Bernie"}],"accessed":{"date-parts":[["2023",3,6]]},"issued":{"date-parts":[["2021",10]]}}}],"schema":"https://github.com/citation-style-language/schema/raw/master/csl-citation.json"} </w:instrText>
      </w:r>
      <w:r>
        <w:fldChar w:fldCharType="separate"/>
      </w:r>
      <w:r>
        <w:rPr>
          <w:noProof/>
        </w:rPr>
        <w:t>(Wang et al.)</w:t>
      </w:r>
      <w:r>
        <w:fldChar w:fldCharType="end"/>
      </w:r>
    </w:p>
    <w:p w14:paraId="177F99F4" w14:textId="7BE71A42" w:rsidR="00844DE8" w:rsidRDefault="00844DE8">
      <w:r>
        <w:fldChar w:fldCharType="begin"/>
      </w:r>
      <w:r>
        <w:instrText xml:space="preserve"> ADDIN ZOTERO_ITEM CSL_CITATION {"citationID":"MdfHepzs","properties":{"formattedCitation":"(Zhang et al.)","plainCitation":"(Zhang et al.)","noteIndex":0},"citationItems":[{"id":6154,"uris":["http://zotero.org/users/7286058/items/G5DMQ384"],"itemData":{"id":6154,"type":"article-journal","abstract":"Liver cancers give rise to a heavy burden on healthcare worldwide. Understanding the tumour microenvironment (TME) underpins the development of precision therapy. Singlecell RNA sequencing (scRNA-seq) technology has generated high-quality cell atlases of the TME, but its wider application faces enormous costs for various clinical circumstances. Fortunately, a variety of deconvolution algorithms can instead repurpose bulk RNA-seq data, alleviating the need for generating scRNA-seq datasets. In this study, we reviewed major public omics databases for relevance in this study and utilised eight RNA-seqs and one microarray dataset from clinical studies. To decipher the TME of liver cancer, we estimated the fractions of liver cell components by deconvoluting the samples with Cibersortx using three reference scRNA-seq atlases. We also conﬁrmed that Cibersortx can accurately deconvolute cell types/subtypes of interest. Compared with non-tumorous liver, liver cancers showed multiple decreased cell types forming normal liver microarchitecture, as well as elevated cell types involved in ﬁbrogenesis, abnormal angiogenesis, and disturbed immune responses. Survival analysis shows that the fractions of ﬁve cell types/subtypes signiﬁcantly correlated with patient outcomes, indicating potential therapeutic targets. Therefore, deconvolution of bulk RNA-seq data with scRNA-seq atlas references can be a useful tool to help understand the TME.","container-title":"Cancers","DOI":"10.3390/cancers15010153","ISSN":"2072-6694","issue":"1","journalAbbreviation":"Cancers","language":"en","page":"153","source":"DOI.org (Crossref)","title":"Deciphering Tumour Microenvironment of Liver Cancer through Deconvolution of Bulk RNA-Seq Data with Single-Cell Atlas","URL":"https://www.mdpi.com/2072-6694/15/1/153","volume":"15","author":[{"family":"Zhang","given":"Shaoshi"},{"family":"Bacon","given":"Wendi"},{"family":"Peppelenbosch","given":"Maikel P."},{"family":"Kemenade","given":"Folkert","non-dropping-particle":"van"},{"family":"Stubbs","given":"Andrew Peter"}],"accessed":{"date-parts":[["2023",3,3]]},"issued":{"date-parts":[["2022",12,27]]}}}],"schema":"https://github.com/citation-style-language/schema/raw/master/csl-citation.json"} </w:instrText>
      </w:r>
      <w:r>
        <w:fldChar w:fldCharType="separate"/>
      </w:r>
      <w:r>
        <w:rPr>
          <w:noProof/>
        </w:rPr>
        <w:t>(Zhang et al.)</w:t>
      </w:r>
      <w:r>
        <w:fldChar w:fldCharType="end"/>
      </w:r>
    </w:p>
    <w:p w14:paraId="6BE74565" w14:textId="35E0F15B" w:rsidR="00844DE8" w:rsidRDefault="00844DE8">
      <w:r>
        <w:lastRenderedPageBreak/>
        <w:fldChar w:fldCharType="begin"/>
      </w:r>
      <w:r>
        <w:instrText xml:space="preserve"> ADDIN ZOTERO_ITEM CSL_CITATION {"citationID":"ArzJ7DCp","properties":{"formattedCitation":"(Menden et al.)","plainCitation":"(Menden et al.)","noteIndex":0},"citationItems":[{"id":6192,"uris":["http://zotero.org/users/7286058/items/EVQVVYQK"],"itemData":{"id":6192,"type":"article-journal","abstract":"Scaden enables robust cell type deconvolution of complex samples across data types, using a deep learning–based model., We present Scaden, a deep neural network for cell deconvolution that uses gene expression information to infer the cellular composition of tissues. Scaden is trained on single-cell RNA sequencing (RNA-seq) data to engineer discriminative features that confer robustness to bias and noise, making complex data preprocessing and feature selection unnecessary. We demonstrate that Scaden outperforms existing deconvolution algorithms in both precision and robustness. A single trained network reliably deconvolves bulk RNA-seq and microarray, human and mouse tissue expression data and leverages the combined information of multiple datasets. Because of this stability and flexibility, we surmise that deep learning will become an algorithmic mainstay for cell deconvolution of various data types. Scaden’s software package and web application are easy to use on new as well as diverse existing expression datasets available in public resources, deepening the molecular and cellular understanding of developmental and disease processes.","container-title":"Science Advances","DOI":"10.1126/sciadv.aba2619","ISSN":"2375-2548","issue":"30","journalAbbreviation":"Sci Adv","note":"PMID: 32832661\nPMCID: PMC7439569","page":"eaba2619","source":"PubMed Central","title":"Deep learning–based cell composition analysis from tissue expression profiles","URL":"https://www.ncbi.nlm.nih.gov/pmc/articles/PMC7439569/","volume":"6","author":[{"family":"Menden","given":"Kevin"},{"family":"Marouf","given":"Mohamed"},{"family":"Oller","given":"Sergio"},{"family":"Dalmia","given":"Anupriya"},{"family":"Magruder","given":"Daniel Sumner"},{"family":"Kloiber","given":"Karin"},{"family":"Heutink","given":"Peter"},{"family":"Bonn","given":"Stefan"}],"accessed":{"date-parts":[["2023",3,8]]},"issued":{"date-parts":[["2020",7,22]]}}}],"schema":"https://github.com/citation-style-language/schema/raw/master/csl-citation.json"} </w:instrText>
      </w:r>
      <w:r>
        <w:fldChar w:fldCharType="separate"/>
      </w:r>
      <w:r>
        <w:rPr>
          <w:noProof/>
        </w:rPr>
        <w:t>(Menden et al.)</w:t>
      </w:r>
      <w:r>
        <w:fldChar w:fldCharType="end"/>
      </w:r>
    </w:p>
    <w:p w14:paraId="119806FB" w14:textId="01971F49" w:rsidR="00844DE8" w:rsidRDefault="00844DE8">
      <w:r>
        <w:fldChar w:fldCharType="begin"/>
      </w:r>
      <w:r>
        <w:instrText xml:space="preserve"> ADDIN ZOTERO_ITEM CSL_CITATION {"citationID":"TLTayjeH","properties":{"formattedCitation":"(Dong et al.)","plainCitation":"(Dong et al.)","noteIndex":0},"citationItems":[{"id":6191,"uris":["http://zotero.org/users/7286058/items/DUNQUHF9"],"itemData":{"id":6191,"type":"article-journal","abstract":"Recent advances in single-cell RNA sequencing (scRNA-seq) enable characterization of transcriptomic profiles with single-cell resolution and circumvent averaging artifacts associated with traditional bulk RNA sequencing (RNA-seq) data. Here, we propose SCDC, a deconvolution method for bulk RNA-seq that leverages cell-type specific gene expression profiles from multiple scRNA-seq reference datasets. SCDC adopts an ENSEMBLE method to integrate deconvolution results from different scRNA-seq datasets that are produced in different laboratories and at different times, implicitly addressing the problem of batch-effect confounding. SCDC is benchmarked against existing methods using both in silico generated pseudo-bulk samples and experimentally mixed cell lines, whose known cell-type compositions serve as ground truths. We show that SCDC outperforms existing methods with improved accuracy of cell-type decomposition under both settings. To illustrate how the ENSEMBLE framework performs in complex tissues under different scenarios, we further apply our method to a human pancreatic islet dataset and a mouse mammary gland dataset. SCDC returns results that are more consistent with experimental designs and that reproduce more significant associations between cell-type proportions and measured phenotypes.","container-title":"Briefings in Bioinformatics","DOI":"10.1093/bib/bbz166","ISSN":"1477-4054","issue":"1","language":"en","page":"416-427","source":"DOI.org (Crossref)","title":"SCDC: bulk gene expression deconvolution by multiple single-cell RNA sequencing references","title-short":"SCDC","URL":"https://academic.oup.com/bib/article/22/1/416/5699815","volume":"22","author":[{"family":"Dong","given":"Meichen"},{"family":"Thennavan","given":"Aatish"},{"family":"Urrutia","given":"Eugene"},{"family":"Li","given":"Yun"},{"family":"Perou","given":"Charles M"},{"family":"Zou","given":"Fei"},{"family":"Jiang","given":"Yuchao"}],"accessed":{"date-parts":[["2023",3,8]]},"issued":{"date-parts":[["2021",1,18]]}}}],"schema":"https://github.com/citation-style-language/schema/raw/master/csl-citation.json"} </w:instrText>
      </w:r>
      <w:r>
        <w:fldChar w:fldCharType="separate"/>
      </w:r>
      <w:r>
        <w:rPr>
          <w:noProof/>
        </w:rPr>
        <w:t>(Dong et al.)</w:t>
      </w:r>
      <w:r>
        <w:fldChar w:fldCharType="end"/>
      </w:r>
    </w:p>
    <w:p w14:paraId="1D97F5AF" w14:textId="2182C70D" w:rsidR="00844DE8" w:rsidRDefault="00844DE8">
      <w:r>
        <w:fldChar w:fldCharType="begin"/>
      </w:r>
      <w:r>
        <w:instrText xml:space="preserve"> ADDIN ZOTERO_ITEM CSL_CITATION {"citationID":"SZs8f08Y","properties":{"formattedCitation":"(Lei et al.)","plainCitation":"(Lei et al.)","noteIndex":0},"citationItems":[{"id":6165,"uris":["http://zotero.org/users/7286058/items/5TJULFQE"],"itemData":{"id":6165,"type":"article-journal","abstract":"Motivation: Identifying cell types and their abundances and how these evolve during tumor progression is critical to understanding the mechanisms of metastasis and identifying predictors of metastatic potential that can guide the development of new diagnostics or therapeutics. Single-cell RNA sequencing (scRNA-seq) has been especially promising in resolving heterogeneity of expression programs at the single-cell level, but is not always feasible, e.g. for large cohort studies or longitudinal analysis of archived samples. In such cases, clonal subpopulations may still be inferred via genomic deconvolution, but deconvolution methods have limited ability to resolve ﬁne clonal structure and may require reference cell type proﬁles that are missing or imprecise. Prior methods can eliminate the need for reference proﬁles but show unstable performance when few bulk samples are available.","container-title":"Bioinformatics","DOI":"10.1093/bioinformatics/btac262","ISSN":"1367-4803, 1460-2059","issue":"Supplement_1","language":"en","page":"i386-i394","source":"DOI.org (Crossref)","title":"Semi-deconvolution of bulk and single-cell RNA-seq data with application to metastatic progression in breast cancer","URL":"https://academic.oup.com/bioinformatics/article/38/Supplement_1/i386/6617536","volume":"38","author":[{"family":"Lei","given":"Haoyun"},{"family":"Guo","given":"Xiaoyan A"},{"family":"Tao","given":"Yifeng"},{"family":"Ding","given":"Kai"},{"family":"Fu","given":"Xuecong"},{"family":"Oesterreich","given":"Steffi"},{"family":"Lee","given":"Adrian V"},{"family":"Schwartz","given":"Russell"}],"accessed":{"date-parts":[["2023",3,6]]},"issued":{"date-parts":[["2022",6,24]]}}}],"schema":"https://github.com/citation-style-language/schema/raw/master/csl-citation.json"} </w:instrText>
      </w:r>
      <w:r>
        <w:fldChar w:fldCharType="separate"/>
      </w:r>
      <w:r>
        <w:rPr>
          <w:noProof/>
        </w:rPr>
        <w:t>(Lei et al.)</w:t>
      </w:r>
      <w:r>
        <w:fldChar w:fldCharType="end"/>
      </w:r>
    </w:p>
    <w:p w14:paraId="311AFFF6" w14:textId="5D142A39" w:rsidR="00844DE8" w:rsidRDefault="00844DE8">
      <w:r>
        <w:fldChar w:fldCharType="begin"/>
      </w:r>
      <w:r>
        <w:instrText xml:space="preserve"> ADDIN ZOTERO_ITEM CSL_CITATION {"citationID":"xoZpcnG3","properties":{"formattedCitation":"(Racle et al.)","plainCitation":"(Racle et al.)","noteIndex":0},"citationItems":[{"id":6153,"uris":["http://zotero.org/users/7286058/items/HQ9IWPS8"],"itemData":{"id":6153,"type":"article-journal","abstract":"Immune cells infiltrating tumors can have important impact on tumor progression and response to therapy. We present an efficient algorithm to simultaneously estimate the fraction of cancer and immune cell types from bulk tumor gene expression data. Our method integrates novel gene expression profiles from each major non-malignant cell type found in tumors, renormalization based on cell-type-specific mRNA content, and the ability to consider uncharacterized and possibly highly variable cell types. Feasibility is demonstrated by validation with flow cytometry, immunohistochemistry and single-cell RNA-Seq analyses of human melanoma and colorectal tumor specimens. Altogether, our work not only improves accuracy but also broadens the scope of absolute cell fraction predictions from tumor gene expression data, and provides a unique novel experimental benchmark for immunogenomics analyses in cancer research (http://epic.gfellerlab.org).\n          , \n            Malignant tumors do not only contain cancer cells. Normal cells from the body also infiltrate tumors. These often include a variety of immune cells that can help detect and kill cancer cells. Many evidences suggest that the proportion of different immune cell types in a tumor can affect tumor growth and which treatments are effective.\n            Researchers often study tumors by measuring the expression of genes, i.e., which genes are active in tumors. However, the proportion of different cell types in the tumor is often not measured for tumors studied at the gene expression level.\n            Racle et al. have now demonstrated that a new computer-based tool can accurately detect all the main cell types in a tumor directly from the expression of genes in this tumor. The tool is called “Estimating the Proportion of Immune and Cancer cells” – or EPIC for short. It compares the level of expression of genes in a tumor with a library of the gene expression profiles from specific cell types that can be found in tumors and uses this information to predict how many of each type of cell are present. Experimental measurements of several human tumors confirmed that EPIC’s predictions are accurate.\n            EPIC is freely available online. Since the active genes in tumors from many patients have already been documented together with clinical data, researchers could use EPIC to investigate whether the cell types in a tumor affect how harmful it is or how well a particular treatment works on it. In the future, this information could help to identify the best treatment for a particular patient and may reveal new genes that cause malignant tumors to develop and grow.","container-title":"eLife","DOI":"10.7554/eLife.26476","ISSN":"2050-084X","language":"en","page":"e26476","source":"DOI.org (Crossref)","title":"Simultaneous enumeration of cancer and immune cell types from bulk tumor gene expression data","URL":"https://elifesciences.org/articles/26476","volume":"6","author":[{"family":"Racle","given":"Julien"},{"family":"Jonge","given":"Kaat","non-dropping-particle":"de"},{"family":"Baumgaertner","given":"Petra"},{"family":"Speiser","given":"Daniel E"},{"family":"Gfeller","given":"David"}],"accessed":{"date-parts":[["2023",3,1]]},"issued":{"date-parts":[["2017",11,13]]}}}],"schema":"https://github.com/citation-style-language/schema/raw/master/csl-citation.json"} </w:instrText>
      </w:r>
      <w:r>
        <w:fldChar w:fldCharType="separate"/>
      </w:r>
      <w:r>
        <w:rPr>
          <w:noProof/>
        </w:rPr>
        <w:t>(Racle et al.)</w:t>
      </w:r>
      <w:r>
        <w:fldChar w:fldCharType="end"/>
      </w:r>
    </w:p>
    <w:p w14:paraId="69A4C1AB" w14:textId="5088FDA2" w:rsidR="00844DE8" w:rsidRDefault="00844DE8">
      <w:r>
        <w:fldChar w:fldCharType="begin"/>
      </w:r>
      <w:r>
        <w:instrText xml:space="preserve"> ADDIN ZOTERO_ITEM CSL_CITATION {"citationID":"6CYi3tC5","properties":{"formattedCitation":"(Qi et al.)","plainCitation":"(Qi et al.)","noteIndex":0},"citationItems":[{"id":6166,"uris":["http://zotero.org/users/7286058/items/V78JQR8R"],"itemData":{"id":6166,"type":"article-journal","abstract":"Complexities in cell-type composition have rightfully led to skepticism and caution in the interpretation of bulk transcriptomic analyses. Recent studies have shown that deconvolution algorithms can be utilized to computationally estimate cell-type proportions from the gene expression data of bulk blood samples, but their performance when applied to tumor tissues, including those from head and neck, remains poorly characterized. Here, we use single-cell data (~6000 single cells) collected from 21 head and neck squamous cell carcinoma (HNSCC) samples to generate cell-type-specific gene expression signatures. We leverage bulk RNA-seq data from &gt;500 HNSCC samples profiled by The Cancer Genome Atlas (TCGA), and using single-cell data as a reference, apply two newly developed deconvolution algorithms (CIBERSORTx and MuSiC) to the bulk transcriptome data to quantitatively estimate cell-type proportions for each tumor in TCGA. We show that these two algorithms produce similar estimates of constituent/major cell-type proportions and that a high T-cell fraction correlates with improved survival. By further characterizing T-cell subpopulations, we identify that regulatory T-cells (Tregs) were the major contributor to this improved survival. Lastly, we assessed gene expression, specifically in the Treg population, and found that TNFRSF4 (Tumor Necrosis Factor Receptor Superfamily Member 4) was differentially expressed in the core Treg subpopulation. Moreover, higher TNFRSF4 expression was associated with greater survival, suggesting that TNFRSF4 could play a key role in mechanisms underlying the contribution of Treg in HNSCC outcomes.","container-title":"Cancers","DOI":"10.3390/cancers13061230","ISSN":"2072-6694","issue":"6","journalAbbreviation":"Cancers","language":"en","page":"1230","source":"DOI.org (Crossref)","title":"Single-Cell Deconvolution of Head and Neck Squamous Cell Carcinoma","URL":"https://www.mdpi.com/2072-6694/13/6/1230","volume":"13","author":[{"family":"Qi","given":"Zongtai"},{"family":"Liu","given":"Yating"},{"family":"Mints","given":"Michael"},{"family":"Mullins","given":"Riley"},{"family":"Sample","given":"Reilly"},{"family":"Law","given":"Travis"},{"family":"Barrett","given":"Thomas"},{"family":"Mazul","given":"Angela L."},{"family":"Jackson","given":"Ryan S."},{"family":"Kang","given":"Stephen Y."},{"family":"Pipkorn","given":"Patrik"},{"family":"Parikh","given":"Anuraag S."},{"family":"Tirosh","given":"Itay"},{"family":"Dougherty","given":"Joseph"},{"family":"Puram","given":"Sidharth V."}],"accessed":{"date-parts":[["2023",3,6]]},"issued":{"date-parts":[["2021",3,11]]}}}],"schema":"https://github.com/citation-style-language/schema/raw/master/csl-citation.json"} </w:instrText>
      </w:r>
      <w:r>
        <w:fldChar w:fldCharType="separate"/>
      </w:r>
      <w:r>
        <w:rPr>
          <w:noProof/>
        </w:rPr>
        <w:t>(Qi et al.)</w:t>
      </w:r>
      <w:r>
        <w:fldChar w:fldCharType="end"/>
      </w:r>
    </w:p>
    <w:p w14:paraId="32770C50" w14:textId="30A11212" w:rsidR="00844DE8" w:rsidRDefault="00844DE8">
      <w:r>
        <w:fldChar w:fldCharType="begin"/>
      </w:r>
      <w:r>
        <w:instrText xml:space="preserve"> ADDIN ZOTERO_ITEM CSL_CITATION {"citationID":"L6meT40j","properties":{"formattedCitation":"(Aran et al.)","plainCitation":"(Aran et al.)","noteIndex":0},"citationItems":[{"id":6189,"uris":["http://zotero.org/users/7286058/items/TJJHB3Z3"],"itemData":{"id":6189,"type":"article-journal","abstract":"Tissues are complex milieus consisting of numerous cell types. Several recent methods have attempted to enumerate cell subsets from transcriptomes. However, the available methods have used limited sources for training and give only a partial portrayal of the full cellular landscape. Here we present xCell, a novel gene signature-based method, and use it to infer 64 immune and stromal cell types. We harmonized 1822 pure human cell type transcriptomes from various sources and employed a curve fitting approach for linear comparison of cell types and introduced a novel spillover compensation technique for separating them. Using extensive in silico analyses and comparison to cytometry immunophenotyping, we show that xCell outperforms other methods. xCell is available at http://xCell.ucsf.edu/.","container-title":"Genome Biology","DOI":"10.1186/s13059-017-1349-1","ISSN":"1474-760X","issue":"1","journalAbbreviation":"Genome Biol","language":"en","page":"220","source":"DOI.org (Crossref)","title":"xCell: digitally portraying the tissue cellular heterogeneity landscape","title-short":"xCell","URL":"https://genomebiology.biomedcentral.com/articles/10.1186/s13059-017-1349-1","volume":"18","author":[{"family":"Aran","given":"Dvir"},{"family":"Hu","given":"Zicheng"},{"family":"Butte","given":"Atul J."}],"accessed":{"date-parts":[["2023",3,8]]},"issued":{"date-parts":[["2017",12]]}}}],"schema":"https://github.com/citation-style-language/schema/raw/master/csl-citation.json"} </w:instrText>
      </w:r>
      <w:r>
        <w:fldChar w:fldCharType="separate"/>
      </w:r>
      <w:r>
        <w:rPr>
          <w:noProof/>
        </w:rPr>
        <w:t>(Aran et al.)</w:t>
      </w:r>
      <w:r>
        <w:fldChar w:fldCharType="end"/>
      </w:r>
    </w:p>
    <w:p w14:paraId="2E3F0885" w14:textId="5931ECE3" w:rsidR="00844DE8" w:rsidRDefault="00B10E3A">
      <w:r>
        <w:fldChar w:fldCharType="begin"/>
      </w:r>
      <w:r>
        <w:instrText xml:space="preserve"> ADDIN ZOTERO_ITEM CSL_CITATION {"citationID":"1LTtSTsr","properties":{"formattedCitation":"(Patrick et al.)","plainCitation":"(Patrick et al.)","noteIndex":0},"citationItems":[{"id":6196,"uris":["http://zotero.org/users/7286058/items/TKKEK7T8"],"itemData":{"id":6196,"type":"article-journal","abstract":"Complexity of cell-type composition has created much skepticism surrounding the interpretation of bulk tissue transcriptomic studies. Recent studies have shown that deconvolution algorithms can be applied to computationally estimate cell-type proportions from gene expression data of bulk blood samples, but their performance when applied to brain tissue is unclear. Here, we have generated an immunohistochemistry (IHC) dataset for five major cell-types from brain tissue of 70 individuals, who also have bulk cortical gene expression data. With the IHC data as the benchmark, this resource enables quantitative assessment of deconvolution algorithms for brain tissue. We apply existing deconvolution algorithms to brain tissue by using marker sets derived from human brain single cell and cell-sorted RNAseq data. We show that these algorithms can indeed produce informative estimates of constituent cell-type proportions. In fact, neuronal subpopulations can also be estimated from bulk brain tissue samples. Further, we show that including the cell-type proportion estimates as confounding factors is important for reducing false associations between Alzheimer’s disease phenotypes and gene expression. Lastly, we demonstrate that using more accurate marker sets can substantially improve statistical power in detecting cell-type specific expression quantitative trait loci (eQTLs).","container-title":"PLOS Computational Biology","DOI":"10.1371/journal.pcbi.1008120","ISSN":"1553-7358","issue":"8","journalAbbreviation":"PLoS Comput Biol","language":"en","page":"e1008120","source":"DOI.org (Crossref)","title":"Deconvolving the contributions of cell-type heterogeneity on cortical gene expression","URL":"https://dx.plos.org/10.1371/journal.pcbi.1008120","volume":"16","author":[{"family":"Patrick","given":"Ellis"},{"family":"Taga","given":"Mariko"},{"family":"Ergun","given":"Ayla"},{"family":"Ng","given":"Bernard"},{"family":"Casazza","given":"William"},{"family":"Cimpean","given":"Maria"},{"family":"Yung","given":"Christina"},{"family":"Schneider","given":"Julie A."},{"family":"Bennett","given":"David A."},{"family":"Gaiteri","given":"Chris"},{"family":"De Jager","given":"Philip L."},{"family":"Bradshaw","given":"Elizabeth M."},{"family":"Mostafavi","given":"Sara"}],"editor":[{"family":"Nie","given":"Qing"}],"accessed":{"date-parts":[["2023",3,8]]},"issued":{"date-parts":[["2020",8,17]]}}}],"schema":"https://github.com/citation-style-language/schema/raw/master/csl-citation.json"} </w:instrText>
      </w:r>
      <w:r>
        <w:fldChar w:fldCharType="separate"/>
      </w:r>
      <w:r>
        <w:rPr>
          <w:noProof/>
        </w:rPr>
        <w:t>(Patrick et al.)</w:t>
      </w:r>
      <w:r>
        <w:fldChar w:fldCharType="end"/>
      </w:r>
    </w:p>
    <w:p w14:paraId="6B59A3BE" w14:textId="6D7E573D" w:rsidR="00B10E3A" w:rsidRDefault="00B10E3A">
      <w:r>
        <w:fldChar w:fldCharType="begin"/>
      </w:r>
      <w:r>
        <w:instrText xml:space="preserve"> ADDIN ZOTERO_ITEM CSL_CITATION {"citationID":"LgZhr7j6","properties":{"formattedCitation":"(Huang et al.)","plainCitation":"(Huang et al.)","noteIndex":0},"citationItems":[{"id":6199,"uris":["http://zotero.org/users/7286058/items/ZHBL3NPS"],"itemData":{"id":6199,"type":"article-journal","abstract":"Background: Osteosarcoma (OS) is a kind of solid tumor with high heterogeneity at tumor microenvironment (TME), genome and transcriptome level. In view of the regulatory effect of metabolism on TME, this study was based on four metabolic models to explore the intertumoral heterogeneity of OS at the RNA sequencing (RNA-seq) level and the intratumoral heterogeneity of OS at the bulk RNA-seq and single cell RNA-seq (scRNA-seq) level., \nMethods: The GSVA package was used for single-sample gene set enrichment analysis (ssGSEA) analysis to obtain a glycolysis, pentose phosphate pathway (PPP), fatty acid oxidation (FAO) and glutaminolysis gene sets score. ConsensusClusterPlus was employed to cluster OS samples downloaded from the Target database. The scRNA-seq and bulk RNA-seq data of immune cells from GSE162454 dataset were analyzed to identify the subsets and types of immune cells in OS. Malignant cells and non-malignant cells were distinguished by large-scale chromosomal copy number variation. The correlations of metabolic molecular subtypes and immune cell types with four metabolic patterns, hypoxia and angiogenesis were determined by Pearson correlation analysis., \nResults: Two metabolism-related molecular subtypes of OS, cluster 1 and cluster 2, were identified. Cluster 2 was associated with poor prognosis of OS, active glycolysis, FAO, glutaminolysis, and bad TME. The identified 28608 immune cells were divided into 15 separate clusters covering 6 types of immune cells. The enrichment scores of 5 kinds of immune cells in cluster-1 and cluster-2 were significantly different. And five kinds of immune cells were significantly correlated with four metabolic modes, hypoxia and angiogenesis. Of the 28,608 immune cells, 7617 were malignant cells. The four metabolic patterns of malignant cells were significantly positively correlated with hypoxia and negatively correlated with angiogenesis., \nConclusion: We used RNA-seq to reveal two molecular subtypes of OS with prognosis, metabolic pattern and TME, and determined the composition and metabolic heterogeneity of immune cells in OS tumor by bulk RNA-seq and single-cell RNA-seq.","container-title":"Frontiers in Genetics","DOI":"10.3389/fgene.2022.976990","ISSN":"1664-8021","journalAbbreviation":"Front Genet","note":"PMID: 36338972\nPMCID: PMC9626532","page":"976990","source":"PubMed Central","title":"Combining bulk RNA-sequencing and single-cell RNA-sequencing data to reveal the immune microenvironment and metabolic pattern of osteosarcoma","URL":"https://www.ncbi.nlm.nih.gov/pmc/articles/PMC9626532/","volume":"13","author":[{"family":"Huang","given":"Ruichao"},{"family":"Wang","given":"Xiaohu"},{"family":"Yin","given":"Xiangyun"},{"family":"Zhou","given":"Yaqi"},{"family":"Sun","given":"Jiansheng"},{"family":"Yin","given":"Zhongxiu"},{"family":"Zhu","given":"Zhi"}],"accessed":{"date-parts":[["2023",3,8]]},"issued":{"date-parts":[["2022",10,19]]}}}],"schema":"https://github.com/citation-style-language/schema/raw/master/csl-citation.json"} </w:instrText>
      </w:r>
      <w:r>
        <w:fldChar w:fldCharType="separate"/>
      </w:r>
      <w:r>
        <w:rPr>
          <w:noProof/>
        </w:rPr>
        <w:t>(Huang et al.)</w:t>
      </w:r>
      <w:r>
        <w:fldChar w:fldCharType="end"/>
      </w:r>
    </w:p>
    <w:p w14:paraId="22E5A72A" w14:textId="76717EAE" w:rsidR="00B10E3A" w:rsidRDefault="00B10E3A">
      <w:r>
        <w:fldChar w:fldCharType="begin"/>
      </w:r>
      <w:r>
        <w:instrText xml:space="preserve"> ADDIN ZOTERO_ITEM CSL_CITATION {"citationID":"DVoSgeFA","properties":{"formattedCitation":"(Li et al.)","plainCitation":"(Li et al.)","noteIndex":0},"citationItems":[{"id":6202,"uris":["http://zotero.org/users/7286058/items/DKBCRZCI"],"itemData":{"id":6202,"type":"article-journal","abstract":"The advent of single-cell RNA sequencing (scRNA-seq) has provided insight into the tumour immune microenvironment (TIME). This review focuses on the application of scRNA-seq in investigation of the TIME. Over time, scRNA-seq methods have evolved, and components of the TIME have been deciphered with high resolution. In this review, we first introduced the principle of scRNA-seq and compared different sequencing approaches. Novel cell types in the TIME, a continuous transitional state, and mutual intercommunication among TIME components present potential targets for prognosis prediction and treatment in cancer. Thus, we concluded novel cell clusters of cancer-associated fibroblasts (CAFs), T cells, tumour-associated macrophages (TAMs) and dendritic cells (DCs) discovered after the application of scRNA-seq in TIME. We also proposed the development of TAMs and exhausted T cells, as well as the possible targets to interrupt the process. In addition, the therapeutic interventions based on cellular interactions in TIME were also summarized. For decades, quantification of the TIME components has been adopted in clinical practice to predict patient survival and response to therapy and is expected to play an important role in the precise treatment of cancer. Summarizing the current findings, we believe that advances in technology and wide application of single-cell analysis can lead to the discovery of novel perspectives on cancer therapy, which can subsequently be implemented in the clinic. Finally, we propose some future directions in the field of TIME studies that can be aided by scRNA-seq technology.","container-title":"Military Medical Research","DOI":"10.1186/s40779-022-00414-y","ISSN":"2095-7467","journalAbbreviation":"Mil Med Res","note":"PMID: 36154923\nPMCID: PMC9511789","page":"52","source":"PubMed Central","title":"Recent developments in application of single-cell RNA sequencing in the tumour immune microenvironment and cancer therapy","URL":"https://www.ncbi.nlm.nih.gov/pmc/articles/PMC9511789/","volume":"9","author":[{"family":"Li","given":"Pei-Heng"},{"family":"Kong","given":"Xiang-Yu"},{"family":"He","given":"Ya-Zhou"},{"family":"Liu","given":"Yi"},{"family":"Peng","given":"Xi"},{"family":"Li","given":"Zhi-Hui"},{"family":"Xu","given":"Heng"},{"family":"Luo","given":"Han"},{"family":"Park","given":"Jihwan"}],"accessed":{"date-parts":[["2023",3,8]]},"issued":{"date-parts":[["2022",9,26]]}}}],"schema":"https://github.com/citation-style-language/schema/raw/master/csl-citation.json"} </w:instrText>
      </w:r>
      <w:r>
        <w:fldChar w:fldCharType="separate"/>
      </w:r>
      <w:r>
        <w:rPr>
          <w:noProof/>
        </w:rPr>
        <w:t>(Li et al.)</w:t>
      </w:r>
      <w:r>
        <w:fldChar w:fldCharType="end"/>
      </w:r>
    </w:p>
    <w:p w14:paraId="7B15BDD6" w14:textId="0C20B8DA" w:rsidR="00B10E3A" w:rsidRDefault="00B10E3A"/>
    <w:p w14:paraId="5E602B48" w14:textId="2A6949D1" w:rsidR="00B10E3A" w:rsidRDefault="00B10E3A"/>
    <w:p w14:paraId="2CFC969F" w14:textId="77777777" w:rsidR="00B10E3A" w:rsidRPr="00B10E3A" w:rsidRDefault="00B10E3A" w:rsidP="00B10E3A">
      <w:pPr>
        <w:pStyle w:val="Bibliography"/>
        <w:rPr>
          <w:rFonts w:ascii="Calibri" w:cs="Calibri"/>
        </w:rPr>
      </w:pPr>
      <w:r>
        <w:fldChar w:fldCharType="begin"/>
      </w:r>
      <w:r>
        <w:instrText xml:space="preserve"> ADDIN ZOTERO_BIBL {"uncited":[],"omitted":[],"custom":[]} CSL_BIBLIOGRAPHY </w:instrText>
      </w:r>
      <w:r>
        <w:fldChar w:fldCharType="separate"/>
      </w:r>
      <w:r w:rsidRPr="00B10E3A">
        <w:rPr>
          <w:rFonts w:ascii="Calibri" w:cs="Calibri"/>
        </w:rPr>
        <w:t xml:space="preserve">Aran, </w:t>
      </w:r>
      <w:proofErr w:type="spellStart"/>
      <w:r w:rsidRPr="00B10E3A">
        <w:rPr>
          <w:rFonts w:ascii="Calibri" w:cs="Calibri"/>
        </w:rPr>
        <w:t>Dvir</w:t>
      </w:r>
      <w:proofErr w:type="spellEnd"/>
      <w:r w:rsidRPr="00B10E3A">
        <w:rPr>
          <w:rFonts w:ascii="Calibri" w:cs="Calibri"/>
        </w:rPr>
        <w:t>, et al. “</w:t>
      </w:r>
      <w:proofErr w:type="spellStart"/>
      <w:r w:rsidRPr="00B10E3A">
        <w:rPr>
          <w:rFonts w:ascii="Calibri" w:cs="Calibri"/>
        </w:rPr>
        <w:t>XCell</w:t>
      </w:r>
      <w:proofErr w:type="spellEnd"/>
      <w:r w:rsidRPr="00B10E3A">
        <w:rPr>
          <w:rFonts w:ascii="Calibri" w:cs="Calibri"/>
        </w:rPr>
        <w:t xml:space="preserve">: Digitally Portraying the Tissue Cellular Heterogeneity Landscape.” </w:t>
      </w:r>
      <w:r w:rsidRPr="00B10E3A">
        <w:rPr>
          <w:rFonts w:ascii="Calibri" w:cs="Calibri"/>
          <w:i/>
          <w:iCs/>
        </w:rPr>
        <w:t>Genome Biology</w:t>
      </w:r>
      <w:r w:rsidRPr="00B10E3A">
        <w:rPr>
          <w:rFonts w:ascii="Calibri" w:cs="Calibri"/>
        </w:rPr>
        <w:t xml:space="preserve">, vol. 18, no. 1, Dec. 2017, p. 220. </w:t>
      </w:r>
      <w:r w:rsidRPr="00B10E3A">
        <w:rPr>
          <w:rFonts w:ascii="Calibri" w:cs="Calibri"/>
          <w:i/>
          <w:iCs/>
        </w:rPr>
        <w:t>DOI.org (</w:t>
      </w:r>
      <w:proofErr w:type="spellStart"/>
      <w:r w:rsidRPr="00B10E3A">
        <w:rPr>
          <w:rFonts w:ascii="Calibri" w:cs="Calibri"/>
          <w:i/>
          <w:iCs/>
        </w:rPr>
        <w:t>Crossref</w:t>
      </w:r>
      <w:proofErr w:type="spellEnd"/>
      <w:r w:rsidRPr="00B10E3A">
        <w:rPr>
          <w:rFonts w:ascii="Calibri" w:cs="Calibri"/>
          <w:i/>
          <w:iCs/>
        </w:rPr>
        <w:t>)</w:t>
      </w:r>
      <w:r w:rsidRPr="00B10E3A">
        <w:rPr>
          <w:rFonts w:ascii="Calibri" w:cs="Calibri"/>
        </w:rPr>
        <w:t>, https://doi.org/10.1186/s13059-017-1349-1.</w:t>
      </w:r>
    </w:p>
    <w:p w14:paraId="712B22E8" w14:textId="77777777" w:rsidR="00B10E3A" w:rsidRPr="00B10E3A" w:rsidRDefault="00B10E3A" w:rsidP="00B10E3A">
      <w:pPr>
        <w:pStyle w:val="Bibliography"/>
        <w:rPr>
          <w:rFonts w:ascii="Calibri" w:cs="Calibri"/>
        </w:rPr>
      </w:pPr>
      <w:r w:rsidRPr="00B10E3A">
        <w:rPr>
          <w:rFonts w:ascii="Calibri" w:cs="Calibri"/>
        </w:rPr>
        <w:t xml:space="preserve">Dong, </w:t>
      </w:r>
      <w:proofErr w:type="spellStart"/>
      <w:r w:rsidRPr="00B10E3A">
        <w:rPr>
          <w:rFonts w:ascii="Calibri" w:cs="Calibri"/>
        </w:rPr>
        <w:t>Meichen</w:t>
      </w:r>
      <w:proofErr w:type="spellEnd"/>
      <w:r w:rsidRPr="00B10E3A">
        <w:rPr>
          <w:rFonts w:ascii="Calibri" w:cs="Calibri"/>
        </w:rPr>
        <w:t xml:space="preserve">, et al. “SCDC: Bulk Gene Expression Deconvolution by Multiple Single-Cell RNA Sequencing References.” </w:t>
      </w:r>
      <w:r w:rsidRPr="00B10E3A">
        <w:rPr>
          <w:rFonts w:ascii="Calibri" w:cs="Calibri"/>
          <w:i/>
          <w:iCs/>
        </w:rPr>
        <w:t>Briefings in Bioinformatics</w:t>
      </w:r>
      <w:r w:rsidRPr="00B10E3A">
        <w:rPr>
          <w:rFonts w:ascii="Calibri" w:cs="Calibri"/>
        </w:rPr>
        <w:t xml:space="preserve">, vol. 22, no. 1, Jan. 2021, pp. 416–27. </w:t>
      </w:r>
      <w:r w:rsidRPr="00B10E3A">
        <w:rPr>
          <w:rFonts w:ascii="Calibri" w:cs="Calibri"/>
          <w:i/>
          <w:iCs/>
        </w:rPr>
        <w:t>DOI.org (</w:t>
      </w:r>
      <w:proofErr w:type="spellStart"/>
      <w:r w:rsidRPr="00B10E3A">
        <w:rPr>
          <w:rFonts w:ascii="Calibri" w:cs="Calibri"/>
          <w:i/>
          <w:iCs/>
        </w:rPr>
        <w:t>Crossref</w:t>
      </w:r>
      <w:proofErr w:type="spellEnd"/>
      <w:r w:rsidRPr="00B10E3A">
        <w:rPr>
          <w:rFonts w:ascii="Calibri" w:cs="Calibri"/>
          <w:i/>
          <w:iCs/>
        </w:rPr>
        <w:t>)</w:t>
      </w:r>
      <w:r w:rsidRPr="00B10E3A">
        <w:rPr>
          <w:rFonts w:ascii="Calibri" w:cs="Calibri"/>
        </w:rPr>
        <w:t>, https://doi.org/10.1093/bib/bbz166.</w:t>
      </w:r>
    </w:p>
    <w:p w14:paraId="1EE7139F" w14:textId="77777777" w:rsidR="00B10E3A" w:rsidRPr="00B10E3A" w:rsidRDefault="00B10E3A" w:rsidP="00B10E3A">
      <w:pPr>
        <w:pStyle w:val="Bibliography"/>
        <w:rPr>
          <w:rFonts w:ascii="Calibri" w:cs="Calibri"/>
        </w:rPr>
      </w:pPr>
      <w:r w:rsidRPr="00B10E3A">
        <w:rPr>
          <w:rFonts w:ascii="Calibri" w:cs="Calibri"/>
        </w:rPr>
        <w:t xml:space="preserve">Huang, </w:t>
      </w:r>
      <w:proofErr w:type="spellStart"/>
      <w:r w:rsidRPr="00B10E3A">
        <w:rPr>
          <w:rFonts w:ascii="Calibri" w:cs="Calibri"/>
        </w:rPr>
        <w:t>Ruichao</w:t>
      </w:r>
      <w:proofErr w:type="spellEnd"/>
      <w:r w:rsidRPr="00B10E3A">
        <w:rPr>
          <w:rFonts w:ascii="Calibri" w:cs="Calibri"/>
        </w:rPr>
        <w:t xml:space="preserve">, et al. “Combining Bulk RNA-Sequencing and Single-Cell RNA-Sequencing Data to Reveal the Immune Microenvironment and Metabolic Pattern of Osteosarcoma.” </w:t>
      </w:r>
      <w:r w:rsidRPr="00B10E3A">
        <w:rPr>
          <w:rFonts w:ascii="Calibri" w:cs="Calibri"/>
          <w:i/>
          <w:iCs/>
        </w:rPr>
        <w:t>Frontiers in Genetics</w:t>
      </w:r>
      <w:r w:rsidRPr="00B10E3A">
        <w:rPr>
          <w:rFonts w:ascii="Calibri" w:cs="Calibri"/>
        </w:rPr>
        <w:t xml:space="preserve">, vol. 13, Oct. 2022, p. 976990. </w:t>
      </w:r>
      <w:r w:rsidRPr="00B10E3A">
        <w:rPr>
          <w:rFonts w:ascii="Calibri" w:cs="Calibri"/>
          <w:i/>
          <w:iCs/>
        </w:rPr>
        <w:t>PubMed Central</w:t>
      </w:r>
      <w:r w:rsidRPr="00B10E3A">
        <w:rPr>
          <w:rFonts w:ascii="Calibri" w:cs="Calibri"/>
        </w:rPr>
        <w:t>, https://doi.org/10.3389/fgene.2022.976990.</w:t>
      </w:r>
    </w:p>
    <w:p w14:paraId="21E87F9F" w14:textId="77777777" w:rsidR="00B10E3A" w:rsidRPr="00B10E3A" w:rsidRDefault="00B10E3A" w:rsidP="00B10E3A">
      <w:pPr>
        <w:pStyle w:val="Bibliography"/>
        <w:rPr>
          <w:rFonts w:ascii="Calibri" w:cs="Calibri"/>
        </w:rPr>
      </w:pPr>
      <w:r w:rsidRPr="00B10E3A">
        <w:rPr>
          <w:rFonts w:ascii="Calibri" w:cs="Calibri"/>
        </w:rPr>
        <w:t xml:space="preserve">Lei, </w:t>
      </w:r>
      <w:proofErr w:type="spellStart"/>
      <w:r w:rsidRPr="00B10E3A">
        <w:rPr>
          <w:rFonts w:ascii="Calibri" w:cs="Calibri"/>
        </w:rPr>
        <w:t>Haoyun</w:t>
      </w:r>
      <w:proofErr w:type="spellEnd"/>
      <w:r w:rsidRPr="00B10E3A">
        <w:rPr>
          <w:rFonts w:ascii="Calibri" w:cs="Calibri"/>
        </w:rPr>
        <w:t xml:space="preserve">, et al. “Semi-Deconvolution of Bulk and Single-Cell RNA-Seq Data with Application to Metastatic Progression in Breast Cancer.” </w:t>
      </w:r>
      <w:r w:rsidRPr="00B10E3A">
        <w:rPr>
          <w:rFonts w:ascii="Calibri" w:cs="Calibri"/>
          <w:i/>
          <w:iCs/>
        </w:rPr>
        <w:t>Bioinformatics</w:t>
      </w:r>
      <w:r w:rsidRPr="00B10E3A">
        <w:rPr>
          <w:rFonts w:ascii="Calibri" w:cs="Calibri"/>
        </w:rPr>
        <w:t xml:space="preserve">, vol. 38, no. Supplement_1, June 2022, pp. i386–94. </w:t>
      </w:r>
      <w:r w:rsidRPr="00B10E3A">
        <w:rPr>
          <w:rFonts w:ascii="Calibri" w:cs="Calibri"/>
          <w:i/>
          <w:iCs/>
        </w:rPr>
        <w:t>DOI.org (</w:t>
      </w:r>
      <w:proofErr w:type="spellStart"/>
      <w:r w:rsidRPr="00B10E3A">
        <w:rPr>
          <w:rFonts w:ascii="Calibri" w:cs="Calibri"/>
          <w:i/>
          <w:iCs/>
        </w:rPr>
        <w:t>Crossref</w:t>
      </w:r>
      <w:proofErr w:type="spellEnd"/>
      <w:r w:rsidRPr="00B10E3A">
        <w:rPr>
          <w:rFonts w:ascii="Calibri" w:cs="Calibri"/>
          <w:i/>
          <w:iCs/>
        </w:rPr>
        <w:t>)</w:t>
      </w:r>
      <w:r w:rsidRPr="00B10E3A">
        <w:rPr>
          <w:rFonts w:ascii="Calibri" w:cs="Calibri"/>
        </w:rPr>
        <w:t>, https://doi.org/10.1093/bioinformatics/btac262.</w:t>
      </w:r>
    </w:p>
    <w:p w14:paraId="6F74CDD3" w14:textId="77777777" w:rsidR="00B10E3A" w:rsidRPr="00B10E3A" w:rsidRDefault="00B10E3A" w:rsidP="00B10E3A">
      <w:pPr>
        <w:pStyle w:val="Bibliography"/>
        <w:rPr>
          <w:rFonts w:ascii="Calibri" w:cs="Calibri"/>
        </w:rPr>
      </w:pPr>
      <w:r w:rsidRPr="00B10E3A">
        <w:rPr>
          <w:rFonts w:ascii="Calibri" w:cs="Calibri"/>
        </w:rPr>
        <w:t xml:space="preserve">Li, Pei-Heng, et al. “Recent Developments in Application of Single-Cell RNA Sequencing in the </w:t>
      </w:r>
      <w:proofErr w:type="spellStart"/>
      <w:r w:rsidRPr="00B10E3A">
        <w:rPr>
          <w:rFonts w:ascii="Calibri" w:cs="Calibri"/>
        </w:rPr>
        <w:t>Tumour</w:t>
      </w:r>
      <w:proofErr w:type="spellEnd"/>
      <w:r w:rsidRPr="00B10E3A">
        <w:rPr>
          <w:rFonts w:ascii="Calibri" w:cs="Calibri"/>
        </w:rPr>
        <w:t xml:space="preserve"> Immune Microenvironment and Cancer Therapy.” </w:t>
      </w:r>
      <w:r w:rsidRPr="00B10E3A">
        <w:rPr>
          <w:rFonts w:ascii="Calibri" w:cs="Calibri"/>
          <w:i/>
          <w:iCs/>
        </w:rPr>
        <w:t>Military Medical Research</w:t>
      </w:r>
      <w:r w:rsidRPr="00B10E3A">
        <w:rPr>
          <w:rFonts w:ascii="Calibri" w:cs="Calibri"/>
        </w:rPr>
        <w:t xml:space="preserve">, vol. 9, Sept. 2022, p. 52. </w:t>
      </w:r>
      <w:r w:rsidRPr="00B10E3A">
        <w:rPr>
          <w:rFonts w:ascii="Calibri" w:cs="Calibri"/>
          <w:i/>
          <w:iCs/>
        </w:rPr>
        <w:t>PubMed Central</w:t>
      </w:r>
      <w:r w:rsidRPr="00B10E3A">
        <w:rPr>
          <w:rFonts w:ascii="Calibri" w:cs="Calibri"/>
        </w:rPr>
        <w:t>, https://doi.org/10.1186/s40779-022-00414-y.</w:t>
      </w:r>
    </w:p>
    <w:p w14:paraId="6F091A66" w14:textId="77777777" w:rsidR="00B10E3A" w:rsidRPr="00B10E3A" w:rsidRDefault="00B10E3A" w:rsidP="00B10E3A">
      <w:pPr>
        <w:pStyle w:val="Bibliography"/>
        <w:rPr>
          <w:rFonts w:ascii="Calibri" w:cs="Calibri"/>
        </w:rPr>
      </w:pPr>
      <w:r w:rsidRPr="00B10E3A">
        <w:rPr>
          <w:rFonts w:ascii="Calibri" w:cs="Calibri"/>
        </w:rPr>
        <w:lastRenderedPageBreak/>
        <w:t xml:space="preserve">Menden, Kevin, et al. “Deep Learning–Based Cell Composition Analysis from Tissue Expression Profiles.” </w:t>
      </w:r>
      <w:r w:rsidRPr="00B10E3A">
        <w:rPr>
          <w:rFonts w:ascii="Calibri" w:cs="Calibri"/>
          <w:i/>
          <w:iCs/>
        </w:rPr>
        <w:t>Science Advances</w:t>
      </w:r>
      <w:r w:rsidRPr="00B10E3A">
        <w:rPr>
          <w:rFonts w:ascii="Calibri" w:cs="Calibri"/>
        </w:rPr>
        <w:t xml:space="preserve">, vol. 6, no. 30, July 2020, p. eaba2619. </w:t>
      </w:r>
      <w:r w:rsidRPr="00B10E3A">
        <w:rPr>
          <w:rFonts w:ascii="Calibri" w:cs="Calibri"/>
          <w:i/>
          <w:iCs/>
        </w:rPr>
        <w:t>PubMed Central</w:t>
      </w:r>
      <w:r w:rsidRPr="00B10E3A">
        <w:rPr>
          <w:rFonts w:ascii="Calibri" w:cs="Calibri"/>
        </w:rPr>
        <w:t>, https://doi.org/10.1126/sciadv.aba2619.</w:t>
      </w:r>
    </w:p>
    <w:p w14:paraId="4B46B9E8" w14:textId="77777777" w:rsidR="00B10E3A" w:rsidRPr="00B10E3A" w:rsidRDefault="00B10E3A" w:rsidP="00B10E3A">
      <w:pPr>
        <w:pStyle w:val="Bibliography"/>
        <w:rPr>
          <w:rFonts w:ascii="Calibri" w:cs="Calibri"/>
        </w:rPr>
      </w:pPr>
      <w:r w:rsidRPr="00B10E3A">
        <w:rPr>
          <w:rFonts w:ascii="Calibri" w:cs="Calibri"/>
        </w:rPr>
        <w:t xml:space="preserve">Patrick, Ellis, et al. “Deconvolving the Contributions of Cell-Type Heterogeneity on Cortical Gene Expression.” </w:t>
      </w:r>
      <w:r w:rsidRPr="00B10E3A">
        <w:rPr>
          <w:rFonts w:ascii="Calibri" w:cs="Calibri"/>
          <w:i/>
          <w:iCs/>
        </w:rPr>
        <w:t>PLOS Computational Biology</w:t>
      </w:r>
      <w:r w:rsidRPr="00B10E3A">
        <w:rPr>
          <w:rFonts w:ascii="Calibri" w:cs="Calibri"/>
        </w:rPr>
        <w:t xml:space="preserve">, edited by Qing </w:t>
      </w:r>
      <w:proofErr w:type="spellStart"/>
      <w:r w:rsidRPr="00B10E3A">
        <w:rPr>
          <w:rFonts w:ascii="Calibri" w:cs="Calibri"/>
        </w:rPr>
        <w:t>Nie</w:t>
      </w:r>
      <w:proofErr w:type="spellEnd"/>
      <w:r w:rsidRPr="00B10E3A">
        <w:rPr>
          <w:rFonts w:ascii="Calibri" w:cs="Calibri"/>
        </w:rPr>
        <w:t xml:space="preserve">, vol. 16, no. 8, Aug. 2020, p. e1008120. </w:t>
      </w:r>
      <w:r w:rsidRPr="00B10E3A">
        <w:rPr>
          <w:rFonts w:ascii="Calibri" w:cs="Calibri"/>
          <w:i/>
          <w:iCs/>
        </w:rPr>
        <w:t>DOI.org (</w:t>
      </w:r>
      <w:proofErr w:type="spellStart"/>
      <w:r w:rsidRPr="00B10E3A">
        <w:rPr>
          <w:rFonts w:ascii="Calibri" w:cs="Calibri"/>
          <w:i/>
          <w:iCs/>
        </w:rPr>
        <w:t>Crossref</w:t>
      </w:r>
      <w:proofErr w:type="spellEnd"/>
      <w:r w:rsidRPr="00B10E3A">
        <w:rPr>
          <w:rFonts w:ascii="Calibri" w:cs="Calibri"/>
          <w:i/>
          <w:iCs/>
        </w:rPr>
        <w:t>)</w:t>
      </w:r>
      <w:r w:rsidRPr="00B10E3A">
        <w:rPr>
          <w:rFonts w:ascii="Calibri" w:cs="Calibri"/>
        </w:rPr>
        <w:t>, https://doi.org/10.1371/journal.pcbi.1008120.</w:t>
      </w:r>
    </w:p>
    <w:p w14:paraId="7356E70C" w14:textId="77777777" w:rsidR="00B10E3A" w:rsidRPr="00B10E3A" w:rsidRDefault="00B10E3A" w:rsidP="00B10E3A">
      <w:pPr>
        <w:pStyle w:val="Bibliography"/>
        <w:rPr>
          <w:rFonts w:ascii="Calibri" w:cs="Calibri"/>
        </w:rPr>
      </w:pPr>
      <w:r w:rsidRPr="00B10E3A">
        <w:rPr>
          <w:rFonts w:ascii="Calibri" w:cs="Calibri"/>
        </w:rPr>
        <w:t xml:space="preserve">Qi, </w:t>
      </w:r>
      <w:proofErr w:type="spellStart"/>
      <w:r w:rsidRPr="00B10E3A">
        <w:rPr>
          <w:rFonts w:ascii="Calibri" w:cs="Calibri"/>
        </w:rPr>
        <w:t>Zongtai</w:t>
      </w:r>
      <w:proofErr w:type="spellEnd"/>
      <w:r w:rsidRPr="00B10E3A">
        <w:rPr>
          <w:rFonts w:ascii="Calibri" w:cs="Calibri"/>
        </w:rPr>
        <w:t xml:space="preserve">, et al. “Single-Cell Deconvolution of Head and Neck Squamous Cell Carcinoma.” </w:t>
      </w:r>
      <w:r w:rsidRPr="00B10E3A">
        <w:rPr>
          <w:rFonts w:ascii="Calibri" w:cs="Calibri"/>
          <w:i/>
          <w:iCs/>
        </w:rPr>
        <w:t>Cancers</w:t>
      </w:r>
      <w:r w:rsidRPr="00B10E3A">
        <w:rPr>
          <w:rFonts w:ascii="Calibri" w:cs="Calibri"/>
        </w:rPr>
        <w:t xml:space="preserve">, vol. 13, no. 6, Mar. 2021, p. 1230. </w:t>
      </w:r>
      <w:r w:rsidRPr="00B10E3A">
        <w:rPr>
          <w:rFonts w:ascii="Calibri" w:cs="Calibri"/>
          <w:i/>
          <w:iCs/>
        </w:rPr>
        <w:t>DOI.org (</w:t>
      </w:r>
      <w:proofErr w:type="spellStart"/>
      <w:r w:rsidRPr="00B10E3A">
        <w:rPr>
          <w:rFonts w:ascii="Calibri" w:cs="Calibri"/>
          <w:i/>
          <w:iCs/>
        </w:rPr>
        <w:t>Crossref</w:t>
      </w:r>
      <w:proofErr w:type="spellEnd"/>
      <w:r w:rsidRPr="00B10E3A">
        <w:rPr>
          <w:rFonts w:ascii="Calibri" w:cs="Calibri"/>
          <w:i/>
          <w:iCs/>
        </w:rPr>
        <w:t>)</w:t>
      </w:r>
      <w:r w:rsidRPr="00B10E3A">
        <w:rPr>
          <w:rFonts w:ascii="Calibri" w:cs="Calibri"/>
        </w:rPr>
        <w:t>, https://doi.org/10.3390/cancers13061230.</w:t>
      </w:r>
    </w:p>
    <w:p w14:paraId="67EABB88" w14:textId="77777777" w:rsidR="00B10E3A" w:rsidRPr="00B10E3A" w:rsidRDefault="00B10E3A" w:rsidP="00B10E3A">
      <w:pPr>
        <w:pStyle w:val="Bibliography"/>
        <w:rPr>
          <w:rFonts w:ascii="Calibri" w:cs="Calibri"/>
        </w:rPr>
      </w:pPr>
      <w:proofErr w:type="spellStart"/>
      <w:r w:rsidRPr="00B10E3A">
        <w:rPr>
          <w:rFonts w:ascii="Calibri" w:cs="Calibri"/>
        </w:rPr>
        <w:t>Racle</w:t>
      </w:r>
      <w:proofErr w:type="spellEnd"/>
      <w:r w:rsidRPr="00B10E3A">
        <w:rPr>
          <w:rFonts w:ascii="Calibri" w:cs="Calibri"/>
        </w:rPr>
        <w:t xml:space="preserve">, Julien, et al. “Simultaneous Enumeration of Cancer and Immune Cell Types from Bulk Tumor Gene Expression Data.” </w:t>
      </w:r>
      <w:proofErr w:type="spellStart"/>
      <w:r w:rsidRPr="00B10E3A">
        <w:rPr>
          <w:rFonts w:ascii="Calibri" w:cs="Calibri"/>
          <w:i/>
          <w:iCs/>
        </w:rPr>
        <w:t>ELife</w:t>
      </w:r>
      <w:proofErr w:type="spellEnd"/>
      <w:r w:rsidRPr="00B10E3A">
        <w:rPr>
          <w:rFonts w:ascii="Calibri" w:cs="Calibri"/>
        </w:rPr>
        <w:t xml:space="preserve">, vol. 6, Nov. 2017, p. e26476. </w:t>
      </w:r>
      <w:r w:rsidRPr="00B10E3A">
        <w:rPr>
          <w:rFonts w:ascii="Calibri" w:cs="Calibri"/>
          <w:i/>
          <w:iCs/>
        </w:rPr>
        <w:t>DOI.org (</w:t>
      </w:r>
      <w:proofErr w:type="spellStart"/>
      <w:r w:rsidRPr="00B10E3A">
        <w:rPr>
          <w:rFonts w:ascii="Calibri" w:cs="Calibri"/>
          <w:i/>
          <w:iCs/>
        </w:rPr>
        <w:t>Crossref</w:t>
      </w:r>
      <w:proofErr w:type="spellEnd"/>
      <w:r w:rsidRPr="00B10E3A">
        <w:rPr>
          <w:rFonts w:ascii="Calibri" w:cs="Calibri"/>
          <w:i/>
          <w:iCs/>
        </w:rPr>
        <w:t>)</w:t>
      </w:r>
      <w:r w:rsidRPr="00B10E3A">
        <w:rPr>
          <w:rFonts w:ascii="Calibri" w:cs="Calibri"/>
        </w:rPr>
        <w:t>, https://doi.org/10.7554/eLife.26476.</w:t>
      </w:r>
    </w:p>
    <w:p w14:paraId="33293A22" w14:textId="77777777" w:rsidR="00B10E3A" w:rsidRPr="00B10E3A" w:rsidRDefault="00B10E3A" w:rsidP="00B10E3A">
      <w:pPr>
        <w:pStyle w:val="Bibliography"/>
        <w:rPr>
          <w:rFonts w:ascii="Calibri" w:cs="Calibri"/>
        </w:rPr>
      </w:pPr>
      <w:r w:rsidRPr="00B10E3A">
        <w:rPr>
          <w:rFonts w:ascii="Calibri" w:cs="Calibri"/>
        </w:rPr>
        <w:t xml:space="preserve">Wang, </w:t>
      </w:r>
      <w:proofErr w:type="spellStart"/>
      <w:r w:rsidRPr="00B10E3A">
        <w:rPr>
          <w:rFonts w:ascii="Calibri" w:cs="Calibri"/>
        </w:rPr>
        <w:t>Jiebiao</w:t>
      </w:r>
      <w:proofErr w:type="spellEnd"/>
      <w:r w:rsidRPr="00B10E3A">
        <w:rPr>
          <w:rFonts w:ascii="Calibri" w:cs="Calibri"/>
        </w:rPr>
        <w:t xml:space="preserve">, et al. “Bayesian Estimation of Cell Type–Specific Gene Expression with Prior Derived from Single-Cell Data.” </w:t>
      </w:r>
      <w:r w:rsidRPr="00B10E3A">
        <w:rPr>
          <w:rFonts w:ascii="Calibri" w:cs="Calibri"/>
          <w:i/>
          <w:iCs/>
        </w:rPr>
        <w:t>Genome Research</w:t>
      </w:r>
      <w:r w:rsidRPr="00B10E3A">
        <w:rPr>
          <w:rFonts w:ascii="Calibri" w:cs="Calibri"/>
        </w:rPr>
        <w:t xml:space="preserve">, vol. 31, no. 10, Oct. 2021, pp. 1807–18. </w:t>
      </w:r>
      <w:r w:rsidRPr="00B10E3A">
        <w:rPr>
          <w:rFonts w:ascii="Calibri" w:cs="Calibri"/>
          <w:i/>
          <w:iCs/>
        </w:rPr>
        <w:t>DOI.org (</w:t>
      </w:r>
      <w:proofErr w:type="spellStart"/>
      <w:r w:rsidRPr="00B10E3A">
        <w:rPr>
          <w:rFonts w:ascii="Calibri" w:cs="Calibri"/>
          <w:i/>
          <w:iCs/>
        </w:rPr>
        <w:t>Crossref</w:t>
      </w:r>
      <w:proofErr w:type="spellEnd"/>
      <w:r w:rsidRPr="00B10E3A">
        <w:rPr>
          <w:rFonts w:ascii="Calibri" w:cs="Calibri"/>
          <w:i/>
          <w:iCs/>
        </w:rPr>
        <w:t>)</w:t>
      </w:r>
      <w:r w:rsidRPr="00B10E3A">
        <w:rPr>
          <w:rFonts w:ascii="Calibri" w:cs="Calibri"/>
        </w:rPr>
        <w:t>, https://doi.org/10.1101/gr.268722.120.</w:t>
      </w:r>
    </w:p>
    <w:p w14:paraId="4FA7E924" w14:textId="77777777" w:rsidR="00B10E3A" w:rsidRPr="00B10E3A" w:rsidRDefault="00B10E3A" w:rsidP="00B10E3A">
      <w:pPr>
        <w:pStyle w:val="Bibliography"/>
        <w:rPr>
          <w:rFonts w:ascii="Calibri" w:cs="Calibri"/>
        </w:rPr>
      </w:pPr>
      <w:r w:rsidRPr="00B10E3A">
        <w:rPr>
          <w:rFonts w:ascii="Calibri" w:cs="Calibri"/>
        </w:rPr>
        <w:t xml:space="preserve">Zhang, </w:t>
      </w:r>
      <w:proofErr w:type="spellStart"/>
      <w:r w:rsidRPr="00B10E3A">
        <w:rPr>
          <w:rFonts w:ascii="Calibri" w:cs="Calibri"/>
        </w:rPr>
        <w:t>Shaoshi</w:t>
      </w:r>
      <w:proofErr w:type="spellEnd"/>
      <w:r w:rsidRPr="00B10E3A">
        <w:rPr>
          <w:rFonts w:ascii="Calibri" w:cs="Calibri"/>
        </w:rPr>
        <w:t xml:space="preserve">, et al. “Deciphering </w:t>
      </w:r>
      <w:proofErr w:type="spellStart"/>
      <w:r w:rsidRPr="00B10E3A">
        <w:rPr>
          <w:rFonts w:ascii="Calibri" w:cs="Calibri"/>
        </w:rPr>
        <w:t>Tumour</w:t>
      </w:r>
      <w:proofErr w:type="spellEnd"/>
      <w:r w:rsidRPr="00B10E3A">
        <w:rPr>
          <w:rFonts w:ascii="Calibri" w:cs="Calibri"/>
        </w:rPr>
        <w:t xml:space="preserve"> Microenvironment of Liver Cancer through Deconvolution of Bulk RNA-Seq Data with Single-Cell Atlas.” </w:t>
      </w:r>
      <w:r w:rsidRPr="00B10E3A">
        <w:rPr>
          <w:rFonts w:ascii="Calibri" w:cs="Calibri"/>
          <w:i/>
          <w:iCs/>
        </w:rPr>
        <w:t>Cancers</w:t>
      </w:r>
      <w:r w:rsidRPr="00B10E3A">
        <w:rPr>
          <w:rFonts w:ascii="Calibri" w:cs="Calibri"/>
        </w:rPr>
        <w:t xml:space="preserve">, vol. 15, no. 1, Dec. 2022, p. 153. </w:t>
      </w:r>
      <w:r w:rsidRPr="00B10E3A">
        <w:rPr>
          <w:rFonts w:ascii="Calibri" w:cs="Calibri"/>
          <w:i/>
          <w:iCs/>
        </w:rPr>
        <w:t>DOI.org (</w:t>
      </w:r>
      <w:proofErr w:type="spellStart"/>
      <w:r w:rsidRPr="00B10E3A">
        <w:rPr>
          <w:rFonts w:ascii="Calibri" w:cs="Calibri"/>
          <w:i/>
          <w:iCs/>
        </w:rPr>
        <w:t>Crossref</w:t>
      </w:r>
      <w:proofErr w:type="spellEnd"/>
      <w:r w:rsidRPr="00B10E3A">
        <w:rPr>
          <w:rFonts w:ascii="Calibri" w:cs="Calibri"/>
          <w:i/>
          <w:iCs/>
        </w:rPr>
        <w:t>)</w:t>
      </w:r>
      <w:r w:rsidRPr="00B10E3A">
        <w:rPr>
          <w:rFonts w:ascii="Calibri" w:cs="Calibri"/>
        </w:rPr>
        <w:t>, https://doi.org/10.3390/cancers15010153.</w:t>
      </w:r>
    </w:p>
    <w:p w14:paraId="2441968B" w14:textId="21FD3071" w:rsidR="00B10E3A" w:rsidRDefault="00B10E3A">
      <w:r>
        <w:fldChar w:fldCharType="end"/>
      </w:r>
    </w:p>
    <w:p w14:paraId="267B4496" w14:textId="77777777" w:rsidR="00844DE8" w:rsidRDefault="00844DE8"/>
    <w:sectPr w:rsidR="0084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FF"/>
    <w:rsid w:val="00844DE8"/>
    <w:rsid w:val="008F561D"/>
    <w:rsid w:val="009F2877"/>
    <w:rsid w:val="00B10E3A"/>
    <w:rsid w:val="00D5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7842D"/>
  <w15:chartTrackingRefBased/>
  <w15:docId w15:val="{7E13F8E6-8903-BD4C-A065-21FDEDF8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F561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F561D"/>
  </w:style>
  <w:style w:type="character" w:customStyle="1" w:styleId="eop">
    <w:name w:val="eop"/>
    <w:basedOn w:val="DefaultParagraphFont"/>
    <w:rsid w:val="008F561D"/>
  </w:style>
  <w:style w:type="character" w:customStyle="1" w:styleId="scxw136904578">
    <w:name w:val="scxw136904578"/>
    <w:basedOn w:val="DefaultParagraphFont"/>
    <w:rsid w:val="008F561D"/>
  </w:style>
  <w:style w:type="paragraph" w:styleId="Bibliography">
    <w:name w:val="Bibliography"/>
    <w:basedOn w:val="Normal"/>
    <w:next w:val="Normal"/>
    <w:uiPriority w:val="37"/>
    <w:unhideWhenUsed/>
    <w:rsid w:val="00B10E3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694045">
      <w:bodyDiv w:val="1"/>
      <w:marLeft w:val="0"/>
      <w:marRight w:val="0"/>
      <w:marTop w:val="0"/>
      <w:marBottom w:val="0"/>
      <w:divBdr>
        <w:top w:val="none" w:sz="0" w:space="0" w:color="auto"/>
        <w:left w:val="none" w:sz="0" w:space="0" w:color="auto"/>
        <w:bottom w:val="none" w:sz="0" w:space="0" w:color="auto"/>
        <w:right w:val="none" w:sz="0" w:space="0" w:color="auto"/>
      </w:divBdr>
      <w:divsChild>
        <w:div w:id="604923776">
          <w:marLeft w:val="0"/>
          <w:marRight w:val="0"/>
          <w:marTop w:val="0"/>
          <w:marBottom w:val="0"/>
          <w:divBdr>
            <w:top w:val="none" w:sz="0" w:space="0" w:color="auto"/>
            <w:left w:val="none" w:sz="0" w:space="0" w:color="auto"/>
            <w:bottom w:val="none" w:sz="0" w:space="0" w:color="auto"/>
            <w:right w:val="none" w:sz="0" w:space="0" w:color="auto"/>
          </w:divBdr>
        </w:div>
        <w:div w:id="1313481304">
          <w:marLeft w:val="0"/>
          <w:marRight w:val="0"/>
          <w:marTop w:val="0"/>
          <w:marBottom w:val="0"/>
          <w:divBdr>
            <w:top w:val="none" w:sz="0" w:space="0" w:color="auto"/>
            <w:left w:val="none" w:sz="0" w:space="0" w:color="auto"/>
            <w:bottom w:val="none" w:sz="0" w:space="0" w:color="auto"/>
            <w:right w:val="none" w:sz="0" w:space="0" w:color="auto"/>
          </w:divBdr>
        </w:div>
        <w:div w:id="438645079">
          <w:marLeft w:val="0"/>
          <w:marRight w:val="0"/>
          <w:marTop w:val="0"/>
          <w:marBottom w:val="0"/>
          <w:divBdr>
            <w:top w:val="none" w:sz="0" w:space="0" w:color="auto"/>
            <w:left w:val="none" w:sz="0" w:space="0" w:color="auto"/>
            <w:bottom w:val="none" w:sz="0" w:space="0" w:color="auto"/>
            <w:right w:val="none" w:sz="0" w:space="0" w:color="auto"/>
          </w:divBdr>
        </w:div>
        <w:div w:id="2093969787">
          <w:marLeft w:val="0"/>
          <w:marRight w:val="0"/>
          <w:marTop w:val="0"/>
          <w:marBottom w:val="0"/>
          <w:divBdr>
            <w:top w:val="none" w:sz="0" w:space="0" w:color="auto"/>
            <w:left w:val="none" w:sz="0" w:space="0" w:color="auto"/>
            <w:bottom w:val="none" w:sz="0" w:space="0" w:color="auto"/>
            <w:right w:val="none" w:sz="0" w:space="0" w:color="auto"/>
          </w:divBdr>
        </w:div>
        <w:div w:id="482089674">
          <w:marLeft w:val="0"/>
          <w:marRight w:val="0"/>
          <w:marTop w:val="0"/>
          <w:marBottom w:val="0"/>
          <w:divBdr>
            <w:top w:val="none" w:sz="0" w:space="0" w:color="auto"/>
            <w:left w:val="none" w:sz="0" w:space="0" w:color="auto"/>
            <w:bottom w:val="none" w:sz="0" w:space="0" w:color="auto"/>
            <w:right w:val="none" w:sz="0" w:space="0" w:color="auto"/>
          </w:divBdr>
        </w:div>
        <w:div w:id="1196236685">
          <w:marLeft w:val="0"/>
          <w:marRight w:val="0"/>
          <w:marTop w:val="0"/>
          <w:marBottom w:val="0"/>
          <w:divBdr>
            <w:top w:val="none" w:sz="0" w:space="0" w:color="auto"/>
            <w:left w:val="none" w:sz="0" w:space="0" w:color="auto"/>
            <w:bottom w:val="none" w:sz="0" w:space="0" w:color="auto"/>
            <w:right w:val="none" w:sz="0" w:space="0" w:color="auto"/>
          </w:divBdr>
        </w:div>
        <w:div w:id="1933315744">
          <w:marLeft w:val="0"/>
          <w:marRight w:val="0"/>
          <w:marTop w:val="0"/>
          <w:marBottom w:val="0"/>
          <w:divBdr>
            <w:top w:val="none" w:sz="0" w:space="0" w:color="auto"/>
            <w:left w:val="none" w:sz="0" w:space="0" w:color="auto"/>
            <w:bottom w:val="none" w:sz="0" w:space="0" w:color="auto"/>
            <w:right w:val="none" w:sz="0" w:space="0" w:color="auto"/>
          </w:divBdr>
        </w:div>
        <w:div w:id="660547726">
          <w:marLeft w:val="0"/>
          <w:marRight w:val="0"/>
          <w:marTop w:val="0"/>
          <w:marBottom w:val="0"/>
          <w:divBdr>
            <w:top w:val="none" w:sz="0" w:space="0" w:color="auto"/>
            <w:left w:val="none" w:sz="0" w:space="0" w:color="auto"/>
            <w:bottom w:val="none" w:sz="0" w:space="0" w:color="auto"/>
            <w:right w:val="none" w:sz="0" w:space="0" w:color="auto"/>
          </w:divBdr>
        </w:div>
        <w:div w:id="1482043651">
          <w:marLeft w:val="0"/>
          <w:marRight w:val="0"/>
          <w:marTop w:val="0"/>
          <w:marBottom w:val="0"/>
          <w:divBdr>
            <w:top w:val="none" w:sz="0" w:space="0" w:color="auto"/>
            <w:left w:val="none" w:sz="0" w:space="0" w:color="auto"/>
            <w:bottom w:val="none" w:sz="0" w:space="0" w:color="auto"/>
            <w:right w:val="none" w:sz="0" w:space="0" w:color="auto"/>
          </w:divBdr>
        </w:div>
        <w:div w:id="1213155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5342</Words>
  <Characters>30456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dcterms:created xsi:type="dcterms:W3CDTF">2023-03-08T16:33:00Z</dcterms:created>
  <dcterms:modified xsi:type="dcterms:W3CDTF">2023-03-08T16:47:00Z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id="T0GVu4yz"/&gt;&lt;style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