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629B1">
      <w:pPr>
        <w:spacing w:before="120" w:beforeLines="50"/>
        <w:jc w:val="center"/>
        <w:rPr>
          <w:rFonts w:hint="eastAsia" w:ascii="微软雅黑" w:hAnsi="微软雅黑" w:eastAsia="微软雅黑"/>
          <w:b/>
          <w:sz w:val="52"/>
          <w:szCs w:val="52"/>
        </w:rPr>
      </w:pPr>
      <w:r>
        <w:rPr>
          <w:rFonts w:hint="eastAsia" w:ascii="微软雅黑" w:hAnsi="微软雅黑" w:eastAsia="微软雅黑"/>
          <w:b/>
          <w:sz w:val="52"/>
          <w:szCs w:val="52"/>
        </w:rPr>
        <w:t>贵阳人文科技学院</w:t>
      </w:r>
    </w:p>
    <w:p w14:paraId="3F4A6090">
      <w:pPr>
        <w:spacing w:before="120" w:beforeLines="50"/>
        <w:jc w:val="center"/>
        <w:rPr>
          <w:rFonts w:hint="eastAsia" w:ascii="微软雅黑" w:hAnsi="微软雅黑" w:eastAsia="微软雅黑"/>
          <w:b/>
          <w:bCs/>
          <w:sz w:val="48"/>
          <w:szCs w:val="60"/>
        </w:rPr>
      </w:pPr>
      <w:r>
        <w:rPr>
          <w:rFonts w:hint="eastAsia" w:ascii="微软雅黑" w:hAnsi="微软雅黑" w:eastAsia="微软雅黑"/>
          <w:b/>
          <w:bCs/>
          <w:sz w:val="48"/>
          <w:szCs w:val="60"/>
        </w:rPr>
        <w:t>本科毕业论文（设计）开题报告</w:t>
      </w:r>
    </w:p>
    <w:p w14:paraId="2367587E">
      <w:pPr>
        <w:rPr>
          <w:rFonts w:hint="eastAsia" w:ascii="微软雅黑" w:hAnsi="微软雅黑" w:eastAsia="微软雅黑"/>
          <w:sz w:val="30"/>
        </w:rPr>
      </w:pPr>
    </w:p>
    <w:p w14:paraId="4EBAADFE">
      <w:pPr>
        <w:rPr>
          <w:rFonts w:hint="eastAsia" w:ascii="微软雅黑" w:hAnsi="微软雅黑" w:eastAsia="微软雅黑"/>
          <w:sz w:val="30"/>
        </w:rPr>
      </w:pPr>
    </w:p>
    <w:p w14:paraId="6AB1C967">
      <w:pPr>
        <w:rPr>
          <w:rFonts w:hint="eastAsia" w:ascii="微软雅黑" w:hAnsi="微软雅黑" w:eastAsia="微软雅黑"/>
          <w:sz w:val="30"/>
        </w:rPr>
      </w:pPr>
    </w:p>
    <w:p w14:paraId="41887658">
      <w:pPr>
        <w:jc w:val="center"/>
        <w:rPr>
          <w:rFonts w:hint="eastAsia" w:ascii="微软雅黑" w:hAnsi="微软雅黑" w:eastAsia="微软雅黑"/>
          <w:sz w:val="32"/>
        </w:rPr>
      </w:pPr>
      <w:r>
        <w:rPr>
          <w:rFonts w:hint="eastAsia" w:ascii="微软雅黑" w:hAnsi="微软雅黑" w:eastAsia="微软雅黑"/>
          <w:b/>
          <w:sz w:val="36"/>
        </w:rPr>
        <w:t xml:space="preserve">    基于TensorFlow的智能电网负荷预测系统设计与实现</w:t>
      </w:r>
    </w:p>
    <w:p w14:paraId="2B30E676">
      <w:pPr>
        <w:rPr>
          <w:rFonts w:hint="eastAsia" w:ascii="微软雅黑" w:hAnsi="微软雅黑" w:eastAsia="微软雅黑"/>
        </w:rPr>
      </w:pPr>
    </w:p>
    <w:p w14:paraId="0E060434">
      <w:pPr>
        <w:rPr>
          <w:rFonts w:hint="eastAsia" w:ascii="微软雅黑" w:hAnsi="微软雅黑" w:eastAsia="微软雅黑"/>
        </w:rPr>
      </w:pPr>
    </w:p>
    <w:p w14:paraId="17DBEF5F">
      <w:pPr>
        <w:spacing w:before="120" w:beforeLines="50" w:after="120" w:afterLines="50"/>
        <w:ind w:firstLine="2353" w:firstLineChars="73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sz w:val="32"/>
        </w:rPr>
        <w:t>学    院：________________________</w:t>
      </w:r>
    </w:p>
    <w:p w14:paraId="6B7AD6FE">
      <w:pPr>
        <w:spacing w:before="120" w:beforeLines="50" w:after="120" w:afterLines="50"/>
        <w:ind w:firstLine="2353" w:firstLineChars="735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学生姓名：_______</w:t>
      </w:r>
      <w:bookmarkStart w:id="0" w:name="_GoBack"/>
      <w:bookmarkEnd w:id="0"/>
      <w:r>
        <w:rPr>
          <w:rFonts w:hint="eastAsia" w:ascii="微软雅黑" w:hAnsi="微软雅黑" w:eastAsia="微软雅黑"/>
          <w:b/>
          <w:sz w:val="32"/>
        </w:rPr>
        <w:t>_________________</w:t>
      </w:r>
    </w:p>
    <w:p w14:paraId="6296B30D">
      <w:pPr>
        <w:spacing w:before="120" w:beforeLines="50" w:after="120" w:afterLines="50"/>
        <w:ind w:firstLine="2353" w:firstLineChars="735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学    号：________________________</w:t>
      </w:r>
    </w:p>
    <w:p w14:paraId="4A5FDF66">
      <w:pPr>
        <w:spacing w:before="120" w:beforeLines="50" w:after="120" w:afterLines="50"/>
        <w:ind w:firstLine="2353" w:firstLineChars="735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年    级：________________________</w:t>
      </w:r>
    </w:p>
    <w:p w14:paraId="5B0A388D">
      <w:pPr>
        <w:spacing w:before="120" w:beforeLines="50" w:after="120" w:afterLines="50"/>
        <w:ind w:firstLine="2353" w:firstLineChars="735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专业班级：________________________</w:t>
      </w:r>
    </w:p>
    <w:p w14:paraId="322853AA">
      <w:pPr>
        <w:spacing w:before="120" w:beforeLines="50" w:after="120" w:afterLines="50"/>
        <w:ind w:firstLine="2353" w:firstLineChars="735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指导教师：________________________</w:t>
      </w:r>
    </w:p>
    <w:p w14:paraId="501E5D73">
      <w:pPr>
        <w:spacing w:before="120" w:beforeLines="50" w:after="120" w:afterLines="50"/>
        <w:ind w:firstLine="2353" w:firstLineChars="735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职    称：________________________</w:t>
      </w:r>
    </w:p>
    <w:p w14:paraId="37F3E390">
      <w:pPr>
        <w:spacing w:before="120" w:beforeLines="50" w:after="120" w:afterLines="50"/>
        <w:ind w:firstLine="2353" w:firstLineChars="73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b/>
          <w:sz w:val="32"/>
        </w:rPr>
        <w:t>填表日期：2026年9月9日</w:t>
      </w:r>
    </w:p>
    <w:p w14:paraId="226DDC89">
      <w:pPr>
        <w:rPr>
          <w:rFonts w:hint="eastAsia" w:ascii="微软雅黑" w:hAnsi="微软雅黑" w:eastAsia="微软雅黑"/>
        </w:rPr>
      </w:pPr>
    </w:p>
    <w:p w14:paraId="6BB249B6">
      <w:pPr>
        <w:jc w:val="center"/>
        <w:rPr>
          <w:rFonts w:hint="eastAsia" w:ascii="微软雅黑" w:hAnsi="微软雅黑" w:eastAsia="微软雅黑"/>
          <w:sz w:val="32"/>
        </w:rPr>
      </w:pPr>
    </w:p>
    <w:p w14:paraId="31C2B212">
      <w:pPr>
        <w:jc w:val="center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 w14:paraId="15362632">
      <w:pPr>
        <w:jc w:val="center"/>
        <w:rPr>
          <w:rFonts w:hint="eastAsia" w:ascii="微软雅黑" w:hAnsi="微软雅黑" w:eastAsia="微软雅黑"/>
        </w:rPr>
      </w:pPr>
    </w:p>
    <w:p w14:paraId="596414D8">
      <w:pPr>
        <w:jc w:val="center"/>
        <w:rPr>
          <w:rFonts w:hint="eastAsia"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说  明</w:t>
      </w:r>
    </w:p>
    <w:p w14:paraId="6F8083A6">
      <w:pPr>
        <w:jc w:val="center"/>
        <w:rPr>
          <w:rFonts w:hint="eastAsia" w:ascii="宋体" w:hAnsi="宋体"/>
          <w:b/>
          <w:bCs/>
          <w:sz w:val="36"/>
        </w:rPr>
      </w:pPr>
    </w:p>
    <w:p w14:paraId="304767B3">
      <w:pPr>
        <w:ind w:firstLine="640" w:firstLineChars="200"/>
        <w:rPr>
          <w:rFonts w:hint="eastAsia" w:ascii="宋体" w:hAnsi="宋体"/>
          <w:sz w:val="32"/>
        </w:rPr>
      </w:pPr>
      <w:r>
        <w:rPr>
          <w:rFonts w:hint="eastAsia" w:ascii="宋体" w:hAnsi="宋体"/>
          <w:sz w:val="32"/>
        </w:rPr>
        <w:t>1．学生应在开题报告前，通过调研和资料搜集，主动与指导教师讨论，在指导教师的指导下，完成开题报告。</w:t>
      </w:r>
    </w:p>
    <w:p w14:paraId="3E620330">
      <w:pPr>
        <w:ind w:firstLine="640" w:firstLineChars="200"/>
        <w:rPr>
          <w:rFonts w:hint="eastAsia" w:ascii="宋体" w:hAnsi="宋体"/>
          <w:sz w:val="32"/>
        </w:rPr>
      </w:pPr>
      <w:r>
        <w:rPr>
          <w:rFonts w:hint="eastAsia" w:ascii="宋体" w:hAnsi="宋体"/>
          <w:sz w:val="32"/>
        </w:rPr>
        <w:t>2．此表一式二份，交学院装入毕业设计（论文）存档。</w:t>
      </w:r>
    </w:p>
    <w:p w14:paraId="51211503">
      <w:pPr>
        <w:ind w:firstLine="640" w:firstLineChars="200"/>
        <w:rPr>
          <w:rFonts w:hint="eastAsia" w:ascii="宋体" w:hAnsi="宋体"/>
          <w:sz w:val="32"/>
        </w:rPr>
      </w:pPr>
      <w:r>
        <w:rPr>
          <w:rFonts w:hint="eastAsia" w:ascii="宋体" w:hAnsi="宋体"/>
          <w:sz w:val="32"/>
        </w:rPr>
        <w:t>3．开题报告需经指导教师、院领导审查合格后，方可正式进入下一步毕业设计（论文）阶段。</w:t>
      </w:r>
    </w:p>
    <w:p w14:paraId="7D30065A">
      <w:pPr>
        <w:ind w:firstLine="640" w:firstLineChars="200"/>
        <w:rPr>
          <w:rFonts w:hint="eastAsia" w:ascii="宋体" w:hAnsi="宋体"/>
          <w:sz w:val="32"/>
        </w:rPr>
      </w:pPr>
      <w:r>
        <w:rPr>
          <w:rFonts w:hint="eastAsia" w:ascii="宋体" w:hAnsi="宋体"/>
          <w:sz w:val="32"/>
        </w:rPr>
        <w:t>4．不得少于15篇（部）</w:t>
      </w:r>
      <w:r>
        <w:rPr>
          <w:rFonts w:hint="eastAsia" w:ascii="宋体" w:hAnsi="宋体"/>
          <w:bCs/>
          <w:sz w:val="32"/>
        </w:rPr>
        <w:t>相关文章或著作的阅读量。</w:t>
      </w:r>
    </w:p>
    <w:p w14:paraId="3670AAF9">
      <w:pPr>
        <w:ind w:firstLine="640" w:firstLineChars="200"/>
        <w:rPr>
          <w:rFonts w:hint="eastAsia" w:ascii="宋体" w:hAnsi="宋体"/>
          <w:sz w:val="32"/>
        </w:rPr>
      </w:pPr>
      <w:r>
        <w:rPr>
          <w:rFonts w:hint="eastAsia" w:ascii="宋体" w:hAnsi="宋体"/>
          <w:bCs/>
          <w:sz w:val="32"/>
        </w:rPr>
        <w:t>5．开题报告撰写不少于1000字。</w:t>
      </w:r>
    </w:p>
    <w:p w14:paraId="1B5BEB1A">
      <w:pPr>
        <w:ind w:firstLine="640" w:firstLineChars="200"/>
        <w:rPr>
          <w:rFonts w:hint="eastAsia" w:ascii="宋体" w:hAnsi="宋体"/>
          <w:bCs/>
          <w:sz w:val="32"/>
        </w:rPr>
      </w:pPr>
      <w:r>
        <w:rPr>
          <w:rFonts w:hint="eastAsia" w:ascii="宋体" w:hAnsi="宋体"/>
          <w:bCs/>
          <w:sz w:val="32"/>
        </w:rPr>
        <w:t>6．表格内字体——宋体，字号——小四，行间距——1.25，段前——0.5，标题——黑粗体。</w:t>
      </w:r>
    </w:p>
    <w:p w14:paraId="3056F35A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  <w:r>
        <w:rPr>
          <w:rFonts w:hint="eastAsia" w:ascii="宋体" w:hAnsi="宋体"/>
          <w:bCs/>
          <w:sz w:val="32"/>
        </w:rPr>
        <w:t>7．有关栏目空格不够时，可加页续填。</w:t>
      </w:r>
    </w:p>
    <w:p w14:paraId="12C2924C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p w14:paraId="4D7335D7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p w14:paraId="57E556D7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p w14:paraId="144158DD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p w14:paraId="29FAD933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p w14:paraId="176B34E0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p w14:paraId="06D82376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p w14:paraId="2CD50E2E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p w14:paraId="048DC9EA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p w14:paraId="4E87C942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p w14:paraId="4A40CC1B">
      <w:pPr>
        <w:spacing w:line="360" w:lineRule="auto"/>
        <w:ind w:firstLine="640" w:firstLineChars="200"/>
        <w:rPr>
          <w:rFonts w:hint="eastAsia" w:ascii="宋体" w:hAnsi="宋体"/>
          <w:bCs/>
          <w:sz w:val="32"/>
        </w:rPr>
      </w:pP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8143"/>
      </w:tblGrid>
      <w:tr w14:paraId="58DE2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3" w:type="dxa"/>
            <w:gridSpan w:val="2"/>
          </w:tcPr>
          <w:p w14:paraId="2D9420FB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研究目的和意义</w:t>
            </w:r>
          </w:p>
          <w:p w14:paraId="7F2DD085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随着新能源渗透率提升、电力市场化程度加深以及用电行为日益复杂，电力系统中的负荷、电价和光伏出力呈现明显的周期性、非线性与随机波动。准确的短期预测能够为发电计划、需求响应、电力交易和新能源消纳提供依据，是智能电网实现安全、经济、低碳运行的重要基础[1][8]。ISO New England（ISO-NE）公开了系统实际负荷、日前需求、实时及日前节点边际电价等数据，为开展区域级智能预测研究提供了可靠的数据基础[15]。</w:t>
            </w:r>
          </w:p>
          <w:p w14:paraId="471E891C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本课题拟设计并实现一个基于 TensorFlow 的智能电网负荷预测系统。系统以美国新英格兰区域为研究对象，融合 ISO-NE 历史负荷与电价、Open-Meteo 气象预报以及时间日历等信息，构建面向未来24小时的负荷预测、电价分位预测和光伏发电预测模块。负荷与电价分别采用独立的双向门控循环单元—门控循环单元（BiGRU-GRU）编码—解码网络，避免不同目标之间相互干扰；光伏模块采用以气象和太阳几何特征为输入的 GRU 网络。系统同时完成数据采集、特征工程、模型推理、历史回测、误差分析、运行监测和可视化展示，形成从数据到决策支持的完整闭环。</w:t>
            </w:r>
          </w:p>
          <w:p w14:paraId="33B1EAE2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本课题的理论意义在于：研究长时间窗口、多源外生变量与多步直接预测的组合方式，分析气象、周期、历史滞后等因素对区域负荷变化的影响；通过电价 P10、P50、P90 分位输出表达市场价格不确定性，体现概率预测思想[1][7]；通过严格的时间顺序划分与回测评价，验证深度时序模型在真实能源数据场景中的适用性。</w:t>
            </w:r>
          </w:p>
          <w:p w14:paraId="00555D56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本课题的实践意义在于：采用 TensorFlow/Keras 建立可复用的训练与部署流程[14]，通过 FastAPI 提供预测服务，利用 MySQL 保存预测记录与实际值，并在 React 前端以曲线、指标卡和历史分析页面展示结果。系统可帮助用户直观了解未来负荷峰谷、电价区间及光伏出力趋势，为调度辅助、风险预警和新能源协同分析提供参考，同时能够作为本科阶段人工智能、软件工程与能源应用交叉实践的完整成果。</w:t>
            </w:r>
          </w:p>
          <w:p w14:paraId="4B8C1A6A">
            <w:pPr>
              <w:spacing w:before="120" w:line="300" w:lineRule="auto"/>
              <w:ind w:firstLine="48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/>
                <w:sz w:val="24"/>
              </w:rPr>
              <w:t>具体目标包括：一是建立2017—2026年多源小时级数据的清洗、对齐和特征工程流程；二是完成168小时历史输入到未来24小时负荷、电价预测，以及96小时历史输入到未来24小时光伏预测；三是建立训练、验证、测试和历史回测评价体系；四是完成前后端一体化系统，并保证模型、归一化器、特征顺序和在线推理口径一致；五是形成可展示、可解释、可复现实验结果的毕业设计成果。</w:t>
            </w:r>
          </w:p>
        </w:tc>
      </w:tr>
      <w:tr w14:paraId="6B11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3" w:type="dxa"/>
            <w:gridSpan w:val="2"/>
          </w:tcPr>
          <w:p w14:paraId="69932907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研究现状（概述与本选题有关的观点，本栏目可根据实际情况增加篇幅）</w:t>
            </w:r>
          </w:p>
          <w:p w14:paraId="25FE7C82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1. 电力负荷预测研究现状</w:t>
            </w:r>
          </w:p>
          <w:p w14:paraId="3A309D0F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短期负荷预测经历了从回归、指数平滑和 ARIMA 等统计方法，到支持向量机、随机森林和神经网络等数据驱动方法的发展。传统统计模型具有结构清晰、解释方便的优点，但在多变量、强非线性和长依赖场景中能力有限。Hong 和 Fan 对概率负荷预测的任务、方法及评价方式进行了系统梳理，指出预测结果应服务于规划、交易与运行决策，并应重视可复现评价和不确定性刻画[1]。Ben Taieb 等比较了多步预测策略，说明多输出方法能够减少递归预测中误差逐步累积的问题[5]。</w:t>
            </w:r>
          </w:p>
          <w:p w14:paraId="22AD7832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循环神经网络能够利用历史状态学习时间相关性。Hochreiter 和 Schmidhuber 提出的 LSTM 通过门控机制缓解长序列训练中的梯度消失问题[3]；Cho 等提出的 GRU 使用更新门和重置门，以相对紧凑的结构建模序列依赖[4]。Kong 等将 LSTM 应用于短期居民负荷预测并验证了其对非线性负荷变化的学习能力[2]。当前研究进一步向多时间尺度、多变量和可解释方向发展，例如 Temporal Fusion Transformer 将循环层、特征选择和注意力机制结合，用于可解释的多预测时域任务[6]。这些成果说明，将历史负荷、天气与日历变量共同输入深度时序模型，是提高24小时负荷预测能力的合理技术路线。</w:t>
            </w:r>
          </w:p>
          <w:p w14:paraId="44C307CB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2. 电价与概率预测研究现状</w:t>
            </w:r>
          </w:p>
          <w:p w14:paraId="3D384F7E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电价序列同时受到负荷、燃料成本、市场规则、供需约束和偶发事件影响，具有尖峰、厚尾和时变波动等特征。Weron 将电价预测方法归纳为博弈、基本面、简化形式、统计和人工智能等类别，并强调统一数据、评价流程和显著性检验的重要性[9]。Lago 等进一步给出了日前电价预测的开放基准和实验规范，指出不能只使用单一时段或单一指标评价模型[10]。概率预测可以输出区间或分位数，从而比单点结果提供更多风险信息；GEFCom2014 也将负荷、电价、风电和光伏纳入概率能源预测任务[8]。DeepAR 等研究表明，循环网络能够直接学习概率分布[7]。因此，本课题的电价模块采用独立网络并输出 P10、P50、P90 三个有序分位，其中 P50 表示中位预测，P10—P90 表示预测区间。</w:t>
            </w:r>
          </w:p>
          <w:p w14:paraId="3CC31391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3. 光伏功率预测研究现状</w:t>
            </w:r>
          </w:p>
          <w:p w14:paraId="5BEE03B5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光伏功率受太阳辐照度、云量、温度、太阳高度角和季节变化影响，预测方法可分为物理方法、统计方法、机器学习方法及其混合方法。Akhter 等指出，机器学习方法能够从历史功率与气象变量中建立非线性映射，但预测效果依赖数据质量、预测时域和输入变量选择[11]。Li 等总结了人工智能在新能源电力系统预测、调度、控制和市场中的作用，并强调新能源不确定性给系统运行带来的挑战[12]。本课题采用数据驱动的 GRU 光伏模型，以辐照度、云量、温度、太阳几何和历史光伏出力为主要输入，不使用已删除的风电物理估算模块。</w:t>
            </w:r>
          </w:p>
          <w:p w14:paraId="0ED8394D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4. 深度学习框架与系统实现研究现状</w:t>
            </w:r>
          </w:p>
          <w:p w14:paraId="17259A96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Vaswani 等提出的 Transformer 证明注意力机制能够有效建模长距离依赖[13]，但对于数据规模有限、要求快速推理的区域级预测场景，GRU 编码—解码器具有参数量适中、训练稳定和工程实现简单等优点。TensorFlow 支持从模型定义、GPU 训练到服务部署的一体化流程[14]。在数据侧，ISO-NE Web Services 提供实际系统需求和多类电价数据[15]，Open-Meteo 提供逐小时天气变量及预报接口[16]，二者能够支撑历史训练和在线推理。</w:t>
            </w:r>
          </w:p>
          <w:p w14:paraId="04C55FEF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5. 现有研究不足与本课题切入点</w:t>
            </w:r>
          </w:p>
          <w:p w14:paraId="36F834E4">
            <w:pPr>
              <w:spacing w:before="120" w:line="300" w:lineRule="auto"/>
              <w:ind w:firstLine="48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/>
                <w:sz w:val="24"/>
              </w:rPr>
              <w:t>现有研究常以单一数据集离线实验为主，模型训练、实时特征生成、在线推理和前端展示之间容易出现特征顺序不一致、归一化器不一致或时间穿越等问题；电价预测还容易因极端价格造成平均百分比误差失真。本课题以“独立模型、时间顺序划分、训练—推理同构、可回测、可监控”为原则，把负荷、电价、光伏三类预测集成到同一应用中。项目已有训练结果表明，独立负荷模型在测试集上的 MAE 为305.40 MW、RMSE 为476.14 MW、MAPE 为1.922%、R²为0.97739；独立电价模型测试集 P50 MAE 为13.266 USD/MWh、RMSE 为26.494 USD/MWh，仍存在继续优化空间；光伏模型测试集白天 nMAE 为17.913%。这些结果既构成系统实现基础，也为论文中的误差成因分析和改进讨论提供真实依据。</w:t>
            </w:r>
          </w:p>
        </w:tc>
      </w:tr>
      <w:tr w14:paraId="469B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3" w:type="dxa"/>
            <w:gridSpan w:val="2"/>
          </w:tcPr>
          <w:p w14:paraId="1654E614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研究内容（论文框架，要求列示一、二级标题及简要说明）</w:t>
            </w:r>
          </w:p>
          <w:p w14:paraId="14B40B37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一、绪论</w:t>
            </w:r>
          </w:p>
          <w:p w14:paraId="7262AE7F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1.1 研究背景与意义：介绍智能电网、新能源接入和电力市场对短期预测的需求。</w:t>
            </w:r>
          </w:p>
          <w:p w14:paraId="32DD615A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1.2 国内外研究现状：梳理负荷预测、电价概率预测、光伏预测和深度时序模型的发展。</w:t>
            </w:r>
          </w:p>
          <w:p w14:paraId="1CDED531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1.3 研究内容与技术路线：说明数据、模型、后端、数据库与前端的整体关系。</w:t>
            </w:r>
          </w:p>
          <w:p w14:paraId="07EC46CB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</w:p>
          <w:p w14:paraId="3FE433E6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二、相关理论与关键技术</w:t>
            </w:r>
          </w:p>
          <w:p w14:paraId="341995DD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2.1 时间序列预测理论：介绍单步与多步预测、点预测与概率预测。</w:t>
            </w:r>
          </w:p>
          <w:p w14:paraId="3FA0E0DB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2.2 循环神经网络：说明 LSTM、GRU、BiGRU 和编码—解码结构原理。</w:t>
            </w:r>
          </w:p>
          <w:p w14:paraId="5C9CD4FC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2.3 TensorFlow/Keras：介绍模型构建、损失函数、回调机制和权重部署方式。</w:t>
            </w:r>
          </w:p>
          <w:p w14:paraId="2B7044C5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2.4 系统开发技术：介绍 FastAPI、MySQL、React、TypeScript 和 Recharts 的作用。</w:t>
            </w:r>
          </w:p>
          <w:p w14:paraId="77C16A54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</w:p>
          <w:p w14:paraId="2640CEE7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三、数据处理与特征工程</w:t>
            </w:r>
          </w:p>
          <w:p w14:paraId="17271E63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3.1 数据来源：说明 ISO-NE 负荷、电价数据和 Open-Meteo 气象数据。</w:t>
            </w:r>
          </w:p>
          <w:p w14:paraId="7EBDCC46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3.2 数据清洗与时间对齐：处理缺失、异常、重复记录、时区及夏令时问题。</w:t>
            </w:r>
          </w:p>
          <w:p w14:paraId="47273ECD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3.3 特征构造：生成24小时和168小时滞后、滚动统计、温度负荷指数、周期编码、节假日及太阳几何特征。</w:t>
            </w:r>
          </w:p>
          <w:p w14:paraId="47AD49CC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3.4 数据集划分与归一化：按时间顺序划分训练、验证和测试集，归一化器只在训练集上拟合，防止数据泄漏。</w:t>
            </w:r>
          </w:p>
          <w:p w14:paraId="170080A5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</w:p>
          <w:p w14:paraId="74CAA7E7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四、TensorFlow 预测模型设计</w:t>
            </w:r>
          </w:p>
          <w:p w14:paraId="7251A903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4.1 负荷预测模型：使用168小时历史输入和24小时已知未来特征，直接输出未来24小时区域负荷。</w:t>
            </w:r>
          </w:p>
          <w:p w14:paraId="0E5D44B0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4.2 电价预测模型：建立独立的 BiGRU-GRU 分位回归网络，输出 P10、P50、P90 有序电价。</w:t>
            </w:r>
          </w:p>
          <w:p w14:paraId="2347226A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4.3 光伏预测模型：使用96小时历史功率、天气和太阳几何信息预测未来24小时归一化光伏出力。</w:t>
            </w:r>
          </w:p>
          <w:p w14:paraId="72DDBA16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4.4 模型训练策略：采用时间顺序样本、Huber/分位数/MAE 等任务适配损失、学习率调整、最佳权重保存及早停思想。</w:t>
            </w:r>
          </w:p>
          <w:p w14:paraId="7F5E47C6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4.5 评价方法：使用 MAE、RMSE、MAPE、R²、偏差、峰值时段误差和分位区间覆盖率。</w:t>
            </w:r>
          </w:p>
          <w:p w14:paraId="61DED871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</w:p>
          <w:p w14:paraId="682E44D5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五、智能电网预测系统设计与实现</w:t>
            </w:r>
          </w:p>
          <w:p w14:paraId="5203F529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5.1 总体架构：设计数据层、算法层、服务层和展示层。</w:t>
            </w:r>
          </w:p>
          <w:p w14:paraId="5DCB4BF6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5.2 后端服务：实现实时特征生成、TensorFlow 模型加载、预测接口、异常处理和运行监控。</w:t>
            </w:r>
          </w:p>
          <w:p w14:paraId="0DFD58E9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5.3 数据库：保存用户、预测记录、实际值与历史回测数据。</w:t>
            </w:r>
          </w:p>
          <w:p w14:paraId="3C96DF35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5.4 前端页面：分别实现负荷、电价和光伏预测页面，以及气象监测、历史分析和系统状态页面。</w:t>
            </w:r>
          </w:p>
          <w:p w14:paraId="5FEAAD00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5.5 前后端通信：规范接口字段、单位、时间戳和错误提示，保证三类预测互不混杂。</w:t>
            </w:r>
          </w:p>
          <w:p w14:paraId="7B0E7384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</w:p>
          <w:p w14:paraId="689D5247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六、实验与系统测试</w:t>
            </w:r>
          </w:p>
          <w:p w14:paraId="69EE399F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6.1 实验设置：说明硬件、软件、数据时段、样本窗口和超参数。</w:t>
            </w:r>
          </w:p>
          <w:p w14:paraId="7D587333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6.2 模型结果分析：比较模型与季节性基线，分析峰谷、极端电价和天气变化下的误差。</w:t>
            </w:r>
          </w:p>
          <w:p w14:paraId="04824BE5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6.3 历史回测：在指定历史日期重新构造当时可获得的输入，与真实负荷和真实电价逐小时比较。</w:t>
            </w:r>
          </w:p>
          <w:p w14:paraId="254576E4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6.4 系统测试：开展接口、数据库、前端构建、异常降级和端到端功能测试。</w:t>
            </w:r>
          </w:p>
          <w:p w14:paraId="09BCFFD8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</w:p>
          <w:p w14:paraId="17AC9162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七、结论与展望</w:t>
            </w:r>
          </w:p>
          <w:p w14:paraId="35952F05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7.1 总结研究成果与主要结论。</w:t>
            </w:r>
          </w:p>
          <w:p w14:paraId="37E41A42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7.2 分析数据、模型和工程实现的局限。</w:t>
            </w:r>
          </w:p>
          <w:p w14:paraId="1BCDF0CD">
            <w:pPr>
              <w:keepNext/>
              <w:spacing w:before="120" w:line="300" w:lineRule="auto"/>
              <w:jc w:val="left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7.3 展望更长时间数据、概率负荷预测、模型漂移监测和在线更新等方向。</w:t>
            </w:r>
          </w:p>
        </w:tc>
      </w:tr>
      <w:tr w14:paraId="7A58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3" w:type="dxa"/>
            <w:gridSpan w:val="2"/>
          </w:tcPr>
          <w:p w14:paraId="5944675E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研究重点及难点</w:t>
            </w:r>
          </w:p>
          <w:p w14:paraId="6274D63F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1. 研究重点</w:t>
            </w:r>
          </w:p>
          <w:p w14:paraId="7C08ACF4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（1）多源时间序列融合。统一 ISO-NE 负荷、电价和 Open-Meteo 气象数据的时间粒度、美国东部时区、夏令时和字段单位，形成可复用的小时级特征表。</w:t>
            </w:r>
          </w:p>
          <w:p w14:paraId="741A7A7E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（2）独立任务模型设计。针对负荷曲线平滑且周期性较强、电价波动尖锐且具有不确定性、光伏仅在日照时段有输出的差异，分别设计 TensorFlow 模型和损失函数。</w:t>
            </w:r>
          </w:p>
          <w:p w14:paraId="6B8A5541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（3）多步预测与历史回测。采用直接多输出方式一次生成未来24小时结果，并在历史日期只使用当时可获得的信息重建输入，完成逐小时对比。</w:t>
            </w:r>
          </w:p>
          <w:p w14:paraId="7F4F5F81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（4）训练与在线推理一致性。严格固化特征名称、顺序、归一化参数、时间窗口、模型权重和反归一化逻辑，避免离线指标较好但上线结果失真的问题。</w:t>
            </w:r>
          </w:p>
          <w:p w14:paraId="31AD1840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（5）系统闭环实现。完成数据获取、预处理、模型推理、数据库记录、误差分析、可视化和运行监测的联动。</w:t>
            </w:r>
          </w:p>
          <w:p w14:paraId="7B35822B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</w:p>
          <w:p w14:paraId="11B19BF3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2. 研究难点</w:t>
            </w:r>
          </w:p>
          <w:p w14:paraId="6FF1911E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（1）防止时间序列数据泄漏。不能随机拆分时间序列；滚动特征、滞后特征和未来气象变量必须保证只依赖预测时刻能够获得的信息；归一化器只能在训练集上拟合。</w:t>
            </w:r>
          </w:p>
          <w:p w14:paraId="2C5F1CFD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（2）处理极端电价。实时节点边际电价可能出现尖峰或负值，直接使用 MAPE 容易产生失真，需要结合 MAE、RMSE、偏差和分位区间覆盖率综合评价。</w:t>
            </w:r>
          </w:p>
          <w:p w14:paraId="75EB812E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（3）保证光伏夜间与日间规律。模型输出需要符合夜间接近零、日间随辐照度变化的基本规律，同时避免简单裁剪掩盖模型问题。</w:t>
            </w:r>
          </w:p>
          <w:p w14:paraId="17CBC6BE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（4）在线数据可靠性。外部接口可能延迟、缺失或超时，数据库也可能暂时不可用，需要在不伪造真实数据的前提下提供清晰状态和错误处理。</w:t>
            </w:r>
          </w:p>
          <w:p w14:paraId="33C3D1E6">
            <w:pPr>
              <w:spacing w:before="120" w:line="300" w:lineRule="auto"/>
              <w:ind w:firstLine="48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/>
                <w:sz w:val="24"/>
              </w:rPr>
              <w:t>（5）结果解释与答辩表达。需要把模型结构、输入输出、误差指标和系统调用链用图表和通俗语言说明，并区分测试集指标、历史回测指标与在线预测结果。</w:t>
            </w:r>
          </w:p>
        </w:tc>
      </w:tr>
      <w:tr w14:paraId="4160A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3" w:type="dxa"/>
            <w:gridSpan w:val="2"/>
          </w:tcPr>
          <w:p w14:paraId="280DA717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研究方法</w:t>
            </w:r>
          </w:p>
          <w:p w14:paraId="79C41C6C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1. 文献研究法。检索负荷预测、电价预测、光伏预测、循环神经网络、概率预测和智能电网系统开发相关文献，提炼模型选择、数据划分和评价方法，为方案设计提供理论依据。</w:t>
            </w:r>
          </w:p>
          <w:p w14:paraId="0F078414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2. 数据分析法。对2017—2026年 ISO-NE 小时级数据进行字段核验、描述统计、缺失与异常检查、季节性分析和相关性分析；对气象数据进行类型转换、时间对齐和质量验证。</w:t>
            </w:r>
          </w:p>
          <w:p w14:paraId="0A817138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3. 特征工程法。根据能源时序的日、周和年周期构造正余弦时间编码、节假日、夏令时、温度记忆、采暖/制冷度日、24小时与168小时滞后及滚动统计；光伏部分加入辐照度、云量、温度和太阳几何特征。</w:t>
            </w:r>
          </w:p>
          <w:p w14:paraId="337670A4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4. 深度学习实验法。在 TensorFlow/Keras 中分别建立负荷、电价和光伏模型。使用连续时间段进行训练、验证和测试；通过验证集选择最佳权重，使用独立测试集给出最终指标，并与昨日同小时等朴素基线进行比较。</w:t>
            </w:r>
          </w:p>
          <w:p w14:paraId="0DEA8327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5. 对比评价法。负荷预测采用 MAE、RMSE、MAPE、R²、偏差和峰值时段 MAE；电价预测采用 P50 MAE、RMSE、偏差、对绝对实际电价不小于1 USD/MWh样本计算的 MAPE，以及 P10—P90 覆盖率；光伏预测采用归一化 MAE、RMSE 和白天 nMAE。历史回测按预测日逐小时比较预测值与真实值。</w:t>
            </w:r>
          </w:p>
          <w:p w14:paraId="00335068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6. 软件工程法。按照“数据层—模型层—服务层—展示层”设计系统。后端使用 FastAPI 封装模型推理与分析接口，MySQL 保存业务记录，前端使用 React/TypeScript 和 Recharts 实现分页面可视化，并通过配置文件管理模型路径和运行参数。</w:t>
            </w:r>
          </w:p>
          <w:p w14:paraId="2FADD517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7. 测试验证法。使用单元测试、接口测试、前端类型检查与构建测试验证功能；对模型文件、归一化器、特征列表和输入输出形状进行启动检查；通过异常输入和外部服务不可用场景验证系统提示与容错行为。</w:t>
            </w:r>
          </w:p>
          <w:p w14:paraId="1556E375">
            <w:pPr>
              <w:keepNext/>
              <w:spacing w:before="120" w:line="300" w:lineRule="auto"/>
              <w:jc w:val="left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8. 归纳总结法。结合实验指标、历史曲线和系统运行现象，总结影响预测精度的主要因素，客观说明模型适用范围与不足，形成论文结论和后续优化建议。</w:t>
            </w:r>
          </w:p>
        </w:tc>
      </w:tr>
      <w:tr w14:paraId="62B3E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3" w:type="dxa"/>
            <w:gridSpan w:val="2"/>
          </w:tcPr>
          <w:p w14:paraId="55256413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研究进度</w:t>
            </w:r>
          </w:p>
          <w:p w14:paraId="5516BD17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第一阶段（2026年9月10日—2026年9月30日）：完成文献检索、项目现状梳理、选题论证和开题报告撰写，明确研究目标、技术路线与评价指标。</w:t>
            </w:r>
          </w:p>
          <w:p w14:paraId="7A5A266A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第二阶段（2026年10月1日—2026年10月31日）：整理 ISO-NE 负荷、电价及气象数据，完成数据清洗、时间对齐、异常检查和探索性分析，固化时间顺序划分方案。</w:t>
            </w:r>
          </w:p>
          <w:p w14:paraId="359DD829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第三阶段（2026年11月1日—2026年12月15日）：完善负荷、电价和光伏特征工程，开展 TensorFlow 模型训练、超参数试验、基线比较和独立测试集评价。</w:t>
            </w:r>
          </w:p>
          <w:p w14:paraId="1FA686E3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第四阶段（2026年12月16日—2027年1月31日）：完善 FastAPI 模型服务、在线特征生成、MySQL 数据读写、历史回测及误差分析接口，检查训练与推理一致性。</w:t>
            </w:r>
          </w:p>
          <w:p w14:paraId="3056B0D6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第五阶段（2027年2月1日—2027年3月15日）：完善 React/TypeScript 前端，将负荷、电价和光伏预测分别展示，补充气象监测、历史分析、模型状态和数据导出功能。</w:t>
            </w:r>
          </w:p>
          <w:p w14:paraId="64C4C96F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第六阶段（2027年3月16日—2027年4月15日）：完成端到端测试、性能测试和典型日期实验，整理模型曲线、评价表格、系统架构图与关键页面截图，撰写论文初稿。</w:t>
            </w:r>
          </w:p>
          <w:p w14:paraId="17B41F3D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第七阶段（2027年4月16日—2027年5月10日）：根据指导教师意见修改论文，核对数据、公式、图表、引用和参考文献，完成论文定稿及查重前自检。</w:t>
            </w:r>
          </w:p>
          <w:p w14:paraId="6ABD74D2">
            <w:pPr>
              <w:spacing w:before="120" w:line="300" w:lineRule="auto"/>
              <w:ind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第八阶段（2027年5月11日—2027年5月31日）：制作答辩演示文稿，准备系统演示、常见问题说明和备用材料，完成预答辩与正式答辩。</w:t>
            </w:r>
          </w:p>
          <w:p w14:paraId="5FE1562D">
            <w:pPr>
              <w:spacing w:before="120" w:line="300" w:lineRule="auto"/>
              <w:ind w:firstLine="48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/>
                <w:sz w:val="24"/>
              </w:rPr>
              <w:t>说明：以上日期为拟定计划，后续以学院毕业论文（设计）工作安排为准。</w:t>
            </w:r>
          </w:p>
        </w:tc>
      </w:tr>
      <w:tr w14:paraId="7348A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03" w:type="dxa"/>
            <w:gridSpan w:val="2"/>
          </w:tcPr>
          <w:p w14:paraId="6BED9BBC">
            <w:pPr>
              <w:keepNext/>
              <w:spacing w:before="120" w:line="300" w:lineRule="auto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主要参考文献</w:t>
            </w:r>
          </w:p>
          <w:p w14:paraId="601F9756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[1] HONG T, FAN S. Probabilistic electric load forecasting: A tutorial review[J]. International Journal of Forecasting, 2016, 32(3): 914-938. DOI:10.1016/j.ijforecast.2015.11.011.</w:t>
            </w:r>
          </w:p>
          <w:p w14:paraId="6D2D2602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[2] KONG W, DONG Z Y, JIA Y, et al. Short-term residential load forecasting based on LSTM recurrent neural network[J]. IEEE Transactions on Smart Grid, 2019, 10(1): 841-851. DOI:10.1109/TSG.2017.2753802.</w:t>
            </w:r>
          </w:p>
          <w:p w14:paraId="5D5F08D8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[3] HOCHREITER S, SCHMIDHUBER J. Long short-term memory[J]. Neural Computation, 1997, 9(8): 1735-1780. DOI:10.1162/neco.1997.9.8.1735.</w:t>
            </w:r>
          </w:p>
          <w:p w14:paraId="5F879E7A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[4] CHO K, VAN MERRIËNBOER B, GULCEHRE C, et al. Learning phrase representations using RNN encoder-decoder for statistical machine translation[C]//Proceedings of the 2014 Conference on Empirical Methods in Natural Language Processing. Doha: Association for Computational Linguistics, 2014: 1724-1734. DOI:10.3115/v1/D14-1179.</w:t>
            </w:r>
          </w:p>
          <w:p w14:paraId="3A3E47ED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[5] BEN TAIEB S, BONTEMPI G, ATIYA A F, et al. A review and comparison of strategies for multi-step ahead time series forecasting based on the NN5 forecasting competition[J]. Expert Systems with Applications, 2012, 39(8): 7067-7083. DOI:10.1016/j.eswa.2012.01.039.</w:t>
            </w:r>
          </w:p>
          <w:p w14:paraId="6A53697B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[6] LIM B, ARIK S Ö, LOEFF N, et al. Temporal Fusion Transformers for interpretable multi-horizon time series forecasting[J]. International Journal of Forecasting, 2021, 37(4): 1748-1764. DOI:10.1016/j.ijforecast.2021.03.012.</w:t>
            </w:r>
          </w:p>
          <w:p w14:paraId="754EC953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[7] SALINAS D, FLUNKERT V, GASTHAUS J, et al. DeepAR: Probabilistic forecasting with autoregressive recurrent networks[J]. International Journal of Forecasting, 2020, 36(3): 1181-1191. DOI:10.1016/j.ijforecast.2019.07.001.</w:t>
            </w:r>
          </w:p>
          <w:p w14:paraId="3F9EA450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[8] HONG T, PINSON P, FAN S, et al. Probabilistic energy forecasting: Global Energy Forecasting Competition 2014 and beyond[J]. International Journal of Forecasting, 2016, 32(3): 896-913. DOI:10.1016/j.ijforecast.2016.02.001.</w:t>
            </w:r>
          </w:p>
          <w:p w14:paraId="1070FF0B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[9] WERON R. Electricity price forecasting: A review of the state-of-the-art with a look into the future[J]. International Journal of Forecasting, 2014, 30(4): 1030-1081. DOI:10.1016/j.ijforecast.2014.08.008.</w:t>
            </w:r>
          </w:p>
          <w:p w14:paraId="636907E9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[10] LAGO J, MARCJASZ G, DE SCHUTTER B, et al. Forecasting day-ahead electricity prices: A review of state-of-the-art algorithms, best practices and an open-access benchmark[J]. Applied Energy, 2021, 293: 116983. DOI:10.1016/j.apenergy.2021.116983.</w:t>
            </w:r>
          </w:p>
          <w:p w14:paraId="1291FB5B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[11] AKHTER M N, MEKHILEF S, MOKHLIS H, et al. Review on forecasting of photovoltaic power generation based on machine learning and metaheuristic techniques[J]. IET Renewable Power Generation, 2019, 13(7): 1009-1023. DOI:10.1049/iet-rpg.2018.5649.</w:t>
            </w:r>
          </w:p>
          <w:p w14:paraId="70F63FF1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[12] LI Y, DING Y, HE S, et al. Artificial intelligence-based methods for renewable power system operation[J]. Nature Reviews Electrical Engineering, 2024, 1: 163-179. DOI:10.1038/s44287-024-00018-9.</w:t>
            </w:r>
          </w:p>
          <w:p w14:paraId="4E3C919E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[13] VASWANI A, SHAZEER N, PARMAR N, et al. Attention is all you need[C]//Advances in Neural Information Processing Systems 30. Long Beach: Curran Associates, 2017: 5998-6008.</w:t>
            </w:r>
          </w:p>
          <w:p w14:paraId="186C9E74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[14] ABADI M, AGARWAL A, BARHAM P, et al. TensorFlow: Large-scale machine learning on heterogeneous distributed systems[EB/OL]. arXiv:1603.04467, 2016[2026-09-09]. https://arxiv.org/abs/1603.04467.</w:t>
            </w:r>
          </w:p>
          <w:p w14:paraId="2F5CE8B2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[15] ISO NEW ENGLAND INC. Web Services Data[EB/OL]. [2026-09-09]. https://www.iso-ne.com/participate/support/web-services-data.</w:t>
            </w:r>
          </w:p>
          <w:p w14:paraId="3546A049">
            <w:pPr>
              <w:spacing w:before="120" w:line="300" w:lineRule="auto"/>
              <w:ind w:left="480" w:hanging="480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[16] OPEN-METEO. Weather Forecast API Documentation[EB/OL]. [2026-09-09]. https://open-meteo.com/en/docs.</w:t>
            </w:r>
          </w:p>
          <w:p w14:paraId="10965BB3">
            <w:pPr>
              <w:spacing w:before="120" w:line="300" w:lineRule="auto"/>
              <w:ind w:left="480" w:hanging="480"/>
              <w:jc w:val="left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/>
                <w:sz w:val="24"/>
              </w:rPr>
              <w:t>[17] HYNDMAN R J, ATHANASOPOULOS G. Forecasting: Principles and Practice[M/OL]. 3rd ed. Melbourne: OTexts, 2021[2026-09-09]. https://otexts.com/fpp3/.</w:t>
            </w:r>
          </w:p>
        </w:tc>
      </w:tr>
      <w:tr w14:paraId="11E7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5" w:hRule="atLeast"/>
          <w:jc w:val="center"/>
        </w:trPr>
        <w:tc>
          <w:tcPr>
            <w:tcW w:w="760" w:type="dxa"/>
            <w:vAlign w:val="center"/>
          </w:tcPr>
          <w:p w14:paraId="4431954D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 导 教 师 意 见</w:t>
            </w:r>
          </w:p>
        </w:tc>
        <w:tc>
          <w:tcPr>
            <w:tcW w:w="8143" w:type="dxa"/>
            <w:vAlign w:val="center"/>
          </w:tcPr>
          <w:p w14:paraId="3D397ED1">
            <w:pPr>
              <w:widowControl/>
              <w:spacing w:before="120" w:beforeLines="5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（指导教师须简要说明同意学生开题的理由）</w:t>
            </w:r>
          </w:p>
          <w:p w14:paraId="61C2FB94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103A4CF0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27A64371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30761EFE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3E8FC10D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2BEDF434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62BE389E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368EFB69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264FC835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5DC063A8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38BC0C08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21266D3E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5A39B14C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72539F47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0D124B80">
            <w:pPr>
              <w:jc w:val="center"/>
              <w:rPr>
                <w:rFonts w:hint="eastAsia" w:ascii="微软雅黑" w:hAnsi="微软雅黑" w:eastAsia="微软雅黑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指导教师（签名）：                    日期：        年  月   日</w:t>
            </w:r>
          </w:p>
        </w:tc>
      </w:tr>
      <w:tr w14:paraId="01B6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0" w:hRule="atLeast"/>
          <w:jc w:val="center"/>
        </w:trPr>
        <w:tc>
          <w:tcPr>
            <w:tcW w:w="760" w:type="dxa"/>
            <w:vAlign w:val="center"/>
          </w:tcPr>
          <w:p w14:paraId="6BA0E037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系 主 任 审 查 意 见</w:t>
            </w:r>
          </w:p>
        </w:tc>
        <w:tc>
          <w:tcPr>
            <w:tcW w:w="8143" w:type="dxa"/>
            <w:vAlign w:val="center"/>
          </w:tcPr>
          <w:p w14:paraId="15C67C2B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7A963D88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70C38848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1850385B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588EBAD2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76A1FA3B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3F099182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  <w:p w14:paraId="6D200D9A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教研室主任（签名）：                     日期：        年  月   日</w:t>
            </w:r>
          </w:p>
        </w:tc>
      </w:tr>
      <w:tr w14:paraId="77AC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  <w:jc w:val="center"/>
        </w:trPr>
        <w:tc>
          <w:tcPr>
            <w:tcW w:w="760" w:type="dxa"/>
            <w:vAlign w:val="center"/>
          </w:tcPr>
          <w:p w14:paraId="5B876C62">
            <w:pPr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备注</w:t>
            </w:r>
          </w:p>
        </w:tc>
        <w:tc>
          <w:tcPr>
            <w:tcW w:w="8143" w:type="dxa"/>
            <w:vAlign w:val="center"/>
          </w:tcPr>
          <w:p w14:paraId="7555CD28">
            <w:pPr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</w:tr>
    </w:tbl>
    <w:p w14:paraId="2F0712A2">
      <w:pPr>
        <w:snapToGrid w:val="0"/>
        <w:jc w:val="center"/>
        <w:rPr>
          <w:rFonts w:hint="eastAsia" w:ascii="微软雅黑" w:hAnsi="微软雅黑" w:eastAsia="微软雅黑"/>
        </w:rPr>
      </w:pPr>
    </w:p>
    <w:sectPr>
      <w:footerReference r:id="rId3" w:type="default"/>
      <w:pgSz w:w="11906" w:h="16838"/>
      <w:pgMar w:top="1418" w:right="1134" w:bottom="1134" w:left="1134" w:header="851" w:footer="709" w:gutter="284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BF29E">
    <w:pPr>
      <w:pStyle w:val="12"/>
      <w:tabs>
        <w:tab w:val="center" w:pos="4677"/>
      </w:tabs>
    </w:pPr>
    <w:r>
      <w:pict>
        <v:shape id="_x0000_s1063" o:spid="_x0000_s1063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209018BF">
                <w:pPr>
                  <w:pStyle w:val="12"/>
                  <w:rPr>
                    <w:rFonts w:hint="eastAsia"/>
                  </w:rPr>
                </w:pP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DdlOWEyZmY2ZGVjZjZhZDI4NmYzNGU3ZmQyZGVlMTIifQ=="/>
  </w:docVars>
  <w:rsids>
    <w:rsidRoot w:val="0019687C"/>
    <w:rsid w:val="000008F3"/>
    <w:rsid w:val="000058E3"/>
    <w:rsid w:val="00005FCD"/>
    <w:rsid w:val="000160CB"/>
    <w:rsid w:val="00016C7E"/>
    <w:rsid w:val="00021CCE"/>
    <w:rsid w:val="00023DF8"/>
    <w:rsid w:val="00024B2C"/>
    <w:rsid w:val="00033490"/>
    <w:rsid w:val="0004041B"/>
    <w:rsid w:val="00045700"/>
    <w:rsid w:val="000516CF"/>
    <w:rsid w:val="0005342A"/>
    <w:rsid w:val="00056DCA"/>
    <w:rsid w:val="00064FC6"/>
    <w:rsid w:val="000664CD"/>
    <w:rsid w:val="00071B7D"/>
    <w:rsid w:val="00075A89"/>
    <w:rsid w:val="00075BCF"/>
    <w:rsid w:val="000861E8"/>
    <w:rsid w:val="00086919"/>
    <w:rsid w:val="00090C67"/>
    <w:rsid w:val="00094F0C"/>
    <w:rsid w:val="000954C7"/>
    <w:rsid w:val="000B176C"/>
    <w:rsid w:val="000D3A0C"/>
    <w:rsid w:val="000E1586"/>
    <w:rsid w:val="000E2AFB"/>
    <w:rsid w:val="000E62B1"/>
    <w:rsid w:val="000F0259"/>
    <w:rsid w:val="000F176F"/>
    <w:rsid w:val="00104088"/>
    <w:rsid w:val="00105CEB"/>
    <w:rsid w:val="00110193"/>
    <w:rsid w:val="0011569E"/>
    <w:rsid w:val="00132C79"/>
    <w:rsid w:val="00134C88"/>
    <w:rsid w:val="00135B18"/>
    <w:rsid w:val="00141AB8"/>
    <w:rsid w:val="0014332F"/>
    <w:rsid w:val="00146CB9"/>
    <w:rsid w:val="00147ACF"/>
    <w:rsid w:val="00151790"/>
    <w:rsid w:val="00153320"/>
    <w:rsid w:val="0016240E"/>
    <w:rsid w:val="00165CE2"/>
    <w:rsid w:val="00166248"/>
    <w:rsid w:val="00166628"/>
    <w:rsid w:val="001710A9"/>
    <w:rsid w:val="001759F8"/>
    <w:rsid w:val="00180F5F"/>
    <w:rsid w:val="00183CE5"/>
    <w:rsid w:val="00190926"/>
    <w:rsid w:val="001920AF"/>
    <w:rsid w:val="001949F6"/>
    <w:rsid w:val="0019687C"/>
    <w:rsid w:val="00197551"/>
    <w:rsid w:val="001A09A1"/>
    <w:rsid w:val="001A4901"/>
    <w:rsid w:val="001A496B"/>
    <w:rsid w:val="001A65F8"/>
    <w:rsid w:val="001A7578"/>
    <w:rsid w:val="001B0AB2"/>
    <w:rsid w:val="001B4A34"/>
    <w:rsid w:val="001B7006"/>
    <w:rsid w:val="001C61DF"/>
    <w:rsid w:val="001C7546"/>
    <w:rsid w:val="001D02D4"/>
    <w:rsid w:val="001D52F9"/>
    <w:rsid w:val="001E3EF5"/>
    <w:rsid w:val="001E700C"/>
    <w:rsid w:val="001E7C9D"/>
    <w:rsid w:val="001F207C"/>
    <w:rsid w:val="001F32F9"/>
    <w:rsid w:val="00207385"/>
    <w:rsid w:val="00211C29"/>
    <w:rsid w:val="002130AF"/>
    <w:rsid w:val="0023245E"/>
    <w:rsid w:val="00233C07"/>
    <w:rsid w:val="00237FE0"/>
    <w:rsid w:val="0024249E"/>
    <w:rsid w:val="00244E46"/>
    <w:rsid w:val="0024518C"/>
    <w:rsid w:val="002478ED"/>
    <w:rsid w:val="00252E19"/>
    <w:rsid w:val="0026162B"/>
    <w:rsid w:val="0026363D"/>
    <w:rsid w:val="00265081"/>
    <w:rsid w:val="00265718"/>
    <w:rsid w:val="00267231"/>
    <w:rsid w:val="002701BF"/>
    <w:rsid w:val="002701E1"/>
    <w:rsid w:val="00272D5E"/>
    <w:rsid w:val="00273077"/>
    <w:rsid w:val="002768AA"/>
    <w:rsid w:val="002833E0"/>
    <w:rsid w:val="00283425"/>
    <w:rsid w:val="00286A8C"/>
    <w:rsid w:val="002871E5"/>
    <w:rsid w:val="00292FEC"/>
    <w:rsid w:val="00294215"/>
    <w:rsid w:val="00294A1E"/>
    <w:rsid w:val="002A439E"/>
    <w:rsid w:val="002A4D65"/>
    <w:rsid w:val="002A745B"/>
    <w:rsid w:val="002A756F"/>
    <w:rsid w:val="002A75D1"/>
    <w:rsid w:val="002B249C"/>
    <w:rsid w:val="002B446E"/>
    <w:rsid w:val="002B5059"/>
    <w:rsid w:val="002C0405"/>
    <w:rsid w:val="002C0982"/>
    <w:rsid w:val="002D0B41"/>
    <w:rsid w:val="002D274D"/>
    <w:rsid w:val="002D3521"/>
    <w:rsid w:val="002D3A08"/>
    <w:rsid w:val="002D5A37"/>
    <w:rsid w:val="002D5AE2"/>
    <w:rsid w:val="002D5ECB"/>
    <w:rsid w:val="002E5A00"/>
    <w:rsid w:val="002E5CE6"/>
    <w:rsid w:val="002F649F"/>
    <w:rsid w:val="002F68FE"/>
    <w:rsid w:val="003002C2"/>
    <w:rsid w:val="00300670"/>
    <w:rsid w:val="00301A36"/>
    <w:rsid w:val="003028EA"/>
    <w:rsid w:val="003032EA"/>
    <w:rsid w:val="0031077F"/>
    <w:rsid w:val="00316662"/>
    <w:rsid w:val="0032046D"/>
    <w:rsid w:val="003212DC"/>
    <w:rsid w:val="00321715"/>
    <w:rsid w:val="00325F32"/>
    <w:rsid w:val="0033562F"/>
    <w:rsid w:val="00346EE9"/>
    <w:rsid w:val="003477E5"/>
    <w:rsid w:val="003545F9"/>
    <w:rsid w:val="00354855"/>
    <w:rsid w:val="00362F40"/>
    <w:rsid w:val="00363625"/>
    <w:rsid w:val="00363726"/>
    <w:rsid w:val="00365D3B"/>
    <w:rsid w:val="00367A4D"/>
    <w:rsid w:val="00370CA0"/>
    <w:rsid w:val="00377D61"/>
    <w:rsid w:val="003813C9"/>
    <w:rsid w:val="00381FBA"/>
    <w:rsid w:val="003835B8"/>
    <w:rsid w:val="00383945"/>
    <w:rsid w:val="00384A31"/>
    <w:rsid w:val="00384B45"/>
    <w:rsid w:val="00385720"/>
    <w:rsid w:val="0038789C"/>
    <w:rsid w:val="003923C0"/>
    <w:rsid w:val="00394B3A"/>
    <w:rsid w:val="003972E0"/>
    <w:rsid w:val="003A03EF"/>
    <w:rsid w:val="003A20D7"/>
    <w:rsid w:val="003B07F4"/>
    <w:rsid w:val="003B5CEC"/>
    <w:rsid w:val="003B5FD8"/>
    <w:rsid w:val="003C4510"/>
    <w:rsid w:val="003C75BE"/>
    <w:rsid w:val="003C7B48"/>
    <w:rsid w:val="003D6920"/>
    <w:rsid w:val="003D7574"/>
    <w:rsid w:val="003E3B94"/>
    <w:rsid w:val="003E555F"/>
    <w:rsid w:val="003F18E7"/>
    <w:rsid w:val="003F2B14"/>
    <w:rsid w:val="004019D9"/>
    <w:rsid w:val="00401DFF"/>
    <w:rsid w:val="00405413"/>
    <w:rsid w:val="00413180"/>
    <w:rsid w:val="00420700"/>
    <w:rsid w:val="00420AA2"/>
    <w:rsid w:val="00420CC5"/>
    <w:rsid w:val="004246DA"/>
    <w:rsid w:val="00424D95"/>
    <w:rsid w:val="004272F5"/>
    <w:rsid w:val="004306C0"/>
    <w:rsid w:val="0043383D"/>
    <w:rsid w:val="00433F64"/>
    <w:rsid w:val="00436073"/>
    <w:rsid w:val="00437F9B"/>
    <w:rsid w:val="00442F3E"/>
    <w:rsid w:val="004434FD"/>
    <w:rsid w:val="00447686"/>
    <w:rsid w:val="00453018"/>
    <w:rsid w:val="0045514E"/>
    <w:rsid w:val="00456183"/>
    <w:rsid w:val="00460122"/>
    <w:rsid w:val="00466B7B"/>
    <w:rsid w:val="00470EF1"/>
    <w:rsid w:val="00472125"/>
    <w:rsid w:val="004806FA"/>
    <w:rsid w:val="00484BC6"/>
    <w:rsid w:val="0048585A"/>
    <w:rsid w:val="004904B1"/>
    <w:rsid w:val="004917A9"/>
    <w:rsid w:val="00492598"/>
    <w:rsid w:val="004929D9"/>
    <w:rsid w:val="00496234"/>
    <w:rsid w:val="004A2E87"/>
    <w:rsid w:val="004A47AF"/>
    <w:rsid w:val="004A5623"/>
    <w:rsid w:val="004A7773"/>
    <w:rsid w:val="004B473D"/>
    <w:rsid w:val="004B4AF5"/>
    <w:rsid w:val="004B64E2"/>
    <w:rsid w:val="004B7C89"/>
    <w:rsid w:val="004C67D4"/>
    <w:rsid w:val="004C6BA1"/>
    <w:rsid w:val="004E4B53"/>
    <w:rsid w:val="004E580F"/>
    <w:rsid w:val="004E6F2A"/>
    <w:rsid w:val="004F0DC1"/>
    <w:rsid w:val="004F5CB2"/>
    <w:rsid w:val="005025CD"/>
    <w:rsid w:val="00505563"/>
    <w:rsid w:val="00517598"/>
    <w:rsid w:val="00517CB8"/>
    <w:rsid w:val="00524B94"/>
    <w:rsid w:val="00525564"/>
    <w:rsid w:val="00525696"/>
    <w:rsid w:val="00530B50"/>
    <w:rsid w:val="0053113E"/>
    <w:rsid w:val="005311C0"/>
    <w:rsid w:val="00531C75"/>
    <w:rsid w:val="0053273D"/>
    <w:rsid w:val="00535B7D"/>
    <w:rsid w:val="00537564"/>
    <w:rsid w:val="0054231D"/>
    <w:rsid w:val="00546C52"/>
    <w:rsid w:val="00547D10"/>
    <w:rsid w:val="005535C2"/>
    <w:rsid w:val="00554C33"/>
    <w:rsid w:val="00557BC2"/>
    <w:rsid w:val="005650BC"/>
    <w:rsid w:val="00566230"/>
    <w:rsid w:val="00572179"/>
    <w:rsid w:val="0057734A"/>
    <w:rsid w:val="005812B7"/>
    <w:rsid w:val="005826C4"/>
    <w:rsid w:val="00594F41"/>
    <w:rsid w:val="00597370"/>
    <w:rsid w:val="0059765D"/>
    <w:rsid w:val="005B293D"/>
    <w:rsid w:val="005B330B"/>
    <w:rsid w:val="005B58A5"/>
    <w:rsid w:val="005B5BDF"/>
    <w:rsid w:val="005C39FA"/>
    <w:rsid w:val="005C564B"/>
    <w:rsid w:val="005C6096"/>
    <w:rsid w:val="005E2553"/>
    <w:rsid w:val="005E62B7"/>
    <w:rsid w:val="005F0B00"/>
    <w:rsid w:val="0060215C"/>
    <w:rsid w:val="006033E8"/>
    <w:rsid w:val="00605F85"/>
    <w:rsid w:val="00610CDE"/>
    <w:rsid w:val="006114FB"/>
    <w:rsid w:val="00611617"/>
    <w:rsid w:val="00615282"/>
    <w:rsid w:val="0061640B"/>
    <w:rsid w:val="00617311"/>
    <w:rsid w:val="006175A8"/>
    <w:rsid w:val="0062577F"/>
    <w:rsid w:val="00630DC1"/>
    <w:rsid w:val="00634522"/>
    <w:rsid w:val="00634FB2"/>
    <w:rsid w:val="00640615"/>
    <w:rsid w:val="00641E1A"/>
    <w:rsid w:val="0064469B"/>
    <w:rsid w:val="00652225"/>
    <w:rsid w:val="00654574"/>
    <w:rsid w:val="00654930"/>
    <w:rsid w:val="00655291"/>
    <w:rsid w:val="0066077D"/>
    <w:rsid w:val="00670FB8"/>
    <w:rsid w:val="00681095"/>
    <w:rsid w:val="006834AC"/>
    <w:rsid w:val="006908DA"/>
    <w:rsid w:val="00694A43"/>
    <w:rsid w:val="00694AA9"/>
    <w:rsid w:val="006A0FE0"/>
    <w:rsid w:val="006A1971"/>
    <w:rsid w:val="006A6270"/>
    <w:rsid w:val="006A6678"/>
    <w:rsid w:val="006A72DE"/>
    <w:rsid w:val="006A7DD6"/>
    <w:rsid w:val="006A7EE7"/>
    <w:rsid w:val="006B0DF2"/>
    <w:rsid w:val="006B1E50"/>
    <w:rsid w:val="006B2563"/>
    <w:rsid w:val="006B3E9E"/>
    <w:rsid w:val="006B3F19"/>
    <w:rsid w:val="006C0A14"/>
    <w:rsid w:val="006C1D73"/>
    <w:rsid w:val="006C5553"/>
    <w:rsid w:val="006C646B"/>
    <w:rsid w:val="006C6F14"/>
    <w:rsid w:val="006D19D8"/>
    <w:rsid w:val="006D2DA7"/>
    <w:rsid w:val="006D33A6"/>
    <w:rsid w:val="006D4E61"/>
    <w:rsid w:val="006E02C0"/>
    <w:rsid w:val="006E3407"/>
    <w:rsid w:val="006F38F9"/>
    <w:rsid w:val="006F65D7"/>
    <w:rsid w:val="0070009B"/>
    <w:rsid w:val="00710E02"/>
    <w:rsid w:val="00712A51"/>
    <w:rsid w:val="007166B0"/>
    <w:rsid w:val="007208E0"/>
    <w:rsid w:val="00723066"/>
    <w:rsid w:val="0072342C"/>
    <w:rsid w:val="00724135"/>
    <w:rsid w:val="007265BD"/>
    <w:rsid w:val="0072687B"/>
    <w:rsid w:val="00730B55"/>
    <w:rsid w:val="00731A8B"/>
    <w:rsid w:val="0073429B"/>
    <w:rsid w:val="007532E1"/>
    <w:rsid w:val="007534DB"/>
    <w:rsid w:val="00755FEB"/>
    <w:rsid w:val="007739CA"/>
    <w:rsid w:val="00776A6A"/>
    <w:rsid w:val="00776F27"/>
    <w:rsid w:val="00781E74"/>
    <w:rsid w:val="00795D36"/>
    <w:rsid w:val="007A0FA1"/>
    <w:rsid w:val="007A6278"/>
    <w:rsid w:val="007A789D"/>
    <w:rsid w:val="007A7B7C"/>
    <w:rsid w:val="007B3FAA"/>
    <w:rsid w:val="007C50B7"/>
    <w:rsid w:val="007C74F6"/>
    <w:rsid w:val="007D04A7"/>
    <w:rsid w:val="007D2033"/>
    <w:rsid w:val="007E2B20"/>
    <w:rsid w:val="007E2F0D"/>
    <w:rsid w:val="007F001A"/>
    <w:rsid w:val="007F2DB8"/>
    <w:rsid w:val="007F31CA"/>
    <w:rsid w:val="007F3F81"/>
    <w:rsid w:val="00802EBE"/>
    <w:rsid w:val="00814DDA"/>
    <w:rsid w:val="00815E92"/>
    <w:rsid w:val="008247D4"/>
    <w:rsid w:val="00824CEF"/>
    <w:rsid w:val="00826DCD"/>
    <w:rsid w:val="008335F2"/>
    <w:rsid w:val="00836CED"/>
    <w:rsid w:val="00837C90"/>
    <w:rsid w:val="00837D41"/>
    <w:rsid w:val="008401FA"/>
    <w:rsid w:val="00840207"/>
    <w:rsid w:val="00841294"/>
    <w:rsid w:val="00841DC3"/>
    <w:rsid w:val="00843CBD"/>
    <w:rsid w:val="00844FDB"/>
    <w:rsid w:val="00846CAA"/>
    <w:rsid w:val="00850C94"/>
    <w:rsid w:val="008576EA"/>
    <w:rsid w:val="0085798B"/>
    <w:rsid w:val="00862133"/>
    <w:rsid w:val="0086246E"/>
    <w:rsid w:val="00863905"/>
    <w:rsid w:val="00864822"/>
    <w:rsid w:val="008676CF"/>
    <w:rsid w:val="008731B1"/>
    <w:rsid w:val="00874A65"/>
    <w:rsid w:val="00880147"/>
    <w:rsid w:val="008810F7"/>
    <w:rsid w:val="0088262F"/>
    <w:rsid w:val="008840E6"/>
    <w:rsid w:val="0088540E"/>
    <w:rsid w:val="008861C5"/>
    <w:rsid w:val="0088753A"/>
    <w:rsid w:val="00896056"/>
    <w:rsid w:val="008A05B7"/>
    <w:rsid w:val="008A1C86"/>
    <w:rsid w:val="008A3128"/>
    <w:rsid w:val="008A3263"/>
    <w:rsid w:val="008A71C3"/>
    <w:rsid w:val="008B2CD9"/>
    <w:rsid w:val="008B7E29"/>
    <w:rsid w:val="008C4A69"/>
    <w:rsid w:val="008C51BB"/>
    <w:rsid w:val="008D173E"/>
    <w:rsid w:val="008D232D"/>
    <w:rsid w:val="008D28D5"/>
    <w:rsid w:val="008E1BB2"/>
    <w:rsid w:val="008E45BC"/>
    <w:rsid w:val="008E4879"/>
    <w:rsid w:val="008F448D"/>
    <w:rsid w:val="008F5AA0"/>
    <w:rsid w:val="008F5B09"/>
    <w:rsid w:val="00902870"/>
    <w:rsid w:val="0090606B"/>
    <w:rsid w:val="00906971"/>
    <w:rsid w:val="00910A84"/>
    <w:rsid w:val="0091213B"/>
    <w:rsid w:val="009122B8"/>
    <w:rsid w:val="00913796"/>
    <w:rsid w:val="009154BA"/>
    <w:rsid w:val="0091587A"/>
    <w:rsid w:val="00924FCC"/>
    <w:rsid w:val="009268BA"/>
    <w:rsid w:val="0093026B"/>
    <w:rsid w:val="0093234D"/>
    <w:rsid w:val="0093561C"/>
    <w:rsid w:val="0093570D"/>
    <w:rsid w:val="00943763"/>
    <w:rsid w:val="0094416A"/>
    <w:rsid w:val="00945CA3"/>
    <w:rsid w:val="0095434A"/>
    <w:rsid w:val="00962B11"/>
    <w:rsid w:val="009633B2"/>
    <w:rsid w:val="00966217"/>
    <w:rsid w:val="00974068"/>
    <w:rsid w:val="00976035"/>
    <w:rsid w:val="00982542"/>
    <w:rsid w:val="00982842"/>
    <w:rsid w:val="009919BB"/>
    <w:rsid w:val="009A49FD"/>
    <w:rsid w:val="009A705A"/>
    <w:rsid w:val="009B7E6D"/>
    <w:rsid w:val="009C368F"/>
    <w:rsid w:val="009C488E"/>
    <w:rsid w:val="009D1143"/>
    <w:rsid w:val="009D13E0"/>
    <w:rsid w:val="009D6FC2"/>
    <w:rsid w:val="009D7D9C"/>
    <w:rsid w:val="009E01D3"/>
    <w:rsid w:val="009E0434"/>
    <w:rsid w:val="009E3837"/>
    <w:rsid w:val="009E67A7"/>
    <w:rsid w:val="009E686E"/>
    <w:rsid w:val="009F6986"/>
    <w:rsid w:val="00A01EFB"/>
    <w:rsid w:val="00A07909"/>
    <w:rsid w:val="00A1247E"/>
    <w:rsid w:val="00A15460"/>
    <w:rsid w:val="00A171DC"/>
    <w:rsid w:val="00A22C1A"/>
    <w:rsid w:val="00A23B71"/>
    <w:rsid w:val="00A2544D"/>
    <w:rsid w:val="00A33E2E"/>
    <w:rsid w:val="00A360D7"/>
    <w:rsid w:val="00A3767E"/>
    <w:rsid w:val="00A37843"/>
    <w:rsid w:val="00A44C0E"/>
    <w:rsid w:val="00A45A9E"/>
    <w:rsid w:val="00A51176"/>
    <w:rsid w:val="00A5424A"/>
    <w:rsid w:val="00A56356"/>
    <w:rsid w:val="00A62E8E"/>
    <w:rsid w:val="00A70F74"/>
    <w:rsid w:val="00A73657"/>
    <w:rsid w:val="00A74B0B"/>
    <w:rsid w:val="00A75055"/>
    <w:rsid w:val="00A75176"/>
    <w:rsid w:val="00A80161"/>
    <w:rsid w:val="00A81D7B"/>
    <w:rsid w:val="00A81DEE"/>
    <w:rsid w:val="00A84A80"/>
    <w:rsid w:val="00A8610E"/>
    <w:rsid w:val="00A90E75"/>
    <w:rsid w:val="00A94E9D"/>
    <w:rsid w:val="00AA08B7"/>
    <w:rsid w:val="00AA64BF"/>
    <w:rsid w:val="00AA6C6D"/>
    <w:rsid w:val="00AB4F01"/>
    <w:rsid w:val="00AB7260"/>
    <w:rsid w:val="00AC551E"/>
    <w:rsid w:val="00AC633D"/>
    <w:rsid w:val="00AC76D9"/>
    <w:rsid w:val="00AE162B"/>
    <w:rsid w:val="00AE76A9"/>
    <w:rsid w:val="00AF1C52"/>
    <w:rsid w:val="00AF425D"/>
    <w:rsid w:val="00AF7E23"/>
    <w:rsid w:val="00B038D4"/>
    <w:rsid w:val="00B043B2"/>
    <w:rsid w:val="00B10224"/>
    <w:rsid w:val="00B12B34"/>
    <w:rsid w:val="00B23ACE"/>
    <w:rsid w:val="00B24E3B"/>
    <w:rsid w:val="00B2510C"/>
    <w:rsid w:val="00B252CC"/>
    <w:rsid w:val="00B26BCB"/>
    <w:rsid w:val="00B27DE2"/>
    <w:rsid w:val="00B3081A"/>
    <w:rsid w:val="00B32EEA"/>
    <w:rsid w:val="00B33723"/>
    <w:rsid w:val="00B429F7"/>
    <w:rsid w:val="00B44D95"/>
    <w:rsid w:val="00B454F6"/>
    <w:rsid w:val="00B52881"/>
    <w:rsid w:val="00B572F1"/>
    <w:rsid w:val="00B70C4E"/>
    <w:rsid w:val="00B7597F"/>
    <w:rsid w:val="00B85325"/>
    <w:rsid w:val="00B907EF"/>
    <w:rsid w:val="00B96ABB"/>
    <w:rsid w:val="00B96F42"/>
    <w:rsid w:val="00BA10DA"/>
    <w:rsid w:val="00BA1225"/>
    <w:rsid w:val="00BA379A"/>
    <w:rsid w:val="00BA3BB5"/>
    <w:rsid w:val="00BA4CED"/>
    <w:rsid w:val="00BB1056"/>
    <w:rsid w:val="00BB2679"/>
    <w:rsid w:val="00BB3A46"/>
    <w:rsid w:val="00BB5301"/>
    <w:rsid w:val="00BB5E6F"/>
    <w:rsid w:val="00BC0FAF"/>
    <w:rsid w:val="00BC48F8"/>
    <w:rsid w:val="00BD137C"/>
    <w:rsid w:val="00BD2EC1"/>
    <w:rsid w:val="00BD76A4"/>
    <w:rsid w:val="00BE42AD"/>
    <w:rsid w:val="00BE4892"/>
    <w:rsid w:val="00BE5BA5"/>
    <w:rsid w:val="00BF7902"/>
    <w:rsid w:val="00C02BF3"/>
    <w:rsid w:val="00C07A89"/>
    <w:rsid w:val="00C118AD"/>
    <w:rsid w:val="00C156F2"/>
    <w:rsid w:val="00C157E0"/>
    <w:rsid w:val="00C242FA"/>
    <w:rsid w:val="00C3323E"/>
    <w:rsid w:val="00C42FEF"/>
    <w:rsid w:val="00C43928"/>
    <w:rsid w:val="00C51133"/>
    <w:rsid w:val="00C52ABE"/>
    <w:rsid w:val="00C55ABE"/>
    <w:rsid w:val="00C64AAB"/>
    <w:rsid w:val="00C70918"/>
    <w:rsid w:val="00C711FF"/>
    <w:rsid w:val="00C7324E"/>
    <w:rsid w:val="00C75284"/>
    <w:rsid w:val="00C8591B"/>
    <w:rsid w:val="00C93F28"/>
    <w:rsid w:val="00C97B96"/>
    <w:rsid w:val="00CA00A5"/>
    <w:rsid w:val="00CA2C19"/>
    <w:rsid w:val="00CA433F"/>
    <w:rsid w:val="00CA585C"/>
    <w:rsid w:val="00CB058F"/>
    <w:rsid w:val="00CB315B"/>
    <w:rsid w:val="00CB31AE"/>
    <w:rsid w:val="00CB6CB7"/>
    <w:rsid w:val="00CC5823"/>
    <w:rsid w:val="00CD046F"/>
    <w:rsid w:val="00CD1591"/>
    <w:rsid w:val="00CD1840"/>
    <w:rsid w:val="00CD43D7"/>
    <w:rsid w:val="00CE5F3C"/>
    <w:rsid w:val="00CE64A2"/>
    <w:rsid w:val="00CF3D11"/>
    <w:rsid w:val="00CF655D"/>
    <w:rsid w:val="00CF711F"/>
    <w:rsid w:val="00D028B8"/>
    <w:rsid w:val="00D06C08"/>
    <w:rsid w:val="00D07B77"/>
    <w:rsid w:val="00D11959"/>
    <w:rsid w:val="00D12EE8"/>
    <w:rsid w:val="00D14734"/>
    <w:rsid w:val="00D14E4E"/>
    <w:rsid w:val="00D17CC8"/>
    <w:rsid w:val="00D21313"/>
    <w:rsid w:val="00D23507"/>
    <w:rsid w:val="00D373ED"/>
    <w:rsid w:val="00D426AA"/>
    <w:rsid w:val="00D42FF0"/>
    <w:rsid w:val="00D4697E"/>
    <w:rsid w:val="00D478D1"/>
    <w:rsid w:val="00D541B4"/>
    <w:rsid w:val="00D556AA"/>
    <w:rsid w:val="00D55AC0"/>
    <w:rsid w:val="00D563CC"/>
    <w:rsid w:val="00D56D0F"/>
    <w:rsid w:val="00D570DE"/>
    <w:rsid w:val="00D60AC2"/>
    <w:rsid w:val="00D635D9"/>
    <w:rsid w:val="00D7049E"/>
    <w:rsid w:val="00D7565B"/>
    <w:rsid w:val="00D75EE9"/>
    <w:rsid w:val="00D77AC0"/>
    <w:rsid w:val="00D81157"/>
    <w:rsid w:val="00D83D70"/>
    <w:rsid w:val="00D84CFD"/>
    <w:rsid w:val="00D87E3A"/>
    <w:rsid w:val="00D91649"/>
    <w:rsid w:val="00D92834"/>
    <w:rsid w:val="00D9720B"/>
    <w:rsid w:val="00DA0778"/>
    <w:rsid w:val="00DA7619"/>
    <w:rsid w:val="00DB645B"/>
    <w:rsid w:val="00DC70C4"/>
    <w:rsid w:val="00DC7460"/>
    <w:rsid w:val="00DD7E61"/>
    <w:rsid w:val="00DE2731"/>
    <w:rsid w:val="00DE57B6"/>
    <w:rsid w:val="00DF3995"/>
    <w:rsid w:val="00DF5B2B"/>
    <w:rsid w:val="00E054D2"/>
    <w:rsid w:val="00E141C9"/>
    <w:rsid w:val="00E1617A"/>
    <w:rsid w:val="00E23F11"/>
    <w:rsid w:val="00E267A8"/>
    <w:rsid w:val="00E300F2"/>
    <w:rsid w:val="00E4446B"/>
    <w:rsid w:val="00E46237"/>
    <w:rsid w:val="00E46376"/>
    <w:rsid w:val="00E47AF9"/>
    <w:rsid w:val="00E6085A"/>
    <w:rsid w:val="00E62D2F"/>
    <w:rsid w:val="00E659C1"/>
    <w:rsid w:val="00E66388"/>
    <w:rsid w:val="00E70F07"/>
    <w:rsid w:val="00E74CA6"/>
    <w:rsid w:val="00E7689A"/>
    <w:rsid w:val="00E80A96"/>
    <w:rsid w:val="00E845CD"/>
    <w:rsid w:val="00E8532E"/>
    <w:rsid w:val="00E85A26"/>
    <w:rsid w:val="00E96373"/>
    <w:rsid w:val="00EA584D"/>
    <w:rsid w:val="00EB50D9"/>
    <w:rsid w:val="00EB59F4"/>
    <w:rsid w:val="00EB6942"/>
    <w:rsid w:val="00EC0E53"/>
    <w:rsid w:val="00EC357D"/>
    <w:rsid w:val="00EC646D"/>
    <w:rsid w:val="00ED00F8"/>
    <w:rsid w:val="00ED1541"/>
    <w:rsid w:val="00ED40BE"/>
    <w:rsid w:val="00ED581A"/>
    <w:rsid w:val="00EE0A77"/>
    <w:rsid w:val="00EE1476"/>
    <w:rsid w:val="00EE34EE"/>
    <w:rsid w:val="00EE679E"/>
    <w:rsid w:val="00EE6A9B"/>
    <w:rsid w:val="00EF4D86"/>
    <w:rsid w:val="00F0549C"/>
    <w:rsid w:val="00F05D51"/>
    <w:rsid w:val="00F103E7"/>
    <w:rsid w:val="00F31B04"/>
    <w:rsid w:val="00F3323A"/>
    <w:rsid w:val="00F373D5"/>
    <w:rsid w:val="00F37BFB"/>
    <w:rsid w:val="00F41340"/>
    <w:rsid w:val="00F5514D"/>
    <w:rsid w:val="00F56C7B"/>
    <w:rsid w:val="00F63E2F"/>
    <w:rsid w:val="00F72388"/>
    <w:rsid w:val="00F7326C"/>
    <w:rsid w:val="00F82BCE"/>
    <w:rsid w:val="00F84C4C"/>
    <w:rsid w:val="00F94662"/>
    <w:rsid w:val="00F9649D"/>
    <w:rsid w:val="00FA1922"/>
    <w:rsid w:val="00FA2FB2"/>
    <w:rsid w:val="00FA6FCD"/>
    <w:rsid w:val="00FB1755"/>
    <w:rsid w:val="00FB3586"/>
    <w:rsid w:val="00FB72B0"/>
    <w:rsid w:val="00FB779A"/>
    <w:rsid w:val="00FC134F"/>
    <w:rsid w:val="00FC53EC"/>
    <w:rsid w:val="00FD2274"/>
    <w:rsid w:val="00FD3634"/>
    <w:rsid w:val="00FD419D"/>
    <w:rsid w:val="00FD7325"/>
    <w:rsid w:val="00FE0B66"/>
    <w:rsid w:val="00FE7258"/>
    <w:rsid w:val="00FF4716"/>
    <w:rsid w:val="00FF585E"/>
    <w:rsid w:val="01947DC5"/>
    <w:rsid w:val="01D31DB3"/>
    <w:rsid w:val="01EA3321"/>
    <w:rsid w:val="023A6190"/>
    <w:rsid w:val="03D56CF0"/>
    <w:rsid w:val="04365896"/>
    <w:rsid w:val="04EA15EC"/>
    <w:rsid w:val="05806AEA"/>
    <w:rsid w:val="05A51ECF"/>
    <w:rsid w:val="060F3F3F"/>
    <w:rsid w:val="066D64E2"/>
    <w:rsid w:val="071A25EB"/>
    <w:rsid w:val="07B96A55"/>
    <w:rsid w:val="08474A59"/>
    <w:rsid w:val="0889507D"/>
    <w:rsid w:val="0DA05EB3"/>
    <w:rsid w:val="0DC07427"/>
    <w:rsid w:val="0E5678FC"/>
    <w:rsid w:val="0E7B3A0B"/>
    <w:rsid w:val="0FB81855"/>
    <w:rsid w:val="10DF6EAB"/>
    <w:rsid w:val="116010EE"/>
    <w:rsid w:val="137B32C6"/>
    <w:rsid w:val="13D2635F"/>
    <w:rsid w:val="149E27ED"/>
    <w:rsid w:val="14CB50F4"/>
    <w:rsid w:val="15F07579"/>
    <w:rsid w:val="16B430B7"/>
    <w:rsid w:val="173B66DF"/>
    <w:rsid w:val="17D74E18"/>
    <w:rsid w:val="190C0138"/>
    <w:rsid w:val="1A645C5D"/>
    <w:rsid w:val="1A9121AB"/>
    <w:rsid w:val="1ABE68B3"/>
    <w:rsid w:val="1B5729B4"/>
    <w:rsid w:val="1B6F7EF2"/>
    <w:rsid w:val="1BAD2989"/>
    <w:rsid w:val="1BF00B83"/>
    <w:rsid w:val="1C18401F"/>
    <w:rsid w:val="1C7B7694"/>
    <w:rsid w:val="1C8B2F57"/>
    <w:rsid w:val="1CE8588A"/>
    <w:rsid w:val="1DB25B36"/>
    <w:rsid w:val="1DB93368"/>
    <w:rsid w:val="1DFC5593"/>
    <w:rsid w:val="1E1D0732"/>
    <w:rsid w:val="1E3516D0"/>
    <w:rsid w:val="1E4E3AB1"/>
    <w:rsid w:val="1E7F419C"/>
    <w:rsid w:val="1ED16490"/>
    <w:rsid w:val="1F0D1F10"/>
    <w:rsid w:val="20046B01"/>
    <w:rsid w:val="200563F1"/>
    <w:rsid w:val="207C661D"/>
    <w:rsid w:val="20AF7F46"/>
    <w:rsid w:val="211B0DA2"/>
    <w:rsid w:val="21B232AA"/>
    <w:rsid w:val="21D56297"/>
    <w:rsid w:val="22117E27"/>
    <w:rsid w:val="22830180"/>
    <w:rsid w:val="22B73D0E"/>
    <w:rsid w:val="231F3C8C"/>
    <w:rsid w:val="23805705"/>
    <w:rsid w:val="2471205B"/>
    <w:rsid w:val="26306BB5"/>
    <w:rsid w:val="272D1A30"/>
    <w:rsid w:val="286536EF"/>
    <w:rsid w:val="29692C4E"/>
    <w:rsid w:val="29895714"/>
    <w:rsid w:val="2B342D2B"/>
    <w:rsid w:val="2B492728"/>
    <w:rsid w:val="2B5239D6"/>
    <w:rsid w:val="2BA445FE"/>
    <w:rsid w:val="2BB82EE2"/>
    <w:rsid w:val="2C1631D8"/>
    <w:rsid w:val="2D60735C"/>
    <w:rsid w:val="2D9F0C0B"/>
    <w:rsid w:val="2DA05ADC"/>
    <w:rsid w:val="2DD308E5"/>
    <w:rsid w:val="2DE1291B"/>
    <w:rsid w:val="2DEA3260"/>
    <w:rsid w:val="2F835C30"/>
    <w:rsid w:val="2FC64CD1"/>
    <w:rsid w:val="30C35D13"/>
    <w:rsid w:val="321D2042"/>
    <w:rsid w:val="329145DF"/>
    <w:rsid w:val="331E2520"/>
    <w:rsid w:val="337B0B16"/>
    <w:rsid w:val="3405415F"/>
    <w:rsid w:val="344724BF"/>
    <w:rsid w:val="369856CA"/>
    <w:rsid w:val="36A22794"/>
    <w:rsid w:val="36AE5503"/>
    <w:rsid w:val="37067DB5"/>
    <w:rsid w:val="379424B5"/>
    <w:rsid w:val="37DF5AB3"/>
    <w:rsid w:val="381028A7"/>
    <w:rsid w:val="3986639D"/>
    <w:rsid w:val="39C42886"/>
    <w:rsid w:val="39ED3EA8"/>
    <w:rsid w:val="3AA238E0"/>
    <w:rsid w:val="3AA56274"/>
    <w:rsid w:val="3AEC0481"/>
    <w:rsid w:val="3B1C05F4"/>
    <w:rsid w:val="3B506C62"/>
    <w:rsid w:val="3B5254FE"/>
    <w:rsid w:val="3CA879A0"/>
    <w:rsid w:val="3CCF3769"/>
    <w:rsid w:val="3E6516E6"/>
    <w:rsid w:val="3E874F1E"/>
    <w:rsid w:val="3E8C00A8"/>
    <w:rsid w:val="3FBA3333"/>
    <w:rsid w:val="3FC953ED"/>
    <w:rsid w:val="405B62A9"/>
    <w:rsid w:val="407707ED"/>
    <w:rsid w:val="40E9793E"/>
    <w:rsid w:val="411379C3"/>
    <w:rsid w:val="419A0978"/>
    <w:rsid w:val="41E44880"/>
    <w:rsid w:val="430752E0"/>
    <w:rsid w:val="43433B4A"/>
    <w:rsid w:val="43877627"/>
    <w:rsid w:val="443A42B6"/>
    <w:rsid w:val="44E4661F"/>
    <w:rsid w:val="457E261E"/>
    <w:rsid w:val="45991206"/>
    <w:rsid w:val="45FC3543"/>
    <w:rsid w:val="46277C6F"/>
    <w:rsid w:val="462E23C5"/>
    <w:rsid w:val="46A316F4"/>
    <w:rsid w:val="46B24204"/>
    <w:rsid w:val="46C444D5"/>
    <w:rsid w:val="47954087"/>
    <w:rsid w:val="47A7201A"/>
    <w:rsid w:val="48071FAA"/>
    <w:rsid w:val="481450A4"/>
    <w:rsid w:val="48B05DA9"/>
    <w:rsid w:val="49387703"/>
    <w:rsid w:val="49AB27AF"/>
    <w:rsid w:val="49B149C5"/>
    <w:rsid w:val="49E644A2"/>
    <w:rsid w:val="4AA03F85"/>
    <w:rsid w:val="4AFD7568"/>
    <w:rsid w:val="4B6523F6"/>
    <w:rsid w:val="4B7E2499"/>
    <w:rsid w:val="4BCE045D"/>
    <w:rsid w:val="4D151ABA"/>
    <w:rsid w:val="4D1A6354"/>
    <w:rsid w:val="4EAD012B"/>
    <w:rsid w:val="4F2034C0"/>
    <w:rsid w:val="4F60721F"/>
    <w:rsid w:val="4FAD1FA1"/>
    <w:rsid w:val="50611DFA"/>
    <w:rsid w:val="51421417"/>
    <w:rsid w:val="51985130"/>
    <w:rsid w:val="51CD7069"/>
    <w:rsid w:val="52255A7A"/>
    <w:rsid w:val="527F7266"/>
    <w:rsid w:val="52C32A34"/>
    <w:rsid w:val="52FF70F8"/>
    <w:rsid w:val="534819E7"/>
    <w:rsid w:val="53CB4B71"/>
    <w:rsid w:val="540D7D50"/>
    <w:rsid w:val="54B73456"/>
    <w:rsid w:val="54EE0FCF"/>
    <w:rsid w:val="55966CC3"/>
    <w:rsid w:val="56C50771"/>
    <w:rsid w:val="572030C3"/>
    <w:rsid w:val="58A53E08"/>
    <w:rsid w:val="58C431AA"/>
    <w:rsid w:val="594556CB"/>
    <w:rsid w:val="59DE7841"/>
    <w:rsid w:val="5A432970"/>
    <w:rsid w:val="5A5C0D28"/>
    <w:rsid w:val="5A712F3B"/>
    <w:rsid w:val="5AF019B8"/>
    <w:rsid w:val="5B65065E"/>
    <w:rsid w:val="5C5935C6"/>
    <w:rsid w:val="5C72703F"/>
    <w:rsid w:val="5C732359"/>
    <w:rsid w:val="5D5A302B"/>
    <w:rsid w:val="60151960"/>
    <w:rsid w:val="60201549"/>
    <w:rsid w:val="608C6F65"/>
    <w:rsid w:val="61600266"/>
    <w:rsid w:val="624733F4"/>
    <w:rsid w:val="62E13781"/>
    <w:rsid w:val="62E53850"/>
    <w:rsid w:val="63242E8C"/>
    <w:rsid w:val="635602DE"/>
    <w:rsid w:val="63E8362C"/>
    <w:rsid w:val="63EE48A6"/>
    <w:rsid w:val="65F73B20"/>
    <w:rsid w:val="676453F8"/>
    <w:rsid w:val="67DF0C0E"/>
    <w:rsid w:val="68FA0207"/>
    <w:rsid w:val="690E2430"/>
    <w:rsid w:val="69A94B21"/>
    <w:rsid w:val="69B346B4"/>
    <w:rsid w:val="69B90DEC"/>
    <w:rsid w:val="69CC4273"/>
    <w:rsid w:val="6A35403C"/>
    <w:rsid w:val="6B76151E"/>
    <w:rsid w:val="6BA553DB"/>
    <w:rsid w:val="6C134FBF"/>
    <w:rsid w:val="6CC97F4B"/>
    <w:rsid w:val="6CDF660F"/>
    <w:rsid w:val="6D86348B"/>
    <w:rsid w:val="6DF4050D"/>
    <w:rsid w:val="6E333AC0"/>
    <w:rsid w:val="6EAF7F41"/>
    <w:rsid w:val="6F94115B"/>
    <w:rsid w:val="6F9D06F3"/>
    <w:rsid w:val="6FB96212"/>
    <w:rsid w:val="6FCD3379"/>
    <w:rsid w:val="70612C12"/>
    <w:rsid w:val="70973115"/>
    <w:rsid w:val="70B35EDD"/>
    <w:rsid w:val="70D346AC"/>
    <w:rsid w:val="71684D55"/>
    <w:rsid w:val="71720406"/>
    <w:rsid w:val="71771D58"/>
    <w:rsid w:val="71923DCD"/>
    <w:rsid w:val="71B43A94"/>
    <w:rsid w:val="71C63237"/>
    <w:rsid w:val="724C2FD8"/>
    <w:rsid w:val="725B4320"/>
    <w:rsid w:val="725F432E"/>
    <w:rsid w:val="72B51F5F"/>
    <w:rsid w:val="72D779B7"/>
    <w:rsid w:val="72F97BD2"/>
    <w:rsid w:val="7367094B"/>
    <w:rsid w:val="74C76FE7"/>
    <w:rsid w:val="74F12BEC"/>
    <w:rsid w:val="751A11CA"/>
    <w:rsid w:val="75443B2A"/>
    <w:rsid w:val="75524B48"/>
    <w:rsid w:val="75556648"/>
    <w:rsid w:val="75D55C05"/>
    <w:rsid w:val="767C37D4"/>
    <w:rsid w:val="76A64061"/>
    <w:rsid w:val="76AA0EFB"/>
    <w:rsid w:val="775013EA"/>
    <w:rsid w:val="77975952"/>
    <w:rsid w:val="78671AC3"/>
    <w:rsid w:val="7891315C"/>
    <w:rsid w:val="78C44D15"/>
    <w:rsid w:val="79085628"/>
    <w:rsid w:val="79257EE1"/>
    <w:rsid w:val="797C776D"/>
    <w:rsid w:val="797F5A41"/>
    <w:rsid w:val="79C1138E"/>
    <w:rsid w:val="79C12D5C"/>
    <w:rsid w:val="79E52B93"/>
    <w:rsid w:val="7A6C3C2E"/>
    <w:rsid w:val="7A965D49"/>
    <w:rsid w:val="7B952854"/>
    <w:rsid w:val="7BFB0A6B"/>
    <w:rsid w:val="7D257066"/>
    <w:rsid w:val="7D7D6D78"/>
    <w:rsid w:val="7DBF67F5"/>
    <w:rsid w:val="7E1E24C9"/>
    <w:rsid w:val="7E42622B"/>
    <w:rsid w:val="7E7138EF"/>
    <w:rsid w:val="7E81564F"/>
    <w:rsid w:val="7EA3047A"/>
    <w:rsid w:val="7F28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480" w:after="360"/>
      <w:jc w:val="center"/>
      <w:outlineLvl w:val="0"/>
    </w:pPr>
    <w:rPr>
      <w:rFonts w:eastAsia="微软雅黑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8"/>
    <w:qFormat/>
    <w:uiPriority w:val="0"/>
    <w:pPr>
      <w:keepNext/>
      <w:keepLines/>
      <w:spacing w:before="240" w:after="240"/>
      <w:jc w:val="center"/>
      <w:outlineLvl w:val="1"/>
    </w:pPr>
    <w:rPr>
      <w:rFonts w:eastAsia="微软雅黑"/>
      <w:b/>
      <w:bCs/>
      <w:sz w:val="32"/>
      <w:szCs w:val="32"/>
    </w:rPr>
  </w:style>
  <w:style w:type="paragraph" w:styleId="4">
    <w:name w:val="heading 3"/>
    <w:basedOn w:val="1"/>
    <w:next w:val="1"/>
    <w:link w:val="29"/>
    <w:qFormat/>
    <w:uiPriority w:val="0"/>
    <w:pPr>
      <w:keepNext/>
      <w:keepLines/>
      <w:spacing w:before="240" w:after="240"/>
      <w:jc w:val="center"/>
      <w:outlineLvl w:val="2"/>
    </w:pPr>
    <w:rPr>
      <w:rFonts w:eastAsia="微软雅黑"/>
      <w:b/>
      <w:bCs/>
      <w:sz w:val="28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240"/>
      <w:jc w:val="center"/>
      <w:outlineLvl w:val="3"/>
    </w:pPr>
    <w:rPr>
      <w:rFonts w:ascii="Arial" w:hAnsi="Arial" w:eastAsia="微软雅黑"/>
      <w:b/>
      <w:bCs/>
      <w:sz w:val="24"/>
      <w:szCs w:val="28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semiHidden/>
    <w:qFormat/>
    <w:uiPriority w:val="0"/>
    <w:pPr>
      <w:ind w:left="2520"/>
    </w:pPr>
  </w:style>
  <w:style w:type="paragraph" w:styleId="7">
    <w:name w:val="toc 5"/>
    <w:basedOn w:val="1"/>
    <w:next w:val="1"/>
    <w:semiHidden/>
    <w:qFormat/>
    <w:uiPriority w:val="0"/>
    <w:pPr>
      <w:ind w:left="1680"/>
    </w:pPr>
  </w:style>
  <w:style w:type="paragraph" w:styleId="8">
    <w:name w:val="toc 3"/>
    <w:basedOn w:val="1"/>
    <w:next w:val="1"/>
    <w:semiHidden/>
    <w:qFormat/>
    <w:uiPriority w:val="0"/>
    <w:pPr>
      <w:ind w:left="839"/>
    </w:pPr>
    <w:rPr>
      <w:rFonts w:eastAsia="微软雅黑"/>
      <w:sz w:val="18"/>
    </w:rPr>
  </w:style>
  <w:style w:type="paragraph" w:styleId="9">
    <w:name w:val="toc 8"/>
    <w:basedOn w:val="1"/>
    <w:next w:val="1"/>
    <w:semiHidden/>
    <w:qFormat/>
    <w:uiPriority w:val="0"/>
    <w:pPr>
      <w:ind w:left="2940"/>
    </w:pPr>
  </w:style>
  <w:style w:type="paragraph" w:styleId="10">
    <w:name w:val="Date"/>
    <w:basedOn w:val="1"/>
    <w:next w:val="1"/>
    <w:qFormat/>
    <w:uiPriority w:val="0"/>
  </w:style>
  <w:style w:type="paragraph" w:styleId="11">
    <w:name w:val="Body Text Indent 2"/>
    <w:basedOn w:val="1"/>
    <w:qFormat/>
    <w:uiPriority w:val="0"/>
    <w:pPr>
      <w:spacing w:line="400" w:lineRule="exact"/>
      <w:ind w:firstLine="281" w:firstLineChars="100"/>
    </w:pPr>
    <w:rPr>
      <w:b/>
      <w:bCs/>
      <w:sz w:val="28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qFormat/>
    <w:uiPriority w:val="0"/>
    <w:rPr>
      <w:rFonts w:eastAsia="微软雅黑"/>
      <w:b/>
      <w:sz w:val="24"/>
    </w:rPr>
  </w:style>
  <w:style w:type="paragraph" w:styleId="15">
    <w:name w:val="toc 4"/>
    <w:basedOn w:val="1"/>
    <w:next w:val="1"/>
    <w:semiHidden/>
    <w:qFormat/>
    <w:uiPriority w:val="0"/>
    <w:pPr>
      <w:tabs>
        <w:tab w:val="right" w:leader="dot" w:pos="9345"/>
      </w:tabs>
      <w:ind w:left="1259"/>
    </w:pPr>
    <w:rPr>
      <w:rFonts w:eastAsia="微软雅黑"/>
      <w:sz w:val="18"/>
    </w:rPr>
  </w:style>
  <w:style w:type="paragraph" w:styleId="16">
    <w:name w:val="toc 6"/>
    <w:basedOn w:val="1"/>
    <w:next w:val="1"/>
    <w:semiHidden/>
    <w:qFormat/>
    <w:uiPriority w:val="0"/>
    <w:pPr>
      <w:ind w:left="2100"/>
    </w:pPr>
  </w:style>
  <w:style w:type="paragraph" w:styleId="17">
    <w:name w:val="toc 2"/>
    <w:basedOn w:val="1"/>
    <w:next w:val="1"/>
    <w:semiHidden/>
    <w:qFormat/>
    <w:uiPriority w:val="0"/>
    <w:pPr>
      <w:ind w:left="420"/>
    </w:pPr>
    <w:rPr>
      <w:rFonts w:eastAsia="微软雅黑"/>
      <w:b/>
    </w:rPr>
  </w:style>
  <w:style w:type="paragraph" w:styleId="18">
    <w:name w:val="toc 9"/>
    <w:basedOn w:val="1"/>
    <w:next w:val="1"/>
    <w:semiHidden/>
    <w:qFormat/>
    <w:uiPriority w:val="0"/>
    <w:pPr>
      <w:ind w:left="3360"/>
    </w:pPr>
  </w:style>
  <w:style w:type="paragraph" w:styleId="1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0">
    <w:name w:val="Title"/>
    <w:basedOn w:val="1"/>
    <w:next w:val="1"/>
    <w:link w:val="30"/>
    <w:qFormat/>
    <w:uiPriority w:val="0"/>
    <w:pPr>
      <w:widowControl/>
      <w:adjustRightInd w:val="0"/>
      <w:snapToGrid w:val="0"/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qFormat/>
    <w:uiPriority w:val="0"/>
  </w:style>
  <w:style w:type="character" w:styleId="26">
    <w:name w:val="Hyperlink"/>
    <w:qFormat/>
    <w:uiPriority w:val="0"/>
    <w:rPr>
      <w:color w:val="0000FF"/>
      <w:u w:val="single"/>
    </w:rPr>
  </w:style>
  <w:style w:type="character" w:customStyle="1" w:styleId="27">
    <w:name w:val="标题 1 字符"/>
    <w:link w:val="2"/>
    <w:qFormat/>
    <w:uiPriority w:val="0"/>
    <w:rPr>
      <w:rFonts w:eastAsia="微软雅黑"/>
      <w:b/>
      <w:bCs/>
      <w:kern w:val="44"/>
      <w:sz w:val="36"/>
      <w:szCs w:val="44"/>
      <w:lang w:val="en-US" w:eastAsia="zh-CN" w:bidi="ar-SA"/>
    </w:rPr>
  </w:style>
  <w:style w:type="character" w:customStyle="1" w:styleId="28">
    <w:name w:val="标题 2 字符"/>
    <w:link w:val="3"/>
    <w:qFormat/>
    <w:uiPriority w:val="0"/>
    <w:rPr>
      <w:rFonts w:eastAsia="微软雅黑"/>
      <w:b/>
      <w:bCs/>
      <w:kern w:val="2"/>
      <w:sz w:val="32"/>
      <w:szCs w:val="32"/>
      <w:lang w:val="en-US" w:eastAsia="zh-CN" w:bidi="ar-SA"/>
    </w:rPr>
  </w:style>
  <w:style w:type="character" w:customStyle="1" w:styleId="29">
    <w:name w:val="标题 3 字符"/>
    <w:link w:val="4"/>
    <w:qFormat/>
    <w:uiPriority w:val="0"/>
    <w:rPr>
      <w:rFonts w:eastAsia="微软雅黑"/>
      <w:b/>
      <w:bCs/>
      <w:kern w:val="2"/>
      <w:sz w:val="28"/>
      <w:szCs w:val="32"/>
      <w:lang w:val="en-US" w:eastAsia="zh-CN" w:bidi="ar-SA"/>
    </w:rPr>
  </w:style>
  <w:style w:type="character" w:customStyle="1" w:styleId="30">
    <w:name w:val="标题 字符"/>
    <w:link w:val="20"/>
    <w:qFormat/>
    <w:locked/>
    <w:uiPriority w:val="0"/>
    <w:rPr>
      <w:rFonts w:ascii="Cambria" w:hAnsi="Cambria" w:eastAsia="宋体"/>
      <w:b/>
      <w:bCs/>
      <w:sz w:val="32"/>
      <w:szCs w:val="32"/>
      <w:lang w:val="en-US" w:eastAsia="zh-CN" w:bidi="ar-SA"/>
    </w:rPr>
  </w:style>
  <w:style w:type="character" w:customStyle="1" w:styleId="31">
    <w:name w:val="样式 标题 1 + 微软雅黑 小初 Char"/>
    <w:link w:val="32"/>
    <w:qFormat/>
    <w:uiPriority w:val="0"/>
    <w:rPr>
      <w:rFonts w:ascii="微软雅黑" w:hAnsi="微软雅黑" w:eastAsia="微软雅黑"/>
      <w:b/>
      <w:bCs/>
      <w:kern w:val="44"/>
      <w:sz w:val="72"/>
      <w:szCs w:val="72"/>
      <w:lang w:val="en-US" w:eastAsia="zh-CN" w:bidi="ar-SA"/>
    </w:rPr>
  </w:style>
  <w:style w:type="paragraph" w:customStyle="1" w:styleId="32">
    <w:name w:val="样式 标题 1 + 微软雅黑 小初"/>
    <w:basedOn w:val="2"/>
    <w:link w:val="31"/>
    <w:qFormat/>
    <w:uiPriority w:val="0"/>
    <w:pPr>
      <w:spacing w:after="480"/>
    </w:pPr>
    <w:rPr>
      <w:rFonts w:ascii="微软雅黑" w:hAnsi="微软雅黑"/>
      <w:sz w:val="72"/>
      <w:szCs w:val="72"/>
    </w:rPr>
  </w:style>
  <w:style w:type="character" w:customStyle="1" w:styleId="33">
    <w:name w:val="样式 标题 3 + (西文) 微软雅黑 (中文) 微软雅黑 Char"/>
    <w:link w:val="34"/>
    <w:qFormat/>
    <w:uiPriority w:val="0"/>
    <w:rPr>
      <w:rFonts w:ascii="微软雅黑" w:hAnsi="微软雅黑" w:eastAsia="微软雅黑"/>
      <w:b/>
      <w:bCs/>
      <w:kern w:val="2"/>
      <w:sz w:val="28"/>
      <w:szCs w:val="32"/>
      <w:lang w:val="en-US" w:eastAsia="zh-CN" w:bidi="ar-SA"/>
    </w:rPr>
  </w:style>
  <w:style w:type="paragraph" w:customStyle="1" w:styleId="34">
    <w:name w:val="样式 标题 3 + (西文) 微软雅黑 (中文) 微软雅黑"/>
    <w:basedOn w:val="4"/>
    <w:link w:val="33"/>
    <w:qFormat/>
    <w:uiPriority w:val="0"/>
    <w:rPr>
      <w:rFonts w:ascii="微软雅黑" w:hAnsi="微软雅黑"/>
    </w:rPr>
  </w:style>
  <w:style w:type="paragraph" w:styleId="35">
    <w:name w:val="List Paragraph"/>
    <w:basedOn w:val="1"/>
    <w:qFormat/>
    <w:uiPriority w:val="0"/>
    <w:pPr>
      <w:ind w:firstLine="420" w:firstLineChars="200"/>
    </w:pPr>
    <w:rPr>
      <w:rFonts w:ascii="宋体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贵州民族大学人文科技学院</Company>
  <Pages>11</Pages>
  <Words>6093</Words>
  <Characters>9722</Characters>
  <Lines>75</Lines>
  <Paragraphs>21</Paragraphs>
  <TotalTime>448</TotalTime>
  <ScaleCrop>false</ScaleCrop>
  <LinksUpToDate>false</LinksUpToDate>
  <CharactersWithSpaces>10394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2026-09-09T07:01:00Z</dcterms:created>
  <dc:creator>GAO Xingwen</dc:creator>
  <cp:lastModifiedBy>-</cp:lastModifiedBy>
  <cp:lastPrinted>2018-07-05T01:44:00Z</cp:lastPrinted>
  <dcterms:modified xsi:type="dcterms:W3CDTF">2026-09-09T14:37:56Z</dcterms:modified>
  <dc:title> 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RubyTemplateID">
    <vt:lpwstr>6</vt:lpwstr>
  </property>
  <property fmtid="{D5CDD505-2E9C-101B-9397-08002B2CF9AE}" pid="4" name="ICV">
    <vt:lpwstr>5649B9B75CC6477F9E5F7D3E3D9C8D80_13</vt:lpwstr>
  </property>
  <property fmtid="{D5CDD505-2E9C-101B-9397-08002B2CF9AE}" pid="5" name="KSOTemplateDocerSaveRecord">
    <vt:lpwstr>eyJoZGlkIjoiMmZjZDY4MDU1Yzk1ZjM1NTI2OTkyOGNlZTY0MGMyNDQiLCJ1c2VySWQiOiIxNTMwMTM3NDkyIn0=</vt:lpwstr>
  </property>
</Properties>
</file>