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8360" w14:textId="490C6049" w:rsidR="00301F2F" w:rsidRDefault="00301F2F" w:rsidP="002E6BE2">
      <w:pPr>
        <w:spacing w:after="0" w:line="240" w:lineRule="auto"/>
        <w:ind w:rightChars="-6" w:right="-13"/>
        <w:rPr>
          <w:rFonts w:ascii="Times New Roman" w:eastAsia="Calibri" w:hAnsi="Times New Roman" w:cs="Times New Roman"/>
          <w:sz w:val="24"/>
          <w:szCs w:val="24"/>
        </w:rPr>
      </w:pPr>
      <w:r w:rsidRPr="00A8637E">
        <w:rPr>
          <w:rFonts w:ascii="Times New Roman" w:eastAsia="Calibri" w:hAnsi="Times New Roman" w:cs="Times New Roman"/>
          <w:b/>
          <w:bCs/>
          <w:spacing w:val="-1"/>
          <w:position w:val="1"/>
          <w:sz w:val="24"/>
          <w:szCs w:val="24"/>
        </w:rPr>
        <w:t>Me</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hod</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0"/>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 xml:space="preserve"> n</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2"/>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ll</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g</w:t>
      </w:r>
      <w:r w:rsidRPr="00A8637E">
        <w:rPr>
          <w:rFonts w:ascii="Times New Roman" w:eastAsia="Calibri" w:hAnsi="Times New Roman" w:cs="Times New Roman"/>
          <w:position w:val="1"/>
          <w:sz w:val="24"/>
          <w:szCs w:val="24"/>
        </w:rPr>
        <w:t>ra</w:t>
      </w:r>
      <w:r w:rsidRPr="00A8637E">
        <w:rPr>
          <w:rFonts w:ascii="Times New Roman" w:eastAsia="Calibri" w:hAnsi="Times New Roman" w:cs="Times New Roman"/>
          <w:spacing w:val="-1"/>
          <w:position w:val="1"/>
          <w:sz w:val="24"/>
          <w:szCs w:val="24"/>
        </w:rPr>
        <w:t>ph</w:t>
      </w:r>
      <w:r w:rsidRPr="00A8637E">
        <w:rPr>
          <w:rFonts w:ascii="Times New Roman" w:eastAsia="Calibri" w:hAnsi="Times New Roman" w:cs="Times New Roman"/>
          <w:position w:val="1"/>
          <w:sz w:val="24"/>
          <w:szCs w:val="24"/>
        </w:rPr>
        <w:t>ic</w:t>
      </w:r>
      <w:r w:rsidRPr="00A8637E">
        <w:rPr>
          <w:rFonts w:ascii="Times New Roman" w:eastAsia="Calibri" w:hAnsi="Times New Roman" w:cs="Times New Roman"/>
          <w:spacing w:val="-11"/>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scri</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n</w:t>
      </w:r>
      <w:r w:rsidRPr="00A8637E">
        <w:rPr>
          <w:rFonts w:ascii="Times New Roman" w:eastAsia="Calibri" w:hAnsi="Times New Roman" w:cs="Times New Roman"/>
          <w:spacing w:val="-12"/>
          <w:position w:val="1"/>
          <w:sz w:val="24"/>
          <w:szCs w:val="24"/>
        </w:rPr>
        <w:t xml:space="preserve"> </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d</w:t>
      </w:r>
      <w:r w:rsidRPr="00A8637E">
        <w:rPr>
          <w:rFonts w:ascii="Times New Roman" w:eastAsia="Calibri" w:hAnsi="Times New Roman" w:cs="Times New Roman"/>
          <w:spacing w:val="-5"/>
          <w:position w:val="1"/>
          <w:sz w:val="24"/>
          <w:szCs w:val="24"/>
        </w:rPr>
        <w:t xml:space="preserve"> </w:t>
      </w:r>
      <w:r w:rsidRPr="00A8637E">
        <w:rPr>
          <w:rFonts w:ascii="Times New Roman" w:eastAsia="Calibri" w:hAnsi="Times New Roman" w:cs="Times New Roman"/>
          <w:position w:val="1"/>
          <w:sz w:val="24"/>
          <w:szCs w:val="24"/>
        </w:rPr>
        <w:t>si</w:t>
      </w:r>
      <w:r w:rsidRPr="00A8637E">
        <w:rPr>
          <w:rFonts w:ascii="Times New Roman" w:eastAsia="Calibri" w:hAnsi="Times New Roman" w:cs="Times New Roman"/>
          <w:spacing w:val="-1"/>
          <w:position w:val="1"/>
          <w:sz w:val="24"/>
          <w:szCs w:val="24"/>
        </w:rPr>
        <w:t>z</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h</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st</w:t>
      </w:r>
      <w:r w:rsidRPr="00A8637E">
        <w:rPr>
          <w:rFonts w:ascii="Times New Roman" w:eastAsia="Calibri" w:hAnsi="Times New Roman" w:cs="Times New Roman"/>
          <w:spacing w:val="-1"/>
          <w:position w:val="1"/>
          <w:sz w:val="24"/>
          <w:szCs w:val="24"/>
        </w:rPr>
        <w:t>u</w:t>
      </w:r>
      <w:r w:rsidRPr="00A8637E">
        <w:rPr>
          <w:rFonts w:ascii="Times New Roman" w:eastAsia="Calibri" w:hAnsi="Times New Roman" w:cs="Times New Roman"/>
          <w:spacing w:val="-3"/>
          <w:position w:val="1"/>
          <w:sz w:val="24"/>
          <w:szCs w:val="24"/>
        </w:rPr>
        <w:t>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pul</w:t>
      </w:r>
      <w:r w:rsidRPr="00A8637E">
        <w:rPr>
          <w:rFonts w:ascii="Times New Roman" w:eastAsia="Calibri" w:hAnsi="Times New Roman" w:cs="Times New Roman"/>
          <w:position w:val="1"/>
          <w:sz w:val="24"/>
          <w:szCs w:val="24"/>
        </w:rPr>
        <w:t>ati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z w:val="24"/>
          <w:szCs w:val="24"/>
        </w:rPr>
        <w:t xml:space="preserve"> 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pacing w:val="1"/>
          <w:sz w:val="24"/>
          <w:szCs w:val="24"/>
        </w:rPr>
        <w:t>/</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z w:val="24"/>
          <w:szCs w:val="24"/>
        </w:rPr>
        <w:t>xcl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crit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ria,</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st</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y</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gn</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8"/>
          <w:sz w:val="24"/>
          <w:szCs w:val="24"/>
        </w:rPr>
        <w:t xml:space="preserve"> </w:t>
      </w:r>
      <w:r w:rsidRPr="00A8637E">
        <w:rPr>
          <w:rFonts w:ascii="Times New Roman" w:eastAsia="Calibri" w:hAnsi="Times New Roman" w:cs="Times New Roman"/>
          <w:spacing w:val="-1"/>
          <w:sz w:val="24"/>
          <w:szCs w:val="24"/>
        </w:rPr>
        <w:t>ex</w:t>
      </w:r>
      <w:r w:rsidRPr="00A8637E">
        <w:rPr>
          <w:rFonts w:ascii="Times New Roman" w:eastAsia="Calibri" w:hAnsi="Times New Roman" w:cs="Times New Roman"/>
          <w:spacing w:val="-2"/>
          <w:sz w:val="24"/>
          <w:szCs w:val="24"/>
        </w:rPr>
        <w:t>p</w:t>
      </w:r>
      <w:r w:rsidRPr="00A8637E">
        <w:rPr>
          <w:rFonts w:ascii="Times New Roman" w:eastAsia="Calibri" w:hAnsi="Times New Roman" w:cs="Times New Roman"/>
          <w:sz w:val="24"/>
          <w:szCs w:val="24"/>
        </w:rPr>
        <w:t>o</w:t>
      </w:r>
      <w:r w:rsidRPr="00A8637E">
        <w:rPr>
          <w:rFonts w:ascii="Times New Roman" w:eastAsia="Calibri" w:hAnsi="Times New Roman" w:cs="Times New Roman"/>
          <w:spacing w:val="1"/>
          <w:sz w:val="24"/>
          <w:szCs w:val="24"/>
        </w:rPr>
        <w:t>s</w:t>
      </w:r>
      <w:r w:rsidRPr="00A8637E">
        <w:rPr>
          <w:rFonts w:ascii="Times New Roman" w:eastAsia="Calibri" w:hAnsi="Times New Roman" w:cs="Times New Roman"/>
          <w:sz w:val="24"/>
          <w:szCs w:val="24"/>
        </w:rPr>
        <w:t>u</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
          <w:sz w:val="24"/>
          <w:szCs w:val="24"/>
        </w:rPr>
        <w:t>te</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z w:val="24"/>
          <w:szCs w:val="24"/>
        </w:rPr>
        <w:t>v</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pacing w:val="-2"/>
          <w:sz w:val="24"/>
          <w:szCs w:val="24"/>
        </w:rPr>
        <w:t>n</w:t>
      </w:r>
      <w:r w:rsidRPr="00A8637E">
        <w:rPr>
          <w:rFonts w:ascii="Times New Roman" w:eastAsia="Calibri" w:hAnsi="Times New Roman" w:cs="Times New Roman"/>
          <w:spacing w:val="-1"/>
          <w:sz w:val="24"/>
          <w:szCs w:val="24"/>
        </w:rPr>
        <w:t>t</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2"/>
          <w:sz w:val="24"/>
          <w:szCs w:val="24"/>
        </w:rPr>
        <w:t>o</w:t>
      </w:r>
      <w:r w:rsidRPr="00A8637E">
        <w:rPr>
          <w:rFonts w:ascii="Times New Roman" w:eastAsia="Calibri" w:hAnsi="Times New Roman" w:cs="Times New Roman"/>
          <w:spacing w:val="-2"/>
          <w:sz w:val="24"/>
          <w:szCs w:val="24"/>
        </w:rPr>
        <w:t>ns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ov</w:t>
      </w:r>
      <w:r w:rsidRPr="00A8637E">
        <w:rPr>
          <w:rFonts w:ascii="Times New Roman" w:eastAsia="Calibri" w:hAnsi="Times New Roman" w:cs="Times New Roman"/>
          <w:sz w:val="24"/>
          <w:szCs w:val="24"/>
        </w:rPr>
        <w:t>aria</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1"/>
          <w:sz w:val="24"/>
          <w:szCs w:val="24"/>
        </w:rPr>
        <w:t xml:space="preserve"> </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me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a</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d</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z w:val="24"/>
          <w:szCs w:val="24"/>
        </w:rPr>
        <w:t>stati</w:t>
      </w:r>
      <w:r w:rsidRPr="00A8637E">
        <w:rPr>
          <w:rFonts w:ascii="Times New Roman" w:eastAsia="Calibri" w:hAnsi="Times New Roman" w:cs="Times New Roman"/>
          <w:spacing w:val="-3"/>
          <w:sz w:val="24"/>
          <w:szCs w:val="24"/>
        </w:rPr>
        <w:t>s</w:t>
      </w:r>
      <w:r w:rsidRPr="00A8637E">
        <w:rPr>
          <w:rFonts w:ascii="Times New Roman" w:eastAsia="Calibri" w:hAnsi="Times New Roman" w:cs="Times New Roman"/>
          <w:sz w:val="24"/>
          <w:szCs w:val="24"/>
        </w:rPr>
        <w:t>tical a</w:t>
      </w:r>
      <w:r w:rsidRPr="00A8637E">
        <w:rPr>
          <w:rFonts w:ascii="Times New Roman" w:eastAsia="Calibri" w:hAnsi="Times New Roman" w:cs="Times New Roman"/>
          <w:spacing w:val="-1"/>
          <w:sz w:val="24"/>
          <w:szCs w:val="24"/>
        </w:rPr>
        <w:t>pp</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ach</w:t>
      </w:r>
      <w:r w:rsidR="00383CB6">
        <w:rPr>
          <w:rFonts w:ascii="Times New Roman" w:eastAsia="Calibri" w:hAnsi="Times New Roman" w:cs="Times New Roman"/>
          <w:sz w:val="24"/>
          <w:szCs w:val="24"/>
        </w:rPr>
        <w:t>,</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g</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1"/>
          <w:sz w:val="24"/>
          <w:szCs w:val="24"/>
        </w:rPr>
        <w:t>p</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w</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2"/>
          <w:sz w:val="24"/>
          <w:szCs w:val="24"/>
        </w:rPr>
        <w:t>c</w:t>
      </w:r>
      <w:r w:rsidRPr="00A8637E">
        <w:rPr>
          <w:rFonts w:ascii="Times New Roman" w:eastAsia="Calibri" w:hAnsi="Times New Roman" w:cs="Times New Roman"/>
          <w:sz w:val="24"/>
          <w:szCs w:val="24"/>
        </w:rPr>
        <w:t>alc</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lati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s</w:t>
      </w:r>
    </w:p>
    <w:p w14:paraId="181E9F6D" w14:textId="77777777" w:rsidR="00383CB6" w:rsidRDefault="00383CB6" w:rsidP="002E6BE2">
      <w:pPr>
        <w:spacing w:after="0" w:line="240" w:lineRule="auto"/>
        <w:ind w:rightChars="-6" w:right="-13"/>
        <w:rPr>
          <w:rFonts w:ascii="Times New Roman" w:eastAsia="Calibri" w:hAnsi="Times New Roman" w:cs="Times New Roman"/>
          <w:sz w:val="24"/>
          <w:szCs w:val="24"/>
        </w:rPr>
      </w:pPr>
    </w:p>
    <w:p w14:paraId="7F83BF7B" w14:textId="77777777" w:rsidR="00301F2F" w:rsidRPr="00D54E95" w:rsidRDefault="00301F2F" w:rsidP="002E6BE2">
      <w:pPr>
        <w:spacing w:after="0" w:line="240" w:lineRule="auto"/>
        <w:ind w:rightChars="-6" w:right="-13"/>
        <w:rPr>
          <w:rFonts w:ascii="Times New Roman" w:eastAsia="Calibri" w:hAnsi="Times New Roman" w:cs="Times New Roman"/>
          <w:b/>
          <w:bCs/>
          <w:sz w:val="24"/>
          <w:szCs w:val="24"/>
        </w:rPr>
      </w:pPr>
      <w:r w:rsidRPr="00437A96">
        <w:rPr>
          <w:rFonts w:ascii="Times New Roman" w:eastAsia="Calibri" w:hAnsi="Times New Roman" w:cs="Times New Roman"/>
          <w:b/>
          <w:bCs/>
          <w:sz w:val="24"/>
          <w:szCs w:val="24"/>
        </w:rPr>
        <w:t>Study Population and Design</w:t>
      </w:r>
    </w:p>
    <w:p w14:paraId="3C72148A" w14:textId="722525EF" w:rsidR="003159E4" w:rsidRDefault="007A134F" w:rsidP="002E6BE2">
      <w:pPr>
        <w:spacing w:after="0" w:line="240" w:lineRule="auto"/>
        <w:ind w:rightChars="-6" w:right="-13"/>
        <w:rPr>
          <w:rFonts w:ascii="Times New Roman" w:eastAsia="Calibri" w:hAnsi="Times New Roman" w:cs="Times New Roman"/>
          <w:sz w:val="24"/>
          <w:szCs w:val="24"/>
        </w:rPr>
      </w:pPr>
      <w:r w:rsidRPr="007A134F">
        <w:rPr>
          <w:rFonts w:ascii="Times New Roman" w:eastAsia="Calibri" w:hAnsi="Times New Roman" w:cs="Times New Roman"/>
          <w:sz w:val="24"/>
          <w:szCs w:val="24"/>
        </w:rPr>
        <w:t xml:space="preserve">The </w:t>
      </w:r>
      <w:r w:rsidR="00A71B98">
        <w:rPr>
          <w:rFonts w:ascii="Times New Roman" w:eastAsia="Calibri" w:hAnsi="Times New Roman" w:cs="Times New Roman"/>
          <w:sz w:val="24"/>
          <w:szCs w:val="24"/>
        </w:rPr>
        <w:t>Youth Risk Behavior Surveillance System (YRBSS)</w:t>
      </w:r>
      <w:r w:rsidRPr="007A134F">
        <w:rPr>
          <w:rFonts w:ascii="Times New Roman" w:eastAsia="Calibri" w:hAnsi="Times New Roman" w:cs="Times New Roman"/>
          <w:sz w:val="24"/>
          <w:szCs w:val="24"/>
        </w:rPr>
        <w:t xml:space="preserve"> includes representative samples of 9th through </w:t>
      </w:r>
      <w:r w:rsidR="00A71B98">
        <w:rPr>
          <w:rFonts w:ascii="Times New Roman" w:eastAsia="Calibri" w:hAnsi="Times New Roman" w:cs="Times New Roman"/>
          <w:sz w:val="24"/>
          <w:szCs w:val="24"/>
        </w:rPr>
        <w:t>12th-grade</w:t>
      </w:r>
      <w:r w:rsidRPr="007A134F">
        <w:rPr>
          <w:rFonts w:ascii="Times New Roman" w:eastAsia="Calibri" w:hAnsi="Times New Roman" w:cs="Times New Roman"/>
          <w:sz w:val="24"/>
          <w:szCs w:val="24"/>
        </w:rPr>
        <w:t xml:space="preserve"> students from local school-based surveys as well as national, state, territory, tribe, and tribal government surveys. Every two years, usually during the spring semester, these surveys are carried out.</w:t>
      </w:r>
      <w:r>
        <w:rPr>
          <w:rFonts w:ascii="Times New Roman" w:eastAsia="Calibri" w:hAnsi="Times New Roman" w:cs="Times New Roman"/>
          <w:sz w:val="24"/>
          <w:szCs w:val="24"/>
        </w:rPr>
        <w:t xml:space="preserve"> </w:t>
      </w:r>
      <w:r w:rsidR="00AA5157" w:rsidRPr="00AA5157">
        <w:rPr>
          <w:rFonts w:ascii="Times New Roman" w:eastAsia="Calibri" w:hAnsi="Times New Roman" w:cs="Times New Roman"/>
          <w:sz w:val="24"/>
          <w:szCs w:val="24"/>
        </w:rPr>
        <w:t xml:space="preserve">The health and education departments of each state, territory, and locality undertake surveys to gather information </w:t>
      </w:r>
      <w:r w:rsidR="00AA5157">
        <w:rPr>
          <w:rFonts w:ascii="Times New Roman" w:eastAsia="Calibri" w:hAnsi="Times New Roman" w:cs="Times New Roman"/>
          <w:sz w:val="24"/>
          <w:szCs w:val="24"/>
        </w:rPr>
        <w:t>typical of most</w:t>
      </w:r>
      <w:r w:rsidR="00AA5157" w:rsidRPr="00AA5157">
        <w:rPr>
          <w:rFonts w:ascii="Times New Roman" w:eastAsia="Calibri" w:hAnsi="Times New Roman" w:cs="Times New Roman"/>
          <w:sz w:val="24"/>
          <w:szCs w:val="24"/>
        </w:rPr>
        <w:t xml:space="preserve"> public high school students in each jurisdiction. </w:t>
      </w:r>
      <w:r w:rsidR="00301F2F">
        <w:rPr>
          <w:rFonts w:ascii="Times New Roman" w:eastAsia="Calibri" w:hAnsi="Times New Roman" w:cs="Times New Roman"/>
          <w:sz w:val="24"/>
          <w:szCs w:val="24"/>
        </w:rPr>
        <w:t xml:space="preserve">The study participants were collected from the Youth Risk Behavior Surveillance System (YRBSS) high school 2019 dataset. We included participants who were enrolled in high schools of selected states and local school districts aged from 12 years to 18 years or older without missing data. </w:t>
      </w:r>
      <w:r w:rsidR="000046E8" w:rsidRPr="000046E8">
        <w:rPr>
          <w:rFonts w:ascii="Times New Roman" w:eastAsia="Calibri" w:hAnsi="Times New Roman" w:cs="Times New Roman"/>
          <w:sz w:val="24"/>
          <w:szCs w:val="24"/>
        </w:rPr>
        <w:t>State, territorial, tribal government, and local school district surveys with representative1 and no representative2 data are displayed.</w:t>
      </w:r>
      <w:r w:rsidR="000046E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YRBSS 2019 state survey does not conducted in Minnesota, </w:t>
      </w:r>
      <w:proofErr w:type="spellStart"/>
      <w:r>
        <w:rPr>
          <w:rFonts w:ascii="Times New Roman" w:eastAsia="Calibri" w:hAnsi="Times New Roman" w:cs="Times New Roman"/>
          <w:sz w:val="24"/>
          <w:szCs w:val="24"/>
        </w:rPr>
        <w:t>Oregan</w:t>
      </w:r>
      <w:proofErr w:type="spellEnd"/>
      <w:r>
        <w:rPr>
          <w:rFonts w:ascii="Times New Roman" w:eastAsia="Calibri" w:hAnsi="Times New Roman" w:cs="Times New Roman"/>
          <w:sz w:val="24"/>
          <w:szCs w:val="24"/>
        </w:rPr>
        <w:t>, Washington, and Wyoming states.</w:t>
      </w:r>
      <w:r>
        <w:rPr>
          <w:rFonts w:ascii="Times New Roman" w:eastAsia="Calibri" w:hAnsi="Times New Roman" w:cs="Times New Roman" w:hint="eastAsia"/>
          <w:sz w:val="24"/>
          <w:szCs w:val="24"/>
        </w:rPr>
        <w:t xml:space="preserve"> </w:t>
      </w:r>
      <w:r w:rsidR="00301F2F">
        <w:rPr>
          <w:rFonts w:ascii="Times New Roman" w:eastAsia="Calibri" w:hAnsi="Times New Roman" w:cs="Times New Roman"/>
          <w:sz w:val="24"/>
          <w:szCs w:val="24"/>
        </w:rPr>
        <w:t>The local high school district data were collected from 1</w:t>
      </w:r>
      <w:r w:rsidR="00247472">
        <w:rPr>
          <w:rFonts w:ascii="Times New Roman" w:eastAsia="Calibri" w:hAnsi="Times New Roman" w:cs="Times New Roman"/>
          <w:sz w:val="24"/>
          <w:szCs w:val="24"/>
        </w:rPr>
        <w:t>5</w:t>
      </w:r>
      <w:r w:rsidR="00301F2F">
        <w:rPr>
          <w:rFonts w:ascii="Times New Roman" w:eastAsia="Calibri" w:hAnsi="Times New Roman" w:cs="Times New Roman"/>
          <w:sz w:val="24"/>
          <w:szCs w:val="24"/>
        </w:rPr>
        <w:t xml:space="preserve"> local high school districts </w:t>
      </w:r>
      <w:r w:rsidR="00DC3D3A">
        <w:rPr>
          <w:rFonts w:ascii="Times New Roman" w:eastAsia="Calibri" w:hAnsi="Times New Roman" w:cs="Times New Roman"/>
          <w:sz w:val="24"/>
          <w:szCs w:val="24"/>
        </w:rPr>
        <w:t>provided</w:t>
      </w:r>
      <w:r w:rsidR="00301F2F">
        <w:rPr>
          <w:rFonts w:ascii="Times New Roman" w:eastAsia="Calibri" w:hAnsi="Times New Roman" w:cs="Times New Roman"/>
          <w:sz w:val="24"/>
          <w:szCs w:val="24"/>
        </w:rPr>
        <w:t xml:space="preserve"> by the YRBSS, including, Broward County, FL, Chicago, IL, Eaton Consortium, MI, Fort Worth, TX, Genesee Consortium, MI, Hillsborough County, FL, Los Angeles, CA, Newark, NJ, Orange County, FL, Palm Beach County, FL, Pasco County, FL, Philadelphia, PA, Portland, OR, Shelby County, TN. </w:t>
      </w:r>
      <w:r w:rsidR="00301F2F" w:rsidRPr="009C686B">
        <w:rPr>
          <w:rFonts w:ascii="Times New Roman" w:eastAsia="Calibri" w:hAnsi="Times New Roman" w:cs="Times New Roman"/>
          <w:b/>
          <w:bCs/>
          <w:sz w:val="24"/>
          <w:szCs w:val="24"/>
        </w:rPr>
        <w:t>The local school district data included 2,</w:t>
      </w:r>
      <w:r w:rsidR="008D3D4A">
        <w:rPr>
          <w:rFonts w:ascii="Times New Roman" w:eastAsia="Calibri" w:hAnsi="Times New Roman" w:cs="Times New Roman"/>
          <w:b/>
          <w:bCs/>
          <w:sz w:val="24"/>
          <w:szCs w:val="24"/>
        </w:rPr>
        <w:t>723</w:t>
      </w:r>
      <w:r w:rsidR="00301F2F" w:rsidRPr="009C686B">
        <w:rPr>
          <w:rFonts w:ascii="Times New Roman" w:eastAsia="Calibri" w:hAnsi="Times New Roman" w:cs="Times New Roman"/>
          <w:b/>
          <w:bCs/>
          <w:sz w:val="24"/>
          <w:szCs w:val="24"/>
        </w:rPr>
        <w:t xml:space="preserve"> participants.</w:t>
      </w:r>
      <w:r w:rsidR="00334C99" w:rsidRPr="00334C99">
        <w:rPr>
          <w:rFonts w:ascii="Times New Roman" w:eastAsia="Calibri" w:hAnsi="Times New Roman" w:cs="Times New Roman"/>
          <w:sz w:val="24"/>
          <w:szCs w:val="24"/>
        </w:rPr>
        <w:t xml:space="preserve"> </w:t>
      </w:r>
      <w:r w:rsidR="00334C99">
        <w:rPr>
          <w:rFonts w:ascii="Times New Roman" w:eastAsia="Calibri" w:hAnsi="Times New Roman" w:cs="Times New Roman"/>
          <w:sz w:val="24"/>
          <w:szCs w:val="24"/>
        </w:rPr>
        <w:t xml:space="preserve">The </w:t>
      </w:r>
      <w:r w:rsidR="00334C99">
        <w:rPr>
          <w:rFonts w:ascii="Times New Roman" w:eastAsia="Calibri" w:hAnsi="Times New Roman" w:cs="Times New Roman"/>
          <w:sz w:val="24"/>
          <w:szCs w:val="24"/>
        </w:rPr>
        <w:t>state</w:t>
      </w:r>
      <w:r w:rsidR="00334C99">
        <w:rPr>
          <w:rFonts w:ascii="Times New Roman" w:eastAsia="Calibri" w:hAnsi="Times New Roman" w:cs="Times New Roman"/>
          <w:sz w:val="24"/>
          <w:szCs w:val="24"/>
        </w:rPr>
        <w:t xml:space="preserve"> data were collected from</w:t>
      </w:r>
      <w:r w:rsidR="00334C99">
        <w:rPr>
          <w:rFonts w:ascii="Times New Roman" w:eastAsia="Calibri" w:hAnsi="Times New Roman" w:cs="Times New Roman"/>
          <w:sz w:val="24"/>
          <w:szCs w:val="24"/>
        </w:rPr>
        <w:t xml:space="preserve"> </w:t>
      </w:r>
      <w:r w:rsidR="00301F2F">
        <w:rPr>
          <w:rFonts w:ascii="Times New Roman" w:eastAsia="Calibri" w:hAnsi="Times New Roman" w:cs="Times New Roman"/>
          <w:sz w:val="24"/>
          <w:szCs w:val="24"/>
        </w:rPr>
        <w:t xml:space="preserve">12 states </w:t>
      </w:r>
      <w:r w:rsidR="00334C99">
        <w:rPr>
          <w:rFonts w:ascii="Times New Roman" w:eastAsia="Calibri" w:hAnsi="Times New Roman" w:cs="Times New Roman"/>
          <w:sz w:val="24"/>
          <w:szCs w:val="24"/>
        </w:rPr>
        <w:t>provided</w:t>
      </w:r>
      <w:r w:rsidR="00301F2F">
        <w:rPr>
          <w:rFonts w:ascii="Times New Roman" w:eastAsia="Calibri" w:hAnsi="Times New Roman" w:cs="Times New Roman"/>
          <w:sz w:val="24"/>
          <w:szCs w:val="24"/>
        </w:rPr>
        <w:t xml:space="preserve"> </w:t>
      </w:r>
      <w:r w:rsidR="00334C99">
        <w:rPr>
          <w:rFonts w:ascii="Times New Roman" w:eastAsia="Calibri" w:hAnsi="Times New Roman" w:cs="Times New Roman"/>
          <w:sz w:val="24"/>
          <w:szCs w:val="24"/>
        </w:rPr>
        <w:t>by</w:t>
      </w:r>
      <w:r w:rsidR="00301F2F">
        <w:rPr>
          <w:rFonts w:ascii="Times New Roman" w:eastAsia="Calibri" w:hAnsi="Times New Roman" w:cs="Times New Roman"/>
          <w:sz w:val="24"/>
          <w:szCs w:val="24"/>
        </w:rPr>
        <w:t xml:space="preserve"> the YRBSS state data after removing all the missing values, including Alabama, Arkansas, Illinois, Iowa, Kentucky, Michigan, Mississippi, Nebraska, Oklahoma, Pennsylvania, South Carolina, </w:t>
      </w:r>
      <w:r w:rsidR="00605C8F">
        <w:rPr>
          <w:rFonts w:ascii="Times New Roman" w:eastAsia="Calibri" w:hAnsi="Times New Roman" w:cs="Times New Roman"/>
          <w:sz w:val="24"/>
          <w:szCs w:val="24"/>
        </w:rPr>
        <w:t xml:space="preserve">and </w:t>
      </w:r>
      <w:r w:rsidR="00301F2F">
        <w:rPr>
          <w:rFonts w:ascii="Times New Roman" w:eastAsia="Calibri" w:hAnsi="Times New Roman" w:cs="Times New Roman"/>
          <w:sz w:val="24"/>
          <w:szCs w:val="24"/>
        </w:rPr>
        <w:t>West</w:t>
      </w:r>
      <w:r w:rsidR="00247472">
        <w:rPr>
          <w:rFonts w:ascii="Times New Roman" w:eastAsia="Calibri" w:hAnsi="Times New Roman" w:cs="Times New Roman"/>
          <w:sz w:val="24"/>
          <w:szCs w:val="24"/>
        </w:rPr>
        <w:t xml:space="preserve"> </w:t>
      </w:r>
      <w:r w:rsidR="00301F2F">
        <w:rPr>
          <w:rFonts w:ascii="Times New Roman" w:eastAsia="Calibri" w:hAnsi="Times New Roman" w:cs="Times New Roman"/>
          <w:sz w:val="24"/>
          <w:szCs w:val="24"/>
        </w:rPr>
        <w:t xml:space="preserve">Virginia. </w:t>
      </w:r>
      <w:r w:rsidR="00301F2F" w:rsidRPr="009C686B">
        <w:rPr>
          <w:rFonts w:ascii="Times New Roman" w:eastAsia="Calibri" w:hAnsi="Times New Roman" w:cs="Times New Roman"/>
          <w:b/>
          <w:bCs/>
          <w:sz w:val="24"/>
          <w:szCs w:val="24"/>
        </w:rPr>
        <w:t xml:space="preserve">The state data included </w:t>
      </w:r>
      <w:r w:rsidR="00B266BF">
        <w:rPr>
          <w:rFonts w:ascii="Times New Roman" w:eastAsia="Calibri" w:hAnsi="Times New Roman" w:cs="Times New Roman"/>
          <w:b/>
          <w:bCs/>
          <w:sz w:val="24"/>
          <w:szCs w:val="24"/>
        </w:rPr>
        <w:t>3,797</w:t>
      </w:r>
      <w:r w:rsidR="00301F2F" w:rsidRPr="009C686B">
        <w:rPr>
          <w:rFonts w:ascii="Times New Roman" w:eastAsia="Calibri" w:hAnsi="Times New Roman" w:cs="Times New Roman"/>
          <w:b/>
          <w:bCs/>
          <w:sz w:val="24"/>
          <w:szCs w:val="24"/>
        </w:rPr>
        <w:t xml:space="preserve"> participants.</w:t>
      </w:r>
      <w:r w:rsidR="0089661F">
        <w:rPr>
          <w:rFonts w:ascii="Times New Roman" w:eastAsia="Calibri" w:hAnsi="Times New Roman" w:cs="Times New Roman"/>
          <w:b/>
          <w:bCs/>
          <w:sz w:val="24"/>
          <w:szCs w:val="24"/>
        </w:rPr>
        <w:t xml:space="preserve"> </w:t>
      </w:r>
      <w:r w:rsidR="0089661F">
        <w:rPr>
          <w:rFonts w:ascii="Times New Roman" w:eastAsia="Calibri" w:hAnsi="Times New Roman" w:cs="Times New Roman"/>
          <w:sz w:val="24"/>
          <w:szCs w:val="24"/>
        </w:rPr>
        <w:t xml:space="preserve">The YRBSS dataset </w:t>
      </w:r>
      <w:r w:rsidR="00F14F52">
        <w:rPr>
          <w:rFonts w:ascii="Times New Roman" w:eastAsia="Calibri" w:hAnsi="Times New Roman" w:cs="Times New Roman"/>
          <w:sz w:val="24"/>
          <w:szCs w:val="24"/>
        </w:rPr>
        <w:t>provides</w:t>
      </w:r>
      <w:r w:rsidR="0089661F">
        <w:rPr>
          <w:rFonts w:ascii="Times New Roman" w:eastAsia="Calibri" w:hAnsi="Times New Roman" w:cs="Times New Roman"/>
          <w:sz w:val="24"/>
          <w:szCs w:val="24"/>
        </w:rPr>
        <w:t xml:space="preserve"> de-identified data</w:t>
      </w:r>
      <w:r w:rsidR="00F14F52">
        <w:rPr>
          <w:rFonts w:ascii="Times New Roman" w:eastAsia="Calibri" w:hAnsi="Times New Roman" w:cs="Times New Roman"/>
          <w:sz w:val="24"/>
          <w:szCs w:val="24"/>
        </w:rPr>
        <w:t>, which</w:t>
      </w:r>
      <w:r w:rsidR="003159E4">
        <w:rPr>
          <w:rFonts w:ascii="Times New Roman" w:eastAsia="Calibri" w:hAnsi="Times New Roman" w:cs="Times New Roman"/>
          <w:sz w:val="24"/>
          <w:szCs w:val="24"/>
        </w:rPr>
        <w:t xml:space="preserve"> did not include any personal identifier</w:t>
      </w:r>
      <w:r w:rsidR="00437F35">
        <w:rPr>
          <w:rFonts w:ascii="Times New Roman" w:eastAsia="Calibri" w:hAnsi="Times New Roman" w:cs="Times New Roman"/>
          <w:sz w:val="24"/>
          <w:szCs w:val="24"/>
        </w:rPr>
        <w:t xml:space="preserve"> and human subjects' direct contact. </w:t>
      </w:r>
      <w:r w:rsidR="00697203">
        <w:rPr>
          <w:rFonts w:ascii="Times New Roman" w:eastAsia="Calibri" w:hAnsi="Times New Roman" w:cs="Times New Roman"/>
          <w:sz w:val="24"/>
          <w:szCs w:val="24"/>
        </w:rPr>
        <w:t>The Institutional Review Board (IRB) did not conduct the IRB review process. The consent process is waived.</w:t>
      </w:r>
    </w:p>
    <w:p w14:paraId="62F01210" w14:textId="77777777" w:rsidR="00E826E1" w:rsidRDefault="00E826E1" w:rsidP="002E6BE2">
      <w:pPr>
        <w:spacing w:after="0" w:line="240" w:lineRule="auto"/>
        <w:ind w:rightChars="-6" w:right="-13"/>
        <w:rPr>
          <w:rFonts w:ascii="Times New Roman" w:eastAsia="Calibri" w:hAnsi="Times New Roman" w:cs="Times New Roman"/>
          <w:b/>
          <w:bCs/>
          <w:sz w:val="24"/>
          <w:szCs w:val="24"/>
        </w:rPr>
      </w:pPr>
    </w:p>
    <w:p w14:paraId="6AFEFB68" w14:textId="1518C3CE" w:rsidR="002654F8" w:rsidRDefault="00626916" w:rsidP="002E6BE2">
      <w:pPr>
        <w:spacing w:after="0" w:line="240" w:lineRule="auto"/>
        <w:ind w:rightChars="-6" w:right="-13"/>
        <w:rPr>
          <w:rFonts w:ascii="Times New Roman" w:eastAsia="Calibri" w:hAnsi="Times New Roman" w:cs="Times New Roman"/>
          <w:b/>
          <w:bCs/>
          <w:sz w:val="24"/>
          <w:szCs w:val="24"/>
        </w:rPr>
      </w:pPr>
      <w:r>
        <w:rPr>
          <w:rFonts w:ascii="Times New Roman" w:eastAsia="Calibri" w:hAnsi="Times New Roman" w:cs="Times New Roman"/>
          <w:b/>
          <w:bCs/>
          <w:sz w:val="24"/>
          <w:szCs w:val="24"/>
        </w:rPr>
        <w:t>Measures</w:t>
      </w:r>
    </w:p>
    <w:p w14:paraId="386C5A7B" w14:textId="0107DBF5" w:rsidR="00A07077" w:rsidRDefault="002C1B32" w:rsidP="002E6BE2">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All outcome and exposure variables were derived from the survey questions. </w:t>
      </w:r>
      <w:r w:rsidR="00543C37">
        <w:rPr>
          <w:rFonts w:ascii="Times New Roman" w:eastAsia="Calibri" w:hAnsi="Times New Roman" w:cs="Times New Roman"/>
          <w:sz w:val="24"/>
          <w:szCs w:val="24"/>
        </w:rPr>
        <w:t>The primary outcome is derived from th</w:t>
      </w:r>
      <w:r w:rsidR="00077E4A">
        <w:rPr>
          <w:rFonts w:ascii="Times New Roman" w:eastAsia="Calibri" w:hAnsi="Times New Roman" w:cs="Times New Roman"/>
          <w:sz w:val="24"/>
          <w:szCs w:val="24"/>
        </w:rPr>
        <w:t xml:space="preserve">e </w:t>
      </w:r>
      <w:r w:rsidR="00963B1D">
        <w:rPr>
          <w:rFonts w:ascii="Times New Roman" w:eastAsia="Calibri" w:hAnsi="Times New Roman" w:cs="Times New Roman"/>
          <w:sz w:val="24"/>
          <w:szCs w:val="24"/>
        </w:rPr>
        <w:t xml:space="preserve">Youth Risk Behavior Survey question </w:t>
      </w:r>
      <w:r w:rsidR="00BC4777">
        <w:rPr>
          <w:rFonts w:ascii="Times New Roman" w:eastAsia="Calibri" w:hAnsi="Times New Roman" w:cs="Times New Roman"/>
          <w:sz w:val="24"/>
          <w:szCs w:val="24"/>
        </w:rPr>
        <w:t>Q</w:t>
      </w:r>
      <w:r w:rsidR="00963B1D">
        <w:rPr>
          <w:rFonts w:ascii="Times New Roman" w:eastAsia="Calibri" w:hAnsi="Times New Roman" w:cs="Times New Roman"/>
          <w:sz w:val="24"/>
          <w:szCs w:val="24"/>
        </w:rPr>
        <w:t xml:space="preserve">85: </w:t>
      </w:r>
    </w:p>
    <w:p w14:paraId="3CDA0B7E"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 xml:space="preserve">During the past 12 months, have you been tested for a sexually transmitted disease (STD) other than HIV, </w:t>
      </w:r>
      <w:proofErr w:type="gramStart"/>
      <w:r w:rsidRPr="00D06631">
        <w:rPr>
          <w:rFonts w:ascii="Times New Roman" w:eastAsia="Calibri" w:hAnsi="Times New Roman" w:cs="Times New Roman"/>
          <w:sz w:val="24"/>
          <w:szCs w:val="24"/>
        </w:rPr>
        <w:t>such</w:t>
      </w:r>
      <w:proofErr w:type="gramEnd"/>
    </w:p>
    <w:p w14:paraId="13F7BF56"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as chlamydia or gonorrhea?</w:t>
      </w:r>
    </w:p>
    <w:p w14:paraId="22740290"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 Yes</w:t>
      </w:r>
    </w:p>
    <w:p w14:paraId="57930A41"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B. No</w:t>
      </w:r>
    </w:p>
    <w:p w14:paraId="589BA957" w14:textId="3EFD4571" w:rsidR="00FA088B"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C. Not sure</w:t>
      </w:r>
    </w:p>
    <w:p w14:paraId="15A1E1B8" w14:textId="6CBD9EE2" w:rsidR="00AA1F43" w:rsidRDefault="00021BE1" w:rsidP="00D06631">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The independent variables include demographic variables, </w:t>
      </w:r>
      <w:r w:rsidR="00BF437D">
        <w:rPr>
          <w:rFonts w:ascii="Times New Roman" w:eastAsia="Calibri" w:hAnsi="Times New Roman" w:cs="Times New Roman"/>
          <w:sz w:val="24"/>
          <w:szCs w:val="24"/>
        </w:rPr>
        <w:t xml:space="preserve">unintentional injuries and violence factors, tobacco use, alcohol and other drug use, risky sexual behavior, and cognitive and health factors. </w:t>
      </w:r>
      <w:r w:rsidR="003B690E">
        <w:rPr>
          <w:rFonts w:ascii="Times New Roman" w:eastAsia="Calibri" w:hAnsi="Times New Roman" w:cs="Times New Roman"/>
          <w:sz w:val="24"/>
          <w:szCs w:val="24"/>
        </w:rPr>
        <w:t xml:space="preserve">The demographic factors include age, sex, grade, </w:t>
      </w:r>
      <w:r w:rsidR="00716D7F">
        <w:rPr>
          <w:rFonts w:ascii="Times New Roman" w:eastAsia="Calibri" w:hAnsi="Times New Roman" w:cs="Times New Roman"/>
          <w:sz w:val="24"/>
          <w:szCs w:val="24"/>
        </w:rPr>
        <w:t xml:space="preserve">BMI, </w:t>
      </w:r>
      <w:r w:rsidR="003B690E">
        <w:rPr>
          <w:rFonts w:ascii="Times New Roman" w:eastAsia="Calibri" w:hAnsi="Times New Roman" w:cs="Times New Roman"/>
          <w:sz w:val="24"/>
          <w:szCs w:val="24"/>
        </w:rPr>
        <w:lastRenderedPageBreak/>
        <w:t>and rac</w:t>
      </w:r>
      <w:r w:rsidR="00921936">
        <w:rPr>
          <w:rFonts w:ascii="Times New Roman" w:eastAsia="Calibri" w:hAnsi="Times New Roman" w:cs="Times New Roman"/>
          <w:sz w:val="24"/>
          <w:szCs w:val="24"/>
        </w:rPr>
        <w:t xml:space="preserve">e, which were </w:t>
      </w:r>
      <w:r w:rsidR="007F4E24">
        <w:rPr>
          <w:rFonts w:ascii="Times New Roman" w:eastAsia="Calibri" w:hAnsi="Times New Roman" w:cs="Times New Roman"/>
          <w:sz w:val="24"/>
          <w:szCs w:val="24"/>
        </w:rPr>
        <w:t>collected</w:t>
      </w:r>
      <w:r w:rsidR="00921936">
        <w:rPr>
          <w:rFonts w:ascii="Times New Roman" w:eastAsia="Calibri" w:hAnsi="Times New Roman" w:cs="Times New Roman"/>
          <w:sz w:val="24"/>
          <w:szCs w:val="24"/>
        </w:rPr>
        <w:t xml:space="preserve"> from </w:t>
      </w:r>
      <w:r w:rsidR="007F4E24">
        <w:rPr>
          <w:rFonts w:ascii="Times New Roman" w:eastAsia="Calibri" w:hAnsi="Times New Roman" w:cs="Times New Roman"/>
          <w:sz w:val="24"/>
          <w:szCs w:val="24"/>
        </w:rPr>
        <w:t xml:space="preserve">YRBS </w:t>
      </w:r>
      <w:r w:rsidR="008D40BE">
        <w:rPr>
          <w:rFonts w:ascii="Times New Roman" w:eastAsia="Calibri" w:hAnsi="Times New Roman" w:cs="Times New Roman"/>
          <w:sz w:val="24"/>
          <w:szCs w:val="24"/>
        </w:rPr>
        <w:t>questions</w:t>
      </w:r>
      <w:r w:rsidR="007F4E24">
        <w:rPr>
          <w:rFonts w:ascii="Times New Roman" w:eastAsia="Calibri" w:hAnsi="Times New Roman" w:cs="Times New Roman"/>
          <w:sz w:val="24"/>
          <w:szCs w:val="24"/>
        </w:rPr>
        <w:t xml:space="preserve"> Q1, Q2, Q3, and Q5. </w:t>
      </w:r>
      <w:r w:rsidR="008D40BE">
        <w:rPr>
          <w:rFonts w:ascii="Times New Roman" w:eastAsia="Calibri" w:hAnsi="Times New Roman" w:cs="Times New Roman"/>
          <w:sz w:val="24"/>
          <w:szCs w:val="24"/>
        </w:rPr>
        <w:t xml:space="preserve">The </w:t>
      </w:r>
      <w:r w:rsidR="00224326">
        <w:rPr>
          <w:rFonts w:ascii="Times New Roman" w:eastAsia="Calibri" w:hAnsi="Times New Roman" w:cs="Times New Roman"/>
          <w:sz w:val="24"/>
          <w:szCs w:val="24"/>
        </w:rPr>
        <w:t>unintentional injuries and violence factors</w:t>
      </w:r>
      <w:r w:rsidR="00224326">
        <w:rPr>
          <w:rFonts w:ascii="Times New Roman" w:eastAsia="Calibri" w:hAnsi="Times New Roman" w:cs="Times New Roman"/>
          <w:sz w:val="24"/>
          <w:szCs w:val="24"/>
        </w:rPr>
        <w:t xml:space="preserve"> include </w:t>
      </w:r>
      <w:r w:rsidR="001359A2" w:rsidRPr="001359A2">
        <w:rPr>
          <w:rFonts w:ascii="Times New Roman" w:eastAsia="Calibri" w:hAnsi="Times New Roman" w:cs="Times New Roman"/>
          <w:sz w:val="24"/>
          <w:szCs w:val="24"/>
        </w:rPr>
        <w:t>Birth Control Use (</w:t>
      </w:r>
      <w:proofErr w:type="spellStart"/>
      <w:r w:rsidR="001359A2" w:rsidRPr="001359A2">
        <w:rPr>
          <w:rFonts w:ascii="Times New Roman" w:eastAsia="Calibri" w:hAnsi="Times New Roman" w:cs="Times New Roman"/>
          <w:sz w:val="24"/>
          <w:szCs w:val="24"/>
        </w:rPr>
        <w:t>qnothhpl</w:t>
      </w:r>
      <w:proofErr w:type="spellEnd"/>
      <w:r w:rsidR="001359A2" w:rsidRPr="001359A2">
        <w:rPr>
          <w:rFonts w:ascii="Times New Roman" w:eastAsia="Calibri" w:hAnsi="Times New Roman" w:cs="Times New Roman"/>
          <w:sz w:val="24"/>
          <w:szCs w:val="24"/>
        </w:rPr>
        <w:t>)</w:t>
      </w:r>
      <w:r w:rsidR="001359A2">
        <w:rPr>
          <w:rFonts w:ascii="Times New Roman" w:eastAsia="Calibri" w:hAnsi="Times New Roman" w:cs="Times New Roman"/>
          <w:sz w:val="24"/>
          <w:szCs w:val="24"/>
        </w:rPr>
        <w:t xml:space="preserve">, </w:t>
      </w:r>
      <w:r w:rsidR="00224326">
        <w:rPr>
          <w:rFonts w:ascii="Times New Roman" w:eastAsia="Calibri" w:hAnsi="Times New Roman" w:cs="Times New Roman"/>
          <w:sz w:val="24"/>
          <w:szCs w:val="24"/>
        </w:rPr>
        <w:t xml:space="preserve">physical </w:t>
      </w:r>
      <w:r w:rsidR="002D04B6">
        <w:rPr>
          <w:rFonts w:ascii="Times New Roman" w:eastAsia="Calibri" w:hAnsi="Times New Roman" w:cs="Times New Roman"/>
          <w:sz w:val="24"/>
          <w:szCs w:val="24"/>
        </w:rPr>
        <w:t>fights</w:t>
      </w:r>
      <w:r w:rsidR="00224326">
        <w:rPr>
          <w:rFonts w:ascii="Times New Roman" w:eastAsia="Calibri" w:hAnsi="Times New Roman" w:cs="Times New Roman"/>
          <w:sz w:val="24"/>
          <w:szCs w:val="24"/>
        </w:rPr>
        <w:t xml:space="preserve"> (Q17),</w:t>
      </w:r>
      <w:r w:rsidR="002D04B6">
        <w:rPr>
          <w:rFonts w:ascii="Times New Roman" w:eastAsia="Calibri" w:hAnsi="Times New Roman" w:cs="Times New Roman"/>
          <w:sz w:val="24"/>
          <w:szCs w:val="24"/>
        </w:rPr>
        <w:t xml:space="preserve"> </w:t>
      </w:r>
      <w:r w:rsidR="002D04B6" w:rsidRPr="002D04B6">
        <w:rPr>
          <w:rFonts w:ascii="Times New Roman" w:eastAsia="Calibri" w:hAnsi="Times New Roman" w:cs="Times New Roman"/>
          <w:sz w:val="24"/>
          <w:szCs w:val="24"/>
        </w:rPr>
        <w:t>Dating-related forced sexual activities (Q21)</w:t>
      </w:r>
      <w:r w:rsidR="002D04B6">
        <w:rPr>
          <w:rFonts w:ascii="Times New Roman" w:eastAsia="Calibri" w:hAnsi="Times New Roman" w:cs="Times New Roman"/>
          <w:sz w:val="24"/>
          <w:szCs w:val="24"/>
        </w:rPr>
        <w:t xml:space="preserve">, </w:t>
      </w:r>
      <w:r w:rsidR="002D04B6" w:rsidRPr="002D04B6">
        <w:rPr>
          <w:rFonts w:ascii="Times New Roman" w:eastAsia="Calibri" w:hAnsi="Times New Roman" w:cs="Times New Roman"/>
          <w:sz w:val="24"/>
          <w:szCs w:val="24"/>
        </w:rPr>
        <w:t>Bullying on school property (Q23)</w:t>
      </w:r>
      <w:r w:rsidR="002D04B6">
        <w:rPr>
          <w:rFonts w:ascii="Times New Roman" w:eastAsia="Calibri" w:hAnsi="Times New Roman" w:cs="Times New Roman"/>
          <w:sz w:val="24"/>
          <w:szCs w:val="24"/>
        </w:rPr>
        <w:t xml:space="preserve">, and </w:t>
      </w:r>
      <w:r w:rsidR="002D04B6" w:rsidRPr="002D04B6">
        <w:rPr>
          <w:rFonts w:ascii="Times New Roman" w:eastAsia="Calibri" w:hAnsi="Times New Roman" w:cs="Times New Roman"/>
          <w:sz w:val="24"/>
          <w:szCs w:val="24"/>
        </w:rPr>
        <w:t>Suicidal thoughts (Q26)</w:t>
      </w:r>
      <w:r w:rsidR="002D04B6">
        <w:rPr>
          <w:rFonts w:ascii="Times New Roman" w:eastAsia="Calibri" w:hAnsi="Times New Roman" w:cs="Times New Roman"/>
          <w:sz w:val="24"/>
          <w:szCs w:val="24"/>
        </w:rPr>
        <w:t>.</w:t>
      </w:r>
      <w:r w:rsidR="00712F5A">
        <w:rPr>
          <w:rFonts w:ascii="Times New Roman" w:eastAsia="Calibri" w:hAnsi="Times New Roman" w:cs="Times New Roman"/>
          <w:sz w:val="24"/>
          <w:szCs w:val="24"/>
        </w:rPr>
        <w:t xml:space="preserve"> The tobacco use is collected from the question: </w:t>
      </w:r>
      <w:r w:rsidR="00712F5A" w:rsidRPr="00712F5A">
        <w:rPr>
          <w:rFonts w:ascii="Times New Roman" w:eastAsia="Calibri" w:hAnsi="Times New Roman" w:cs="Times New Roman"/>
          <w:sz w:val="24"/>
          <w:szCs w:val="24"/>
        </w:rPr>
        <w:t>Tried cigarette smoking (Q30)</w:t>
      </w:r>
      <w:r w:rsidR="00712F5A">
        <w:rPr>
          <w:rFonts w:ascii="Times New Roman" w:eastAsia="Calibri" w:hAnsi="Times New Roman" w:cs="Times New Roman"/>
          <w:sz w:val="24"/>
          <w:szCs w:val="24"/>
        </w:rPr>
        <w:t xml:space="preserve">. </w:t>
      </w:r>
      <w:r w:rsidR="00630696">
        <w:rPr>
          <w:rFonts w:ascii="Times New Roman" w:eastAsia="Calibri" w:hAnsi="Times New Roman" w:cs="Times New Roman"/>
          <w:sz w:val="24"/>
          <w:szCs w:val="24"/>
        </w:rPr>
        <w:t>A</w:t>
      </w:r>
      <w:r w:rsidR="00630696">
        <w:rPr>
          <w:rFonts w:ascii="Times New Roman" w:eastAsia="Calibri" w:hAnsi="Times New Roman" w:cs="Times New Roman"/>
          <w:sz w:val="24"/>
          <w:szCs w:val="24"/>
        </w:rPr>
        <w:t>lcohol and other drug use</w:t>
      </w:r>
      <w:r w:rsidR="00630696">
        <w:rPr>
          <w:rFonts w:ascii="Times New Roman" w:eastAsia="Calibri" w:hAnsi="Times New Roman" w:cs="Times New Roman"/>
          <w:sz w:val="24"/>
          <w:szCs w:val="24"/>
        </w:rPr>
        <w:t xml:space="preserve"> factors collected from</w:t>
      </w:r>
      <w:r w:rsidR="00F93ABF">
        <w:rPr>
          <w:rFonts w:ascii="Times New Roman" w:eastAsia="Calibri" w:hAnsi="Times New Roman" w:cs="Times New Roman"/>
          <w:sz w:val="24"/>
          <w:szCs w:val="24"/>
        </w:rPr>
        <w:t xml:space="preserve"> survey questions:</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Alcohol consumption (Q41)</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Marijuana use (Q47)</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Prescription pain medicine misuse (Q49)</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Cocaine use (Q50)</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Heroin use (Q52)</w:t>
      </w:r>
      <w:r w:rsidR="00630696">
        <w:rPr>
          <w:rFonts w:ascii="Times New Roman" w:eastAsia="Calibri" w:hAnsi="Times New Roman" w:cs="Times New Roman"/>
          <w:sz w:val="24"/>
          <w:szCs w:val="24"/>
        </w:rPr>
        <w:t xml:space="preserve">, and </w:t>
      </w:r>
      <w:r w:rsidR="00630696" w:rsidRPr="00630696">
        <w:rPr>
          <w:rFonts w:ascii="Times New Roman" w:eastAsia="Calibri" w:hAnsi="Times New Roman" w:cs="Times New Roman"/>
          <w:sz w:val="24"/>
          <w:szCs w:val="24"/>
        </w:rPr>
        <w:t>Methamphetamine use (Q53)</w:t>
      </w:r>
      <w:r w:rsidR="00630696">
        <w:rPr>
          <w:rFonts w:ascii="Times New Roman" w:eastAsia="Calibri" w:hAnsi="Times New Roman" w:cs="Times New Roman"/>
          <w:sz w:val="24"/>
          <w:szCs w:val="24"/>
        </w:rPr>
        <w:t xml:space="preserve">. </w:t>
      </w:r>
      <w:r w:rsidR="00F93ABF">
        <w:rPr>
          <w:rFonts w:ascii="Times New Roman" w:eastAsia="Calibri" w:hAnsi="Times New Roman" w:cs="Times New Roman"/>
          <w:sz w:val="24"/>
          <w:szCs w:val="24"/>
        </w:rPr>
        <w:t>R</w:t>
      </w:r>
      <w:r w:rsidR="00F93ABF">
        <w:rPr>
          <w:rFonts w:ascii="Times New Roman" w:eastAsia="Calibri" w:hAnsi="Times New Roman" w:cs="Times New Roman"/>
          <w:sz w:val="24"/>
          <w:szCs w:val="24"/>
        </w:rPr>
        <w:t>isky sexual behavior</w:t>
      </w:r>
      <w:r w:rsidR="00F93ABF">
        <w:rPr>
          <w:rFonts w:ascii="Times New Roman" w:eastAsia="Calibri" w:hAnsi="Times New Roman" w:cs="Times New Roman"/>
          <w:sz w:val="24"/>
          <w:szCs w:val="24"/>
        </w:rPr>
        <w:t xml:space="preserve"> factors collected from survey questions: </w:t>
      </w:r>
      <w:r w:rsidR="00F93ABF" w:rsidRPr="00F93ABF">
        <w:rPr>
          <w:rFonts w:ascii="Times New Roman" w:eastAsia="Calibri" w:hAnsi="Times New Roman" w:cs="Times New Roman"/>
          <w:sz w:val="24"/>
          <w:szCs w:val="24"/>
        </w:rPr>
        <w:t>Condom use (Q63)</w:t>
      </w:r>
      <w:r w:rsidR="00A361E4">
        <w:rPr>
          <w:rFonts w:ascii="Times New Roman" w:eastAsia="Calibri" w:hAnsi="Times New Roman" w:cs="Times New Roman"/>
          <w:sz w:val="24"/>
          <w:szCs w:val="24"/>
        </w:rPr>
        <w:t xml:space="preserve"> and </w:t>
      </w:r>
      <w:r w:rsidR="00A361E4" w:rsidRPr="00A361E4">
        <w:rPr>
          <w:rFonts w:ascii="Times New Roman" w:eastAsia="Calibri" w:hAnsi="Times New Roman" w:cs="Times New Roman"/>
          <w:sz w:val="24"/>
          <w:szCs w:val="24"/>
        </w:rPr>
        <w:t>Sexual contact with different genders (Q65)</w:t>
      </w:r>
      <w:r w:rsidR="00A361E4">
        <w:rPr>
          <w:rFonts w:ascii="Times New Roman" w:eastAsia="Calibri" w:hAnsi="Times New Roman" w:cs="Times New Roman"/>
          <w:sz w:val="24"/>
          <w:szCs w:val="24"/>
        </w:rPr>
        <w:t xml:space="preserve">. </w:t>
      </w:r>
      <w:r w:rsidR="007C6D60">
        <w:rPr>
          <w:rFonts w:ascii="Times New Roman" w:eastAsia="Calibri" w:hAnsi="Times New Roman" w:cs="Times New Roman"/>
          <w:sz w:val="24"/>
          <w:szCs w:val="24"/>
        </w:rPr>
        <w:t>C</w:t>
      </w:r>
      <w:r w:rsidR="007C6D60">
        <w:rPr>
          <w:rFonts w:ascii="Times New Roman" w:eastAsia="Calibri" w:hAnsi="Times New Roman" w:cs="Times New Roman"/>
          <w:sz w:val="24"/>
          <w:szCs w:val="24"/>
        </w:rPr>
        <w:t>ognitive and health factors</w:t>
      </w:r>
      <w:r w:rsidR="007C6D60">
        <w:rPr>
          <w:rFonts w:ascii="Times New Roman" w:eastAsia="Calibri" w:hAnsi="Times New Roman" w:cs="Times New Roman"/>
          <w:sz w:val="24"/>
          <w:szCs w:val="24"/>
        </w:rPr>
        <w:t xml:space="preserve"> collected from the survey questions: </w:t>
      </w:r>
      <w:r w:rsidR="007C6D60" w:rsidRPr="007C6D60">
        <w:rPr>
          <w:rFonts w:ascii="Times New Roman" w:eastAsia="Calibri" w:hAnsi="Times New Roman" w:cs="Times New Roman"/>
          <w:sz w:val="24"/>
          <w:szCs w:val="24"/>
        </w:rPr>
        <w:t>HIV testing (Q84)</w:t>
      </w:r>
      <w:r w:rsidR="007C6D60">
        <w:rPr>
          <w:rFonts w:ascii="Times New Roman" w:eastAsia="Calibri" w:hAnsi="Times New Roman" w:cs="Times New Roman"/>
          <w:sz w:val="24"/>
          <w:szCs w:val="24"/>
        </w:rPr>
        <w:t xml:space="preserve">, </w:t>
      </w:r>
      <w:r w:rsidR="007C6D60" w:rsidRPr="007C6D60">
        <w:rPr>
          <w:rFonts w:ascii="Times New Roman" w:eastAsia="Calibri" w:hAnsi="Times New Roman" w:cs="Times New Roman"/>
          <w:sz w:val="24"/>
          <w:szCs w:val="24"/>
        </w:rPr>
        <w:t>Asthma diagnosis (Q87)</w:t>
      </w:r>
      <w:r w:rsidR="007C6D60">
        <w:rPr>
          <w:rFonts w:ascii="Times New Roman" w:eastAsia="Calibri" w:hAnsi="Times New Roman" w:cs="Times New Roman"/>
          <w:sz w:val="24"/>
          <w:szCs w:val="24"/>
        </w:rPr>
        <w:t xml:space="preserve">, and </w:t>
      </w:r>
      <w:r w:rsidR="007C6D60" w:rsidRPr="007C6D60">
        <w:rPr>
          <w:rFonts w:ascii="Times New Roman" w:eastAsia="Calibri" w:hAnsi="Times New Roman" w:cs="Times New Roman"/>
          <w:sz w:val="24"/>
          <w:szCs w:val="24"/>
        </w:rPr>
        <w:t>School grades (Q89)</w:t>
      </w:r>
      <w:r w:rsidR="007C6D60">
        <w:rPr>
          <w:rFonts w:ascii="Times New Roman" w:eastAsia="Calibri" w:hAnsi="Times New Roman" w:cs="Times New Roman"/>
          <w:sz w:val="24"/>
          <w:szCs w:val="24"/>
        </w:rPr>
        <w:t xml:space="preserve">. The </w:t>
      </w:r>
      <w:r w:rsidR="00AA1F43">
        <w:rPr>
          <w:rFonts w:ascii="Times New Roman" w:eastAsia="Calibri" w:hAnsi="Times New Roman" w:cs="Times New Roman"/>
          <w:sz w:val="24"/>
          <w:szCs w:val="24"/>
        </w:rPr>
        <w:t>detailed</w:t>
      </w:r>
      <w:r w:rsidR="007C6D60">
        <w:rPr>
          <w:rFonts w:ascii="Times New Roman" w:eastAsia="Calibri" w:hAnsi="Times New Roman" w:cs="Times New Roman"/>
          <w:sz w:val="24"/>
          <w:szCs w:val="24"/>
        </w:rPr>
        <w:t xml:space="preserve"> survey questions are described in the supplemental materia</w:t>
      </w:r>
      <w:r w:rsidR="00FB366E">
        <w:rPr>
          <w:rFonts w:ascii="Times New Roman" w:eastAsia="Calibri" w:hAnsi="Times New Roman" w:cs="Times New Roman"/>
          <w:sz w:val="24"/>
          <w:szCs w:val="24"/>
        </w:rPr>
        <w:t>l.</w:t>
      </w:r>
    </w:p>
    <w:p w14:paraId="2D195E6F" w14:textId="18B32BC1" w:rsidR="00FB366E" w:rsidRDefault="00FB366E" w:rsidP="00D06631">
      <w:pPr>
        <w:spacing w:after="0" w:line="240" w:lineRule="auto"/>
        <w:ind w:right="-14"/>
        <w:rPr>
          <w:rFonts w:ascii="Times New Roman" w:eastAsia="Calibri" w:hAnsi="Times New Roman" w:cs="Times New Roman"/>
          <w:sz w:val="24"/>
          <w:szCs w:val="24"/>
        </w:rPr>
      </w:pPr>
    </w:p>
    <w:p w14:paraId="68E8C5C6" w14:textId="062E29D2" w:rsidR="00FB366E" w:rsidRPr="002038B4" w:rsidRDefault="00FB366E" w:rsidP="00D06631">
      <w:pPr>
        <w:spacing w:after="0" w:line="240" w:lineRule="auto"/>
        <w:ind w:right="-14"/>
        <w:rPr>
          <w:rFonts w:ascii="Times New Roman" w:eastAsia="Calibri" w:hAnsi="Times New Roman" w:cs="Times New Roman"/>
          <w:b/>
          <w:bCs/>
          <w:sz w:val="24"/>
          <w:szCs w:val="24"/>
        </w:rPr>
      </w:pPr>
      <w:r w:rsidRPr="002038B4">
        <w:rPr>
          <w:rFonts w:ascii="Times New Roman" w:eastAsia="Calibri" w:hAnsi="Times New Roman" w:cs="Times New Roman" w:hint="eastAsia"/>
          <w:b/>
          <w:bCs/>
          <w:sz w:val="24"/>
          <w:szCs w:val="24"/>
        </w:rPr>
        <w:t>S</w:t>
      </w:r>
      <w:r w:rsidRPr="002038B4">
        <w:rPr>
          <w:rFonts w:ascii="Times New Roman" w:eastAsia="Calibri" w:hAnsi="Times New Roman" w:cs="Times New Roman"/>
          <w:b/>
          <w:bCs/>
          <w:sz w:val="24"/>
          <w:szCs w:val="24"/>
        </w:rPr>
        <w:t>tatistical Analysis</w:t>
      </w:r>
    </w:p>
    <w:p w14:paraId="0C82D33E" w14:textId="701E6104" w:rsidR="00FB366E" w:rsidRPr="00DC6C84" w:rsidRDefault="002038B4" w:rsidP="00D06631">
      <w:pPr>
        <w:spacing w:after="0" w:line="240" w:lineRule="auto"/>
        <w:ind w:right="-14"/>
        <w:rPr>
          <w:rFonts w:ascii="Times New Roman" w:eastAsia="Calibri" w:hAnsi="Times New Roman" w:cs="Times New Roman"/>
          <w:b/>
          <w:bCs/>
          <w:sz w:val="24"/>
          <w:szCs w:val="24"/>
        </w:rPr>
      </w:pPr>
      <w:r w:rsidRPr="00DC6C84">
        <w:rPr>
          <w:rFonts w:ascii="Times New Roman" w:eastAsia="Calibri" w:hAnsi="Times New Roman" w:cs="Times New Roman" w:hint="eastAsia"/>
          <w:b/>
          <w:bCs/>
          <w:sz w:val="24"/>
          <w:szCs w:val="24"/>
        </w:rPr>
        <w:t>D</w:t>
      </w:r>
      <w:r w:rsidRPr="00DC6C84">
        <w:rPr>
          <w:rFonts w:ascii="Times New Roman" w:eastAsia="Calibri" w:hAnsi="Times New Roman" w:cs="Times New Roman"/>
          <w:b/>
          <w:bCs/>
          <w:sz w:val="24"/>
          <w:szCs w:val="24"/>
        </w:rPr>
        <w:t>ata Cleaning and Feature Selection</w:t>
      </w:r>
    </w:p>
    <w:p w14:paraId="46FC0B85" w14:textId="1137F848" w:rsidR="002038B4" w:rsidRPr="00FB366E" w:rsidRDefault="0026540A" w:rsidP="00D06631">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The state and local school district </w:t>
      </w:r>
      <w:r w:rsidR="003E5CE1">
        <w:rPr>
          <w:rFonts w:ascii="Times New Roman" w:eastAsia="Calibri" w:hAnsi="Times New Roman" w:cs="Times New Roman"/>
          <w:sz w:val="24"/>
          <w:szCs w:val="24"/>
        </w:rPr>
        <w:t>datasets</w:t>
      </w:r>
      <w:r>
        <w:rPr>
          <w:rFonts w:ascii="Times New Roman" w:eastAsia="Calibri" w:hAnsi="Times New Roman" w:cs="Times New Roman"/>
          <w:sz w:val="24"/>
          <w:szCs w:val="24"/>
        </w:rPr>
        <w:t xml:space="preserve"> were derived from the </w:t>
      </w:r>
      <w:r w:rsidR="003E5CE1">
        <w:rPr>
          <w:rFonts w:ascii="Times New Roman" w:eastAsia="Calibri" w:hAnsi="Times New Roman" w:cs="Times New Roman"/>
          <w:sz w:val="24"/>
          <w:szCs w:val="24"/>
        </w:rPr>
        <w:t>Combined YRBS High School Datasets</w:t>
      </w:r>
      <w:r w:rsidR="00D1728D">
        <w:rPr>
          <w:rFonts w:ascii="Times New Roman" w:eastAsia="Calibri" w:hAnsi="Times New Roman" w:cs="Times New Roman"/>
          <w:sz w:val="24"/>
          <w:szCs w:val="24"/>
        </w:rPr>
        <w:t xml:space="preserve"> by selecting related risk factors based on </w:t>
      </w:r>
      <w:r w:rsidR="00D1728D" w:rsidRPr="00D1728D">
        <w:rPr>
          <w:rFonts w:ascii="Times New Roman" w:eastAsia="Calibri" w:hAnsi="Times New Roman" w:cs="Times New Roman"/>
          <w:sz w:val="24"/>
          <w:szCs w:val="24"/>
        </w:rPr>
        <w:t>a clinical assessment of variables that could</w:t>
      </w:r>
      <w:r w:rsidR="00D1728D">
        <w:rPr>
          <w:rFonts w:ascii="Times New Roman" w:eastAsia="Calibri" w:hAnsi="Times New Roman" w:cs="Times New Roman"/>
          <w:sz w:val="24"/>
          <w:szCs w:val="24"/>
        </w:rPr>
        <w:t xml:space="preserve"> contribute to the outcome</w:t>
      </w:r>
      <w:r w:rsidR="00FE3BAE">
        <w:rPr>
          <w:rFonts w:ascii="Times New Roman" w:eastAsia="Calibri" w:hAnsi="Times New Roman" w:cs="Times New Roman"/>
          <w:sz w:val="24"/>
          <w:szCs w:val="24"/>
        </w:rPr>
        <w:t xml:space="preserve"> - </w:t>
      </w:r>
      <w:r w:rsidR="00B546BF">
        <w:rPr>
          <w:rFonts w:ascii="Times New Roman" w:eastAsia="Calibri" w:hAnsi="Times New Roman" w:cs="Times New Roman"/>
          <w:sz w:val="24"/>
          <w:szCs w:val="24"/>
        </w:rPr>
        <w:t xml:space="preserve">STD testing. </w:t>
      </w:r>
    </w:p>
    <w:sectPr w:rsidR="002038B4" w:rsidRPr="00FB3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2F"/>
    <w:rsid w:val="000046E8"/>
    <w:rsid w:val="00021BE1"/>
    <w:rsid w:val="00077E4A"/>
    <w:rsid w:val="001359A2"/>
    <w:rsid w:val="001E1F05"/>
    <w:rsid w:val="002038B4"/>
    <w:rsid w:val="00224326"/>
    <w:rsid w:val="00247472"/>
    <w:rsid w:val="0026540A"/>
    <w:rsid w:val="002654F8"/>
    <w:rsid w:val="002C1B32"/>
    <w:rsid w:val="002C5F21"/>
    <w:rsid w:val="002D04B6"/>
    <w:rsid w:val="002E6BE2"/>
    <w:rsid w:val="00301F2F"/>
    <w:rsid w:val="003159E4"/>
    <w:rsid w:val="00334C99"/>
    <w:rsid w:val="003772DC"/>
    <w:rsid w:val="00383CB6"/>
    <w:rsid w:val="003B690E"/>
    <w:rsid w:val="003E5CE1"/>
    <w:rsid w:val="00437A96"/>
    <w:rsid w:val="00437F35"/>
    <w:rsid w:val="004C1BD1"/>
    <w:rsid w:val="00504A89"/>
    <w:rsid w:val="005059B5"/>
    <w:rsid w:val="00543C37"/>
    <w:rsid w:val="005A1C15"/>
    <w:rsid w:val="005B19EF"/>
    <w:rsid w:val="00605C8F"/>
    <w:rsid w:val="00626916"/>
    <w:rsid w:val="00630696"/>
    <w:rsid w:val="00697203"/>
    <w:rsid w:val="00712F5A"/>
    <w:rsid w:val="00716D7F"/>
    <w:rsid w:val="007A134F"/>
    <w:rsid w:val="007C6D60"/>
    <w:rsid w:val="007F4E24"/>
    <w:rsid w:val="0089661F"/>
    <w:rsid w:val="008D3D4A"/>
    <w:rsid w:val="008D40BE"/>
    <w:rsid w:val="00921936"/>
    <w:rsid w:val="00963B1D"/>
    <w:rsid w:val="00A07077"/>
    <w:rsid w:val="00A361E4"/>
    <w:rsid w:val="00A71B98"/>
    <w:rsid w:val="00AA1F43"/>
    <w:rsid w:val="00AA5157"/>
    <w:rsid w:val="00AF1C0E"/>
    <w:rsid w:val="00B266BF"/>
    <w:rsid w:val="00B30532"/>
    <w:rsid w:val="00B546BF"/>
    <w:rsid w:val="00BC4777"/>
    <w:rsid w:val="00BF437D"/>
    <w:rsid w:val="00C741C4"/>
    <w:rsid w:val="00CB376F"/>
    <w:rsid w:val="00D06631"/>
    <w:rsid w:val="00D1728D"/>
    <w:rsid w:val="00D54E95"/>
    <w:rsid w:val="00D933BD"/>
    <w:rsid w:val="00DC3D3A"/>
    <w:rsid w:val="00DC6C84"/>
    <w:rsid w:val="00E826E1"/>
    <w:rsid w:val="00F14F52"/>
    <w:rsid w:val="00F93ABF"/>
    <w:rsid w:val="00FA088B"/>
    <w:rsid w:val="00FB366E"/>
    <w:rsid w:val="00FE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A8909"/>
  <w15:chartTrackingRefBased/>
  <w15:docId w15:val="{A5162FA0-2735-7844-A8A6-1580FD6F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F2F"/>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86</cp:revision>
  <dcterms:created xsi:type="dcterms:W3CDTF">2023-04-16T22:21:00Z</dcterms:created>
  <dcterms:modified xsi:type="dcterms:W3CDTF">2023-04-17T03:39:00Z</dcterms:modified>
</cp:coreProperties>
</file>