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2447"/>
          <w:sz w:val="40"/>
          <w:szCs w:val="40"/>
        </w:rPr>
        <w:t xml:space="preserve">Plataforma Digital de Neuromodulação Não Invasiva</w:t>
      </w:r>
    </w:p>
    <w:p>
      <w:pPr>
        <w:spacing w:after="200"/>
      </w:pPr>
      <w:r>
        <w:rPr>
          <w:b/>
          <w:bCs/>
          <w:color w:val="19536B"/>
          <w:sz w:val="30"/>
          <w:szCs w:val="30"/>
        </w:rPr>
        <w:t xml:space="preserve">Documentação de Arquitetura — ETAPA 1</w:t>
      </w:r>
    </w:p>
    <w:p>
      <w:pPr>
        <w:spacing w:after="40"/>
      </w:pPr>
      <w:r>
        <w:rPr>
          <w:i/>
          <w:iCs/>
          <w:color w:val="4A6072"/>
          <w:sz w:val="20"/>
          <w:szCs w:val="20"/>
        </w:rPr>
        <w:t xml:space="preserve">Escopo do MVP · Requisitos · Mapeamento requisito↔desfecho · Arquitetura · Modelo de dados · Segurança/LGPD</w:t>
      </w:r>
    </w:p>
    <w:tbl>
      <w:tblPr>
        <w:tblW w:type="dxa" w:w="9026"/>
        <w:tblBorders>
          <w:top w:val="single" w:color="C7D3DE" w:sz="2"/>
          <w:left w:val="single" w:color="C7D3DE" w:sz="2"/>
          <w:bottom w:val="single" w:color="C7D3DE" w:sz="2"/>
          <w:right w:val="single" w:color="C7D3DE" w:sz="2"/>
          <w:insideH w:val="single" w:color="C7D3DE" w:sz="1"/>
          <w:insideV w:val="single" w:color="C7D3DE" w:sz="1"/>
        </w:tblBorders>
      </w:tblPr>
      <w:tblGrid>
        <w:gridCol w:w="2600"/>
        <w:gridCol w:w="6426"/>
      </w:tblGrid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Projeto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Construção de plataforma digital de neuromodulação não invasiva: estudo piloto acadêmico para futura aplicação em populações vulneráveis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Alvo desta arquitetura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Aplicativo (MVP) que instrumenta o piloto de IC randomizado e controlado, 4 semanas, N≈40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Instituição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Centro Universitário INTA (UNINTA) — Sobral, Ceará · Laboratório de Neuromodulação e Neurociências Aplicadas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Orientação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Dra. Bianca Régia Silva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Stack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Flutter/Dart (cliente) · Python/FastAPI (backend) · PostgreSQL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Documento / Versão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Etapa 1 — v1.0</w:t>
            </w:r>
          </w:p>
        </w:tc>
      </w:tr>
    </w:tbl>
    <w:p>
      <w:pPr>
        <w:spacing w:after="160" w:before="160"/>
      </w:pPr>
    </w:p>
    <w:tbl>
      <w:tblPr>
        <w:tblW w:type="dxa" w:w="9026"/>
        <w:tblBorders>
          <w:top w:val="single" w:color="C7D3DE" w:sz="2"/>
          <w:left w:val="single" w:color="C7D3DE" w:sz="2"/>
          <w:bottom w:val="single" w:color="C7D3DE" w:sz="2"/>
          <w:right w:val="single" w:color="C7D3DE" w:sz="2"/>
          <w:insideH w:val="single" w:color="C7D3DE" w:sz="1"/>
          <w:insideV w:val="single" w:color="C7D3DE" w:sz="1"/>
        </w:tblBorders>
      </w:tblPr>
      <w:tblGrid>
        <w:gridCol w:w="9026"/>
      </w:tblGrid>
      <w:tr>
        <w:tc>
          <w:tcPr>
            <w:tcW w:type="dxa" w:w="9026"/>
            <w:shd w:fill="E7F0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0B2447"/>
              </w:rPr>
              <w:t xml:space="preserve">Aviso de escopo e uso</w:t>
            </w:r>
          </w:p>
          <w:p>
            <w:pPr>
              <w:spacing w:after="0" w:line="268"/>
            </w:pPr>
            <w:r>
              <w:t xml:space="preserve">Esta plataforma é uma ferramenta complementar de apoio ao bem-estar e à pesquisa. Não substitui avaliação, diagnóstico ou tratamento por profissional de saúde. As frequências binaurais são tratadas como intervenção experimental, com evidência ainda limitada e heterogênea; nenhuma alegação de eficácia clínica é feita como fato. O software é, nesta fase, instrumento de um estudo aprovado por Comitê de Ética em Pesquisa (CEP), e não um dispositivo médico comercializado.</w:t>
            </w:r>
          </w:p>
        </w:tc>
      </w:tr>
    </w:tbl>
    <w:p>
      <w:r>
        <w:br w:type="page"/>
      </w:r>
    </w:p>
    <w:p>
      <w:pPr>
        <w:pStyle w:val="Heading1"/>
        <w:spacing w:after="120" w:before="120"/>
      </w:pPr>
      <w:r>
        <w:rPr>
          <w:b/>
          <w:bCs/>
          <w:color w:val="0B2447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0B2447"/>
        </w:rPr>
        <w:t xml:space="preserve">1. Contexto e objetivo desta etapa</w:t>
      </w:r>
    </w:p>
    <w:p>
      <w:pPr>
        <w:spacing w:after="120" w:line="276"/>
      </w:pPr>
      <w:r>
        <w:t xml:space="preserve">Este documento consolida a Etapa 1 do desenvolvimento: a fundação arquitetural do aplicativo que servirá como instrumento do estudo piloto de iniciação científica. O escopo aqui é deliberadamente disciplinado. Em vez de tentar construir de imediato a plataforma internacional descrita no material de visão de longo prazo, projeta-se apenas o que o piloto exige — e faz-se isso com fronteiras modulares que permitam crescer nessa direção mais tarde, sem retrabalho.</w:t>
      </w:r>
    </w:p>
    <w:p>
      <w:pPr>
        <w:spacing w:after="120" w:line="276"/>
      </w:pPr>
      <w:r>
        <w:t xml:space="preserve">Uma decisão central foi tomada em relação ao material de visão original: onde ele previa microserviços e escala para milhões de usuários desde o início, adota-se aqui um </w:t>
      </w:r>
      <w:r>
        <w:rPr>
          <w:b/>
          <w:bCs/>
        </w:rPr>
        <w:t xml:space="preserve">monólito modular</w:t>
      </w:r>
      <w:r>
        <w:t xml:space="preserve">, coerente com boas práticas de engenharia (começar simples, distribuir apenas quando houver necessidade real de carga ou equipe) e com o próprio princípio de preferir a simplicidade suficiente à complexidade desnecessária.</w:t>
      </w:r>
    </w:p>
    <w:p>
      <w:pPr>
        <w:spacing w:after="120" w:line="276"/>
      </w:pPr>
      <w:r>
        <w:t xml:space="preserve">As etapas seguintes detalharão cada módulo: a Etapa 2 especifica o player como instrumento científico (síntese e validação do áudio binaural, sham e cegamento); a Etapa 3 trata de UX, telas e identidade visual; a Etapa 4, dos instrumentos digitais e captura de métricas; a Etapa 5, do backend, banco e segurança em detalhe; a Etapa 6, do motor de recomendação por regras; e a Etapa 7, do plano de análise e do Research Center mínimo.</w:t>
      </w:r>
    </w:p>
    <w:p>
      <w:pPr>
        <w:pStyle w:val="Heading1"/>
        <w:spacing w:after="120" w:before="260"/>
      </w:pPr>
      <w:r>
        <w:rPr>
          <w:b/>
          <w:bCs/>
          <w:color w:val="0B2447"/>
        </w:rPr>
        <w:t xml:space="preserve">2. Princípios de arquitetura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Código limpo, modular, documentado e escalável, com fronteiras explícitas por domínio e interfaces bem definidas.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</w:rPr>
        <w:t xml:space="preserve">O player é um instrumento de medida, não um tocador de música. </w:t>
      </w:r>
      <w:r>
        <w:t xml:space="preserve">A validade interna do estudo depende da fidelidade do estímulo (frequências exatas por canal, separação estéreo verdadeira, ausência de artefatos).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Separação entre conhecimento clínico (fontes científicas) e mecanismo computacional; o algoritmo nunca substitui o conhecimento médico.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Supervisão humana em decisões relevantes; incertezas explícitas; sem transmitir falsa precisão.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Honestidade de nomenclatura: o que hoje é heurística por regras é descrito como tal, e não como “IA que aprende”.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Privacidade e segurança desde o desenho (privacy/security by design); coleta mínima de dados.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Limitações documentadas; decisões técnicas registradas (ADR); dependências maduras e sustentáveis.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Preparado para expansão (wearables, nuvem, novas modalidades) e para eventual proteção da propriedade intelectual.</w:t>
      </w:r>
    </w:p>
    <w:p>
      <w:pPr>
        <w:pStyle w:val="Heading1"/>
        <w:spacing w:after="120" w:before="260"/>
      </w:pPr>
      <w:r>
        <w:rPr>
          <w:b/>
          <w:bCs/>
          <w:color w:val="0B2447"/>
        </w:rPr>
        <w:t xml:space="preserve">3. Escopo do MVP</w:t>
      </w:r>
    </w:p>
    <w:p>
      <w:pPr>
        <w:pStyle w:val="Heading2"/>
        <w:spacing w:after="100" w:before="180"/>
      </w:pPr>
      <w:r>
        <w:rPr>
          <w:b/>
          <w:bCs/>
          <w:color w:val="19536B"/>
        </w:rPr>
        <w:t xml:space="preserve">3.1 Dentro do escopo</w:t>
      </w:r>
    </w:p>
    <w:p>
      <w:pPr>
        <w:spacing w:after="120" w:line="276"/>
      </w:pPr>
      <w:r>
        <w:t xml:space="preserve">O fluxo mínimo que instrumenta o desenho do estudo, do consentimento à exportação dos dados: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TCLE eletrônico (aceite e revogação).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Triagem e verificação de elegibilidade (critérios de inclusão/exclusão).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Linha de base: dados sociodemográficos, PSQI e GAD-7.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Randomização com ocultação de alocação (experimental × sham).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Player binaural com braço sham indistinguível, verificação de fones, temporizador e teto de volume.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Micro-questionário pós-sessão (6 itens) e diário breve de sono.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Registro automático de adesão e telemetria de uso.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Captura de eventos adversos e sinalização de segurança.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Recomendação de protocolo por regras transparentes (dentro das faixas seguras).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Reavaliação de seguimento: PSQI, GAD-7, SUS e item de integridade do cegamento.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Armazenamento seguro conforme LGPD e exportação em CSV pseudonimizado para análise.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Painel de pesquisador com acesso por papel (RBAC).</w:t>
      </w:r>
    </w:p>
    <w:p>
      <w:pPr>
        <w:pStyle w:val="Heading2"/>
        <w:spacing w:after="100" w:before="180"/>
      </w:pPr>
      <w:r>
        <w:rPr>
          <w:b/>
          <w:bCs/>
          <w:color w:val="19536B"/>
        </w:rPr>
        <w:t xml:space="preserve">3.2 Fora do escopo (roadmap pós-MVP)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Integração com wearables e sensores fisiológicos.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Camada de LLM/RAG para conteúdo educativo e explicações (adia ônus de avaliação/segurança e evita confundir o estudo).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Dashboard científico avançado, biblioteca de conteúdo, podcasts, mapas mentais.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Monitoramento longitudinal de 90/180/365 dias e EEG de malha fechada.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Modelos de machine learning para personalização; expansão internacional; assinaturas.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Arquitetura distribuída em microserviços.</w:t>
      </w:r>
    </w:p>
    <w:p>
      <w:pPr>
        <w:pStyle w:val="Heading1"/>
        <w:spacing w:after="120" w:before="260"/>
      </w:pPr>
      <w:r>
        <w:rPr>
          <w:b/>
          <w:bCs/>
          <w:color w:val="0B2447"/>
        </w:rPr>
        <w:t xml:space="preserve">4. Requisitos funcionais</w:t>
      </w:r>
    </w:p>
    <w:p>
      <w:pPr>
        <w:pStyle w:val="Heading2"/>
        <w:spacing w:after="100" w:before="180"/>
      </w:pPr>
      <w:r>
        <w:rPr>
          <w:b/>
          <w:bCs/>
          <w:color w:val="19536B"/>
        </w:rPr>
        <w:t xml:space="preserve">Onboarding, consentimento e triagem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RF-01 — Apresentar e registrar o aceite do TCLE eletrônico (versão, data/hora, identificador), com revogação a qualquer momento.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RF-02 — Aplicar triagem de elegibilidade (idade ≥18, vínculo institucional, smartphone e fones estéreo, sintomas leves-moderados) e bloquear inelegíveis.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RF-03 — Exibir de forma persistente o aviso de ferramenta complementar (não substitui cuidado profissional) e sinalizar recursos de crise (ex.: CVV 188).</w:t>
      </w:r>
    </w:p>
    <w:p>
      <w:pPr>
        <w:pStyle w:val="Heading2"/>
        <w:spacing w:after="100" w:before="180"/>
      </w:pPr>
      <w:r>
        <w:rPr>
          <w:b/>
          <w:bCs/>
          <w:color w:val="19536B"/>
        </w:rPr>
        <w:t xml:space="preserve">Avaliações e instrumentos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RF-04 — Aplicar PSQI e GAD-7 na linha de base e no seguimento, com cálculo automático e versionado dos escores.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RF-05 — Aplicar a SUS (usabilidade) no seguimento.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RF-06 — Coletar o item de integridade do cegamento no seguimento (braço que o participante acredita ter recebido).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RF-07 — Oferecer diário breve de sono no próprio aplicativo.</w:t>
      </w:r>
    </w:p>
    <w:p>
      <w:pPr>
        <w:pStyle w:val="Heading2"/>
        <w:spacing w:after="100" w:before="180"/>
      </w:pPr>
      <w:r>
        <w:rPr>
          <w:b/>
          <w:bCs/>
          <w:color w:val="19536B"/>
        </w:rPr>
        <w:t xml:space="preserve">Player binaural (instrumento)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RF-08 — Sintetizar e reproduzir o estímulo conforme um protocolo de áudio versionado (banda alfa/teta/delta; frequência portadora; frequência de batimento; duração ~20 min; envelope com fade in/out).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RF-09 — Reproduzir o estímulo sham (mesmo veículo, duração e volume, sem diferença interaural terapêutica), indistinguível na interface.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RF-10 — Verificar a presença de fones estéreo (teste L/R) antes de iniciar a sessão e registrar o resultado.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RF-11 — Controlar o volume com teto de segurança auditiva; volume independente entre estímulo e som ambiente.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RF-12 — Prover cronômetro/temporizador e registrar sessões iniciadas, concluídas, tempo efetivo e interrupções.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RF-13 — Registrar exatamente qual protocolo (e versão) foi entregue em cada sessão.</w:t>
      </w:r>
    </w:p>
    <w:p>
      <w:pPr>
        <w:pStyle w:val="Heading2"/>
        <w:spacing w:after="100" w:before="180"/>
      </w:pPr>
      <w:r>
        <w:rPr>
          <w:b/>
          <w:bCs/>
          <w:color w:val="19536B"/>
        </w:rPr>
        <w:t xml:space="preserve">Pós-sessão, adesão, recomendação e segurança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RF-14 — Aplicar o micro-questionário pós-sessão (como se sente; quanto relaxou; dormiu melhor; gostou; intensidade percebida; repetiria).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RF-15 — Registrar automaticamente métricas de adesão (acessos, sessões/semana, tempo médio, % concluídas).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RF-16 — Sugerir protocolo por regras transparentes (objetivo, perfil, histórico, tolerabilidade), registrando entradas, regra disparada e saída; jamais recomendar fora dos limites de segurança.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RF-17 — Capturar e registrar eventos adversos (cefaleia, tontura, desconforto auditivo, irritabilidade, sonolência excessiva, fadiga, outros), com gravidade e conduta.</w:t>
      </w:r>
    </w:p>
    <w:p>
      <w:pPr>
        <w:pStyle w:val="Heading2"/>
        <w:spacing w:after="100" w:before="180"/>
      </w:pPr>
      <w:r>
        <w:rPr>
          <w:b/>
          <w:bCs/>
          <w:color w:val="19536B"/>
        </w:rPr>
        <w:t xml:space="preserve">Pesquisa e administração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RF-18 — Randomizar elegíveis em experimental/sham com ocultação de alocação (randomização em blocos; estratificação opcional por tipo de sintoma), sem revelar o braço ao participante.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RF-19 — Painel de pesquisador com acesso por papel (RBAC), sem acesso à alocação até o desbloqueio; visão de adesão, completude e eventos adversos.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RF-20 — Exportar dados em CSV pseudonimizado, com rótulos de braço codificados, para análise em Jamovi/JASP/R.</w:t>
      </w:r>
    </w:p>
    <w:p>
      <w:pPr>
        <w:pStyle w:val="Heading1"/>
        <w:spacing w:after="120" w:before="260"/>
      </w:pPr>
      <w:r>
        <w:rPr>
          <w:b/>
          <w:bCs/>
          <w:color w:val="0B2447"/>
        </w:rPr>
        <w:t xml:space="preserve">5. Requisitos não funcionais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RNF-01 Segurança — TLS em trânsito; criptografia em repouso para dados sensíveis; segredos fora do versionamento.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RNF-02 Privacidade/LGPD — coleta mínima; base legal e consentimento explícitos; finalidade e retenção registradas; pseudonimização; separação entre dado operacional e dado de pesquisa.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RNF-03 Controle de acesso — autorização por papel checada no servidor a cada requisição; MFA obrigatório para pesquisador/administrador.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RNF-04 Auditabilidade — trilha de auditoria para acesso/alteração de dados clínicos; logs estruturados com PII minimizada.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RNF-05 Fidelidade do estímulo — frequências exatas por canal, separação estéreo verdadeira, sem artefatos/reamostragem; testes automatizados por FFT sobre o sinal de referência.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RNF-06 Cegamento — alocação oculta ao participante; entrada de desfechos autorreferida no app; rótulos de braço codificados na exportação; desbloqueio controlado.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RNF-07 Disponibilidade/resiliência — cliente offline-first com sincronização confiável; health checks; backups restauráveis.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RNF-08 Portabilidade — cliente multiplataforma (Flutter) e backend conteinerizado (Docker).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RNF-09 Desempenho — latência adequada nas interações; processamento assíncrono para tarefas longas.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RNF-10 Sustentabilidade — dependências maduras e amplamente adotadas; evitar bibliotecas experimentais em caminhos críticos.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RNF-11 Observabilidade — logs, métricas e tracing desde o início.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RNF-12 Acessibilidade — interface simples, baixa carga cognitiva, linguagem acessível (coerente com a futura inclusão de populações vulneráveis).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RNF-13 Residência de dados — preferência por hospedagem em região brasileira.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RNF-14 Testabilidade/CI — testes unitários, de integração de API e de sinal; CI que bloqueia merge com falhas.</w:t>
      </w:r>
    </w:p>
    <w:p>
      <w:pPr>
        <w:pStyle w:val="Heading1"/>
        <w:spacing w:after="120" w:before="260"/>
      </w:pPr>
      <w:r>
        <w:rPr>
          <w:b/>
          <w:bCs/>
          <w:color w:val="0B2447"/>
        </w:rPr>
        <w:t xml:space="preserve">6. Mapeamento requisito ↔ desfecho do estudo</w:t>
      </w:r>
    </w:p>
    <w:p>
      <w:pPr>
        <w:spacing w:after="120" w:line="276"/>
      </w:pPr>
      <w:r>
        <w:t xml:space="preserve">Cada desfecho do protocolo é explicitamente ligado à funcionalidade e ao dado que o mede. Isso garante que o app seja construído para responder à pergunta científica — e que os critérios de sucesso estejam definidos desde o início.</w:t>
      </w:r>
    </w:p>
    <w:tbl>
      <w:tblPr>
        <w:tblW w:type="dxa" w:w="9026"/>
        <w:tblBorders>
          <w:top w:val="single" w:color="C7D3DE" w:sz="2"/>
          <w:left w:val="single" w:color="C7D3DE" w:sz="2"/>
          <w:bottom w:val="single" w:color="C7D3DE" w:sz="2"/>
          <w:right w:val="single" w:color="C7D3DE" w:sz="2"/>
          <w:insideH w:val="single" w:color="C7D3DE" w:sz="1"/>
          <w:insideV w:val="single" w:color="C7D3DE" w:sz="1"/>
        </w:tblBorders>
      </w:tblPr>
      <w:tblGrid>
        <w:gridCol w:w="1900"/>
        <w:gridCol w:w="1050"/>
        <w:gridCol w:w="3376"/>
        <w:gridCol w:w="2700"/>
      </w:tblGrid>
      <w:tr>
        <w:trPr>
          <w:tblHeader/>
        </w:trPr>
        <w:tc>
          <w:tcPr>
            <w:tcW w:type="dxa" w:w="1900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Desfecho</w:t>
            </w:r>
          </w:p>
        </w:tc>
        <w:tc>
          <w:tcPr>
            <w:tcW w:type="dxa" w:w="1050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376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o app captura (dado/feature)</w:t>
            </w:r>
          </w:p>
        </w:tc>
        <w:tc>
          <w:tcPr>
            <w:tcW w:type="dxa" w:w="2700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Métrica / derivação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Viabilidade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Primário</w:t>
            </w:r>
          </w:p>
        </w:tc>
        <w:tc>
          <w:tcPr>
            <w:tcW w:type="dxa" w:w="3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Módulos de triagem/consentimento (timestamps, flags de elegibilidade), registros de sessão, telemetria de erro/crash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Taxas de recrutamento, elegibilidade, aceite, conclusão do protocolo, perdas; funcionamento; completude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Usabilidade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Primário</w:t>
            </w:r>
          </w:p>
        </w:tc>
        <w:tc>
          <w:tcPr>
            <w:tcW w:type="dxa" w:w="3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SUS no seguimento + telemetria de fricção (conclusão de tarefas, erros)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Escore SUS; dificuldades relatadas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Adesão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Primário</w:t>
            </w:r>
          </w:p>
        </w:tc>
        <w:tc>
          <w:tcPr>
            <w:tcW w:type="dxa" w:w="3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Motor de sessões e telemetria de uso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Nº de sessões, % concluídas, frequência semanal, tempo médio de exposição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Segurança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Primário</w:t>
            </w:r>
          </w:p>
        </w:tc>
        <w:tc>
          <w:tcPr>
            <w:tcW w:type="dxa" w:w="3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Módulo de eventos adversos + captura de sintomas pós-sessão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Incidência de cefaleia, tontura, desconforto auditivo, etc.; abandono por EA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Ansiedade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Secundário (exploratório)</w:t>
            </w:r>
          </w:p>
        </w:tc>
        <w:tc>
          <w:tcPr>
            <w:tcW w:type="dxa" w:w="3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GAD-7 na base e no seguimento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Variação do escore GAD-7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Qualidade do sono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Secundário</w:t>
            </w:r>
          </w:p>
        </w:tc>
        <w:tc>
          <w:tcPr>
            <w:tcW w:type="dxa" w:w="3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PSQI na base e no seguimento + tendências do diário de sono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Variação do escore PSQI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Aceitabilidade, relaxamento, satisfação, tolerabilidade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Secundário</w:t>
            </w:r>
          </w:p>
        </w:tc>
        <w:tc>
          <w:tcPr>
            <w:tcW w:type="dxa" w:w="3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Micro-questionário pós-sessão + itens do seguimento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Escalas agregadas por participante e por sessão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Coerência do algoritmo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Secundário (exploratório)</w:t>
            </w:r>
          </w:p>
        </w:tc>
        <w:tc>
          <w:tcPr>
            <w:tcW w:type="dxa" w:w="3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Log de recomendação (entradas→regra→saída) + adesão/tolerabilidade/autorrelato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Aderência do protocolo sugerido ao objetivo; taxa de aceitação; relação com benefício relatado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Integridade do cegamento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Metodológico</w:t>
            </w:r>
          </w:p>
        </w:tc>
        <w:tc>
          <w:tcPr>
            <w:tcW w:type="dxa" w:w="3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Item de “braço adivinhado” no seguimento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Índice de cegamento (ex.: James/Bang), comparando adivinhação × alocação real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0B2447"/>
        </w:rPr>
        <w:t xml:space="preserve">7. Arquitetura de alto nível</w:t>
      </w:r>
    </w:p>
    <w:p>
      <w:pPr>
        <w:spacing w:after="120" w:line="276"/>
      </w:pPr>
      <w:r>
        <w:t xml:space="preserve">A arquitetura organiza-se em camadas com fronteiras claras. O cliente Flutter concentra a experiência e a reprodução do estímulo (offline-first); uma API versionada com contrato OpenAPI medeia o acesso; o backend Python é um monólito modular com módulos por domínio; e a camada de dados usa PostgreSQL, com uma fila assíncrona para tarefas longas. Segurança/LGPD, observabilidade e CI/CD são preocupações transversais. Fronteiras para wearables, nuvem e novas modalidades já estão previstas, mas ficam fora do MVP.</w:t>
      </w:r>
    </w:p>
    <w:p>
      <w:pPr>
        <w:spacing w:after="60" w:before="60"/>
        <w:jc w:val="center"/>
      </w:pPr>
      <w:r>
        <w:drawing>
          <wp:inline distT="0" distB="0" distL="0" distR="0">
            <wp:extent cx="59817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4A6072"/>
          <w:sz w:val="18"/>
          <w:szCs w:val="18"/>
        </w:rPr>
        <w:t xml:space="preserve">Figura 1 — Arquitetura de alto nível do MVP.</w:t>
      </w:r>
    </w:p>
    <w:p>
      <w:pPr>
        <w:pStyle w:val="Heading2"/>
        <w:spacing w:after="100" w:before="180"/>
      </w:pPr>
      <w:r>
        <w:rPr>
          <w:b/>
          <w:bCs/>
          <w:color w:val="19536B"/>
        </w:rPr>
        <w:t xml:space="preserve">7.1 Camada cliente (Flutter/Dart)</w:t>
      </w:r>
    </w:p>
    <w:p>
      <w:pPr>
        <w:spacing w:after="120" w:line="276"/>
      </w:pPr>
      <w:r>
        <w:t xml:space="preserve">Aplicativo iOS/Android com um único código-base. Opera offline-first: as sessões acontecem em ambiente domiciliar e a sincronização com o backend ocorre de forma resiliente a conectividade intermitente, protegendo a completude dos dados. A interface é idêntica nos dois braços do estudo — condição necessária ao cegamento.</w:t>
      </w:r>
    </w:p>
    <w:p>
      <w:pPr>
        <w:pStyle w:val="Heading2"/>
        <w:spacing w:after="100" w:before="180"/>
      </w:pPr>
      <w:r>
        <w:rPr>
          <w:b/>
          <w:bCs/>
          <w:color w:val="19536B"/>
        </w:rPr>
        <w:t xml:space="preserve">7.2 API (/v1)</w:t>
      </w:r>
    </w:p>
    <w:p>
      <w:pPr>
        <w:spacing w:after="120" w:line="276"/>
      </w:pPr>
      <w:r>
        <w:t xml:space="preserve">REST com recursos no plural e versionamento explícito; o contrato OpenAPI é a fonte de verdade. Toda entrada é validada no servidor (pydantic) — o cliente nunca é confiável. Erros seguem um formato padronizado (problem+json, RFC 9457); operações sensíveis são idempotentes e endpoints públicos têm rate limiting.</w:t>
      </w:r>
    </w:p>
    <w:p>
      <w:pPr>
        <w:pStyle w:val="Heading2"/>
        <w:spacing w:after="100" w:before="180"/>
      </w:pPr>
      <w:r>
        <w:rPr>
          <w:b/>
          <w:bCs/>
          <w:color w:val="19536B"/>
        </w:rPr>
        <w:t xml:space="preserve">7.3 Backend (monólito modular, Python/FastAPI)</w:t>
      </w:r>
    </w:p>
    <w:p>
      <w:pPr>
        <w:spacing w:after="120" w:line="276"/>
      </w:pPr>
      <w:r>
        <w:t xml:space="preserve">Módulos por domínio com interfaces internas explícitas: Identidade &amp; Consentimento; Randomização &amp; Cegamento; Sessões &amp; Telemetria; Instrumentos &amp; Escores; Áudio (definição/validação de protocolos); Motor de Recomendação (regras); Eventos Adversos &amp; Segurança; Exportação/Research; e Auditoria. A extração de qualquer um deles para um serviço separado só se justifica quando um limite real (carga, equipe, cadência de deploy) o exigir.</w:t>
      </w:r>
    </w:p>
    <w:p>
      <w:pPr>
        <w:pStyle w:val="Heading2"/>
        <w:spacing w:after="100" w:before="180"/>
      </w:pPr>
      <w:r>
        <w:rPr>
          <w:b/>
          <w:bCs/>
          <w:color w:val="19536B"/>
        </w:rPr>
        <w:t xml:space="preserve">7.4 Camada de dados e processamento assíncrono</w:t>
      </w:r>
    </w:p>
    <w:p>
      <w:pPr>
        <w:spacing w:after="120" w:line="276"/>
      </w:pPr>
      <w:r>
        <w:t xml:space="preserve">PostgreSQL como banco operacional, com integridade garantida por constraints (chaves estrangeiras, unicidade, checks) e migrações versionadas. O dataset de pesquisa é mantido pseudonimizado e separado do dado operacional. Protocolos de áudio são armazenados como configurações versionadas com hash de validação. Uma fila assíncrona executa tarefas longas — validação de sinal (FFT) e geração de exportações — sem bloquear a API.</w:t>
      </w:r>
    </w:p>
    <w:p>
      <w:pPr>
        <w:pStyle w:val="Heading2"/>
        <w:spacing w:after="100" w:before="180"/>
      </w:pPr>
      <w:r>
        <w:rPr>
          <w:b/>
          <w:bCs/>
          <w:color w:val="19536B"/>
        </w:rPr>
        <w:t xml:space="preserve">7.5 Fidelidade do estímulo e cegamento no aplicativo</w:t>
      </w:r>
    </w:p>
    <w:p>
      <w:pPr>
        <w:spacing w:after="120" w:line="276"/>
      </w:pPr>
      <w:r>
        <w:rPr>
          <w:b/>
          <w:bCs/>
        </w:rPr>
        <w:t xml:space="preserve">Este é o ponto de engenharia mais sensível cientificamente. </w:t>
      </w:r>
      <w:r>
        <w:t xml:space="preserve">O estímulo é sintetizado de forma determinística e testável (senoides com frequência exata por canal, controle de amplitude e fade in/out para evitar cliques). Cada protocolo é uma configuração reproduzível e versionada; a exação da diferença interaural (por exemplo, 200 Hz e 210 Hz gerando 10 Hz de batimento) é verificada por testes automatizados de FFT sobre o sinal de referência. O uso de fones estéreo é obrigatório e verificado antes de cada sessão.</w:t>
      </w:r>
    </w:p>
    <w:p>
      <w:pPr>
        <w:spacing w:after="120" w:line="276"/>
      </w:pPr>
      <w:r>
        <w:t xml:space="preserve">O cegamento é sustentado por três mecanismos no próprio app: (i) a alocação é gerada e mantida oculta ao participante, com interface idêntica nos dois braços; (ii) o braço sham reproduz o mesmo veículo sonoro, com a mesma duração e volume, mas sem a diferença interaural terapêutica, de modo perceptualmente similar; (iii) um item de integridade do cegamento é coletado ao final. A especificação detalhada da síntese e do sham é o objeto da Etapa 2.</w:t>
      </w:r>
    </w:p>
    <w:p>
      <w:pPr>
        <w:pStyle w:val="Heading1"/>
        <w:spacing w:after="120" w:before="260"/>
      </w:pPr>
      <w:r>
        <w:rPr>
          <w:b/>
          <w:bCs/>
          <w:color w:val="0B2447"/>
        </w:rPr>
        <w:t xml:space="preserve">8. Stack tecnológica e justificativas</w:t>
      </w:r>
    </w:p>
    <w:tbl>
      <w:tblPr>
        <w:tblW w:type="dxa" w:w="9026"/>
        <w:tblBorders>
          <w:top w:val="single" w:color="C7D3DE" w:sz="2"/>
          <w:left w:val="single" w:color="C7D3DE" w:sz="2"/>
          <w:bottom w:val="single" w:color="C7D3DE" w:sz="2"/>
          <w:right w:val="single" w:color="C7D3DE" w:sz="2"/>
          <w:insideH w:val="single" w:color="C7D3DE" w:sz="1"/>
          <w:insideV w:val="single" w:color="C7D3DE" w:sz="1"/>
        </w:tblBorders>
      </w:tblPr>
      <w:tblGrid>
        <w:gridCol w:w="2300"/>
        <w:gridCol w:w="2000"/>
        <w:gridCol w:w="4726"/>
      </w:tblGrid>
      <w:tr>
        <w:trPr>
          <w:tblHeader/>
        </w:trPr>
        <w:tc>
          <w:tcPr>
            <w:tcW w:type="dxa" w:w="2300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2000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Escolha</w:t>
            </w:r>
          </w:p>
        </w:tc>
        <w:tc>
          <w:tcPr>
            <w:tcW w:type="dxa" w:w="4726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Justificativa (e alternativa considerada)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Cliente multiplataforma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Flutter / Dart</w:t>
            </w:r>
          </w:p>
        </w:tc>
        <w:tc>
          <w:tcPr>
            <w:tcW w:type="dxa" w:w="4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Um só código para iOS/Android; desempenho próximo do nativo; controle de áudio de baixo nível viável para o player. Alternativa: React Native (áudio de baixo nível menos direto).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Backend / API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Python + FastAPI</w:t>
            </w:r>
          </w:p>
        </w:tc>
        <w:tc>
          <w:tcPr>
            <w:tcW w:type="dxa" w:w="4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Assíncrono; validação com pydantic; OpenAPI automático; ecossistema científico (numpy/scipy) útil à validação do sinal. Alternativa: Django (mais pesado; OpenAPI menos direto).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PostgreSQL</w:t>
            </w:r>
          </w:p>
        </w:tc>
        <w:tc>
          <w:tcPr>
            <w:tcW w:type="dxa" w:w="4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Relacional robusto; integridade no banco; consultas complexas; maduro. Alternativa: SQLite (apenas protótipo local).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ORM / Migrações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SQLAlchemy 2.0 + Alembic</w:t>
            </w:r>
          </w:p>
        </w:tc>
        <w:tc>
          <w:tcPr>
            <w:tcW w:type="dxa" w:w="4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Migrações versionadas e revisáveis; integridade explícita.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OAuth2/JWT + argon2</w:t>
            </w:r>
          </w:p>
        </w:tc>
        <w:tc>
          <w:tcPr>
            <w:tcW w:type="dxa" w:w="4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Padrão maduro; hashing forte; MFA para papéis de pesquisa. Alternativa: IdP gerenciado (Keycloak/serviço) para reduzir superfície de ataque.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Processamento assíncrono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Fila leve (RQ/Dramatiq) + Redis</w:t>
            </w:r>
          </w:p>
        </w:tc>
        <w:tc>
          <w:tcPr>
            <w:tcW w:type="dxa" w:w="4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Proporcional à escala do piloto; validação de sinal e exportação sem bloquear a API. Alternativa: Celery (mais complexo).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Validação de sinal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numpy / scipy (FFT)</w:t>
            </w:r>
          </w:p>
        </w:tc>
        <w:tc>
          <w:tcPr>
            <w:tcW w:type="dxa" w:w="4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Confirma as frequências-alvo do estímulo de referência; testes reprodutíveis.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Observabilidade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Logs estruturados · Prometheus · OpenTelemetry</w:t>
            </w:r>
          </w:p>
        </w:tc>
        <w:tc>
          <w:tcPr>
            <w:tcW w:type="dxa" w:w="4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Confiabilidade e diagnóstico desde o início.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Empacotamento / CI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Docker + GitHub Actions</w:t>
            </w:r>
          </w:p>
        </w:tc>
        <w:tc>
          <w:tcPr>
            <w:tcW w:type="dxa" w:w="4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Portabilidade; CI que bloqueia merge com falhas.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Estilo arquitetural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Monólito modular</w:t>
            </w:r>
          </w:p>
        </w:tc>
        <w:tc>
          <w:tcPr>
            <w:tcW w:type="dxa" w:w="4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Simplicidade e velocidade no piloto; fronteiras por domínio permitem extrair serviços só quando a carga/equipe justificar (evita complexidade prematura).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0B2447"/>
        </w:rPr>
        <w:t xml:space="preserve">9. Modelo de dados (alto nível)</w:t>
      </w:r>
    </w:p>
    <w:p>
      <w:pPr>
        <w:spacing w:after="120" w:line="276"/>
      </w:pPr>
      <w:r>
        <w:t xml:space="preserve">Entidades principais e seus campos-chave. A modelagem é normalizada por padrão; a separação entre dado operacional e dado de pesquisa (pseudonimizado) é mantida desde o início.</w:t>
      </w:r>
    </w:p>
    <w:tbl>
      <w:tblPr>
        <w:tblW w:type="dxa" w:w="9026"/>
        <w:tblBorders>
          <w:top w:val="single" w:color="C7D3DE" w:sz="2"/>
          <w:left w:val="single" w:color="C7D3DE" w:sz="2"/>
          <w:bottom w:val="single" w:color="C7D3DE" w:sz="2"/>
          <w:right w:val="single" w:color="C7D3DE" w:sz="2"/>
          <w:insideH w:val="single" w:color="C7D3DE" w:sz="1"/>
          <w:insideV w:val="single" w:color="C7D3DE" w:sz="1"/>
        </w:tblBorders>
      </w:tblPr>
      <w:tblGrid>
        <w:gridCol w:w="2150"/>
        <w:gridCol w:w="3200"/>
        <w:gridCol w:w="3676"/>
      </w:tblGrid>
      <w:tr>
        <w:trPr>
          <w:tblHeader/>
        </w:trPr>
        <w:tc>
          <w:tcPr>
            <w:tcW w:type="dxa" w:w="2150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Entidade</w:t>
            </w:r>
          </w:p>
        </w:tc>
        <w:tc>
          <w:tcPr>
            <w:tcW w:type="dxa" w:w="3200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3676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Campos-chave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Participante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Sujeito do piloto (identidade pseudonimizada)</w:t>
            </w:r>
          </w:p>
        </w:tc>
        <w:tc>
          <w:tcPr>
            <w:tcW w:type="dxa" w:w="3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id, código de estudo, papel, contato cifrado (separado), timestamps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RegistroDeConsentimento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Aceite/revogação do TCLE</w:t>
            </w:r>
          </w:p>
        </w:tc>
        <w:tc>
          <w:tcPr>
            <w:tcW w:type="dxa" w:w="3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id, participante, versão do TCLE, aceite, data/hora, hash, revogação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Triagem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Elegibilidade e critérios</w:t>
            </w:r>
          </w:p>
        </w:tc>
        <w:tc>
          <w:tcPr>
            <w:tcW w:type="dxa" w:w="3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id, participante, elegível, critérios atendidos/violados, sintomas, data/hora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AvaliaçãoBasal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Medidas pré-intervenção</w:t>
            </w:r>
          </w:p>
        </w:tc>
        <w:tc>
          <w:tcPr>
            <w:tcW w:type="dxa" w:w="3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id, participante, itens+escore PSQI, itens+escore GAD-7, sociodemográfico, medicações/terapias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Alocação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Randomização (braço oculto)</w:t>
            </w:r>
          </w:p>
        </w:tc>
        <w:tc>
          <w:tcPr>
            <w:tcW w:type="dxa" w:w="3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id, participante, braço [oculto], estrato, bloco, algoritmo/seed, status de cegamento, data/hora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ProtocoloDeÁudio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Definição reproduzível do estímulo (versionada)</w:t>
            </w:r>
          </w:p>
        </w:tc>
        <w:tc>
          <w:tcPr>
            <w:tcW w:type="dxa" w:w="3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id, versão, banda, freq. portadora, freq. de batimento, duração, envelope, teto de volume, hash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Sessão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Execução de uma sessão</w:t>
            </w:r>
          </w:p>
        </w:tc>
        <w:tc>
          <w:tcPr>
            <w:tcW w:type="dxa" w:w="3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id, participante, protocolo+versão, braço, início/fim, duração efetiva, interrupções, concluída, dispositivo, verificação de fones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QuestionárioPósSessão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Autorrelato imediato (6 itens)</w:t>
            </w:r>
          </w:p>
        </w:tc>
        <w:tc>
          <w:tcPr>
            <w:tcW w:type="dxa" w:w="3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id, sessão, sentimento, relaxamento, sono, gostou, intensidade, repetiria, data/hora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DiárioDeSono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Registro diário</w:t>
            </w:r>
          </w:p>
        </w:tc>
        <w:tc>
          <w:tcPr>
            <w:tcW w:type="dxa" w:w="3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id, participante, data, latência, despertares, duração, qualidade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EventoAdverso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Segurança/tolerabilidade</w:t>
            </w:r>
          </w:p>
        </w:tc>
        <w:tc>
          <w:tcPr>
            <w:tcW w:type="dxa" w:w="3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id, participante, sessão?, tipo, gravidade, conduta, desfecho, data/hora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AvaliaçãoDeSeguimento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Medidas pós-intervenção</w:t>
            </w:r>
          </w:p>
        </w:tc>
        <w:tc>
          <w:tcPr>
            <w:tcW w:type="dxa" w:w="3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id, participante, PSQI, GAD-7, SUS, aceitabilidade, item de integridade do cegamento, data/hora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LogDeRecomendação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Auditoria do recomendador por regras</w:t>
            </w:r>
          </w:p>
        </w:tc>
        <w:tc>
          <w:tcPr>
            <w:tcW w:type="dxa" w:w="3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id, participante, sessão?, entradas, regra+versão, protocolo sugerido, aceito, data/hora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UsuárioPesquisador/Admin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Acesso por papel</w:t>
            </w:r>
          </w:p>
        </w:tc>
        <w:tc>
          <w:tcPr>
            <w:tcW w:type="dxa" w:w="3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id, papel (RBAC), MFA, credenciais (hash), permissões, escopo (sem alocação até desbloqueio)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LogDeAuditoria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Acesso/alteração de dados clínicos</w:t>
            </w:r>
          </w:p>
        </w:tc>
        <w:tc>
          <w:tcPr>
            <w:tcW w:type="dxa" w:w="3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id, ator, ação, recurso, data/hora, metadados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2447"/>
        </w:rPr>
        <w:t xml:space="preserve">10. Segurança, privacidade e conformidade (LGPD)</w:t>
      </w:r>
    </w:p>
    <w:p>
      <w:pPr>
        <w:spacing w:after="120" w:line="276"/>
      </w:pPr>
      <w:r>
        <w:t xml:space="preserve">Dados de sono, humor e uso são dados pessoais sensíveis e recebem proteção reforçada sob a LGPD. O tratamento observa, ainda, as Resoluções CNS 466/2012 e 510/2016, já previstas no projeto. Medidas adotadas por desenho: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Base legal e consentimento explícitos, com finalidade e prazo de retenção registrados; coleta mínima (data minimization).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Pseudonimização dos dados de pesquisa e separação em relação ao dado operacional; rótulos de braço codificados na exportação.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Criptografia em trânsito (TLS) e em repouso para dados sensíveis; PII minimizada em logs e nunca embutida no cliente.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Controle de acesso por papel (RBAC) verificado no servidor; MFA obrigatório para pesquisador/administrador; segredos em secret manager.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Trilha de auditoria para acesso e alteração de dados clínicos.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Direitos do titular (acesso, correção, revogação do consentimento e eliminação) operacionalizados no app.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Recomenda-se elaborar um Relatório de Impacto à Proteção de Dados (RIPD/DPIA) e indicar um encarregado (DPO); preferência por hospedagem em região brasileira.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Blindagem do cegamento como requisito de segurança do dado: a alocação não é exposta ao participante nem ao pesquisador antes do desbloqueio.</w:t>
      </w:r>
    </w:p>
    <w:p>
      <w:pPr>
        <w:spacing w:after="120" w:line="276"/>
      </w:pPr>
      <w:r>
        <w:rPr>
          <w:b/>
          <w:bCs/>
        </w:rPr>
        <w:t xml:space="preserve">Observação regulatória. </w:t>
      </w:r>
      <w:r>
        <w:t xml:space="preserve">Caso a plataforma venha a ser posicionada como intervenção de saúde fora de um estudo (por exemplo, comercializada), pode passar a se enquadrar como software como dispositivo médico (SaMD), com regulação da ANVISA — o que alteraria requisitos de validação, rastreabilidade e alegações permitidas. No piloto atual, sob aprovação de CEP e com posicionamento complementar/experimental, trata-se de software de pesquisa. Esta é uma orientação de engenharia, não aconselhamento jurídico ou regulatório; decisões dessa natureza exigem revisão por profissional habilitado e pelo Núcleo de Inovação Tecnológica (NIT) da instituição.</w:t>
      </w:r>
    </w:p>
    <w:p>
      <w:pPr>
        <w:pStyle w:val="Heading1"/>
        <w:spacing w:after="120" w:before="260"/>
      </w:pPr>
      <w:r>
        <w:rPr>
          <w:b/>
          <w:bCs/>
          <w:color w:val="0B2447"/>
        </w:rPr>
        <w:t xml:space="preserve">11. Riscos e mitigações</w:t>
      </w:r>
    </w:p>
    <w:tbl>
      <w:tblPr>
        <w:tblW w:type="dxa" w:w="9026"/>
        <w:tblBorders>
          <w:top w:val="single" w:color="C7D3DE" w:sz="2"/>
          <w:left w:val="single" w:color="C7D3DE" w:sz="2"/>
          <w:bottom w:val="single" w:color="C7D3DE" w:sz="2"/>
          <w:right w:val="single" w:color="C7D3DE" w:sz="2"/>
          <w:insideH w:val="single" w:color="C7D3DE" w:sz="1"/>
          <w:insideV w:val="single" w:color="C7D3DE" w:sz="1"/>
        </w:tblBorders>
      </w:tblPr>
      <w:tblGrid>
        <w:gridCol w:w="2500"/>
        <w:gridCol w:w="1400"/>
        <w:gridCol w:w="1300"/>
        <w:gridCol w:w="3826"/>
      </w:tblGrid>
      <w:tr>
        <w:trPr>
          <w:tblHeader/>
        </w:trPr>
        <w:tc>
          <w:tcPr>
            <w:tcW w:type="dxa" w:w="2500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1400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1300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/ Prob.</w:t>
            </w:r>
          </w:p>
        </w:tc>
        <w:tc>
          <w:tcPr>
            <w:tcW w:type="dxa" w:w="3826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Mitigação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Fidelidade do áudio comprometida (reamostragem, crosstalk, volume não calibrado)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Técnico / validade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Alto / Média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Síntese determinística no cliente; testes FFT; verificação de fones; teto de volume; especificação detalhada (Etapa 2)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Quebra de cegamento (sham distinguível)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Metodológico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Alto / Média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Sham ativo perceptualmente similar; UI idêntica; teste de integridade; análise com rótulos codificados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Baixa adesão / abandono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Viabilidade / estatístico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Médio-alto / Alta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Sessões curtas; UX de baixa fricção; lembretes; monitorar adesão em tempo real; metas realistas de piloto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Qualidade/completude dos dados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Analítico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Médio / Média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Validação no servidor; campos obrigatórios; checagens de completude; sincronização offline-first robusta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Heterogeneidade de dispositivos/fones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Variabilidade do estímulo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Médio / Alta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Verificação de fones; requisitos mínimos; registrar dispositivo/modelo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Enquadramento como SaMD (ANVISA) se comercializado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Regulatório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Alto (se comercializar) / Baixa (piloto)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Manter posicionamento de pesquisa/complementar e disclaimers; avaliar SaMD antes de comercializar; revisão jurídica/NIT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Vazamento/uso indevido de dados sensíveis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LGPD / ético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Alto / Baixa-média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Cripto; RBAC; MFA; minimização; pseudonimização; auditoria; RIPD; dados em região BR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Overclaim de “IA”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Credibilidade científica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Médio / Média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Descrever como recomendador por regras; documentar limitações; desempenho do algoritmo como exploratório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Piora de sintomas / sofrimento agudo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Segurança / ético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Alto / Baixa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Critérios de exclusão; captura de EA; disclaimer; sinalização de recursos de crise; plano de encaminhamento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Dependência de tecnologia instável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Sustentabilidade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Médio / Baixa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Stacks maduras (Flutter, FastAPI, PostgreSQL); evitar libs experimentais em caminhos críticos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PI insuficientemente resguardada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Estratégico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Médio / Média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Registro de autoria e decisões (ADR); higiene de licenças; definir postura de PI com o NIT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0B2447"/>
        </w:rPr>
        <w:t xml:space="preserve">12. Preparação para expansão e propriedade intelectual</w:t>
      </w:r>
    </w:p>
    <w:p>
      <w:pPr>
        <w:spacing w:after="120" w:line="276"/>
      </w:pPr>
      <w:r>
        <w:t xml:space="preserve">A modularidade cria “costuras” de expansão sem retrabalho: o módulo de Sessões/Telemetria pode receber dados de wearables (via Health Connect no Android e HealthKit no iOS) por uma interface de aquisição; a conteinerização permite migrar para nuvem com escala horizontal quando houver carga; e novas modalidades de neuromodulação não invasiva entram como novos tipos de “protocolo” sob a mesma abstração do módulo de Áudio. Uma eventual camada educativa de LLM/RAG, se adotada no futuro, seria isolada, ancorada em fontes curadas, com recusa fora de escopo e avaliação obrigatória (faithfulness, segurança) — nunca opinando livremente sobre saúde.</w:t>
      </w:r>
    </w:p>
    <w:p>
      <w:pPr>
        <w:spacing w:after="120" w:line="276"/>
      </w:pPr>
      <w:r>
        <w:t xml:space="preserve">Quanto à propriedade intelectual, boas práticas de engenharia preservam opções futuras: manter registro fiel de autoria e contribuições (histórico de versionamento com autores reais; ADRs datados); higiene de licenças das dependências, com inventário (SBOM) e preferência por licenças permissivas quando se pretende manter partes proprietárias; e postura de segredo para a lógica sensível de protocolos. No Brasil, o código pode ser registrado como programa de computador junto ao INPI; proteção por patente é restrita a invenções técnicas genuinamente novas e deve ser avaliada com atenção ao fato de que a divulgação pública (publicação científica) pode afetar a patenteabilidade — daí a importância de coordenar o momento com o NIT. Estas são considerações de engenharia; a estratégia formal de PI deve ser definida com o NIT da instituição e assessoria jurídica especializada.</w:t>
      </w:r>
    </w:p>
    <w:p>
      <w:pPr>
        <w:pStyle w:val="Heading1"/>
        <w:spacing w:after="120" w:before="260"/>
      </w:pPr>
      <w:r>
        <w:rPr>
          <w:b/>
          <w:bCs/>
          <w:color w:val="0B2447"/>
        </w:rPr>
        <w:t xml:space="preserve">13. Registro de decisões arquiteturais (ADR)</w:t>
      </w:r>
    </w:p>
    <w:p>
      <w:pPr>
        <w:spacing w:after="120" w:line="276"/>
      </w:pPr>
      <w:r>
        <w:t xml:space="preserve">Decisões técnicas registradas para rastreabilidade — parte da disciplina de documentar todas as escolhas.</w:t>
      </w:r>
    </w:p>
    <w:tbl>
      <w:tblPr>
        <w:tblW w:type="dxa" w:w="9026"/>
        <w:tblBorders>
          <w:top w:val="single" w:color="C7D3DE" w:sz="2"/>
          <w:left w:val="single" w:color="C7D3DE" w:sz="2"/>
          <w:bottom w:val="single" w:color="C7D3DE" w:sz="2"/>
          <w:right w:val="single" w:color="C7D3DE" w:sz="2"/>
          <w:insideH w:val="single" w:color="C7D3DE" w:sz="1"/>
          <w:insideV w:val="single" w:color="C7D3DE" w:sz="1"/>
        </w:tblBorders>
      </w:tblPr>
      <w:tblGrid>
        <w:gridCol w:w="1000"/>
        <w:gridCol w:w="3200"/>
        <w:gridCol w:w="4826"/>
      </w:tblGrid>
      <w:tr>
        <w:trPr>
          <w:tblHeader/>
        </w:trPr>
        <w:tc>
          <w:tcPr>
            <w:tcW w:type="dxa" w:w="1000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Decisão</w:t>
            </w:r>
          </w:p>
        </w:tc>
        <w:tc>
          <w:tcPr>
            <w:tcW w:type="dxa" w:w="4826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Justificativa (resumo)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ADR-001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Monólito modular em vez de microserviços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Simplicidade e velocidade no piloto; distribuir só com necessidade real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ADR-002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Flutter/Dart no cliente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Código único multiplataforma; áudio de baixo nível para o player-instrumento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ADR-003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Python/FastAPI no backend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Validação pydantic, OpenAPI automático, ecossistema científico (FFT)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ADR-004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PostgreSQL + SQLAlchemy/Alembic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Integridade no banco; migrações versionadas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ADR-005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Cliente offline-first com sincronização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Sessões domiciliares; robustez a conectividade; completude de dados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ADR-006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Recomendador por regras (não ML)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N/duração não permitem validar ML; regras transparentes; instrumentação para ML futuro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ADR-007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Sham ativo + alocação oculta no app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Preservar cegamento em desfechos subjetivos; medir integridade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ADR-008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GAD-7 (autorrelato) no lugar da HAM-A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HAM-A é hetero-aplicada por clínico; GAD-7 é autoaplicável, validado e escalável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ADR-009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Síntese determinística + validação por FFT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Reprodutibilidade e validade do estímulo; registro do protocolo entregue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ADR-010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Conhecimento clínico separado do mecanismo; humano no loop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Segurança e honestidade científica; sem overclaim; limitações documentadas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ADR-011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Camada LLM/RAG educativa deferida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Introduz ônus de avaliação/segurança e confunde o estudo; fora do MVP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2447"/>
        </w:rPr>
        <w:t xml:space="preserve">14. Fundamentação das recomendações clínicas</w:t>
      </w:r>
    </w:p>
    <w:p>
      <w:pPr>
        <w:spacing w:after="120" w:line="276"/>
      </w:pPr>
      <w:r>
        <w:t xml:space="preserve">Coerente com o princípio de que toda recomendação clínica deve basear-se em literatura reconhecida, o recomendador do MVP opera apenas dentro das faixas experimentais previstas no protocolo (alfa, teta, delta), associadas a relaxamento, repouso e preparação para o sono, e sempre com posicionamento complementar (não substitui cuidado profissional).</w:t>
      </w:r>
    </w:p>
    <w:p>
      <w:pPr>
        <w:spacing w:after="120" w:line="276"/>
      </w:pPr>
      <w:r>
        <w:t xml:space="preserve">A evidência das frequências binaurais é limitada, heterogênea e de qualidade metodológica variável, o que exige cautela na nomenclatura e nas alegações. A síntese atual mais robusta refere-se à ansiedade aguda/situacional em contextos procedurais: meta-análises recentes descrevem redução significativa da ansiedade perioperatória frente a áudio-controle, porém com heterogeneidade muito alta entre estudos (XIONG et al., 2025; BASEANU et al., 2024). Efeitos sobre insônia crônica e ansiedade-traço em uso domiciliar por semanas — o cenário deste projeto — permanecem preliminares; a extrapolação do contexto agudo para o crônico é, hoje, hipótese, não achado estabelecido. O mecanismo de arrastamento cortical é contestado (INGENDOH; POSNY; HEINE, 2023, já constante do referencial do projeto), e parte dos efeitos pode dever-se a relaxamento, atenção e expectativa — o que reforça a necessidade do sham ativo e do cegamento. Recomenda-se, ainda, incorporar ao referencial uma revisão sistemática recente específica de adultos jovens (Acta Neuropsychiatrica, 2026) e acompanhar um ensaio duplo-cego controlado por placebo em insônia em andamento (registro NCT06604208), cujos detalhes bibliográficos completos devem ser confirmados nas fontes primárias.</w:t>
      </w:r>
    </w:p>
    <w:p>
      <w:pPr>
        <w:pStyle w:val="Heading1"/>
        <w:spacing w:after="120" w:before="260"/>
      </w:pPr>
      <w:r>
        <w:rPr>
          <w:b/>
          <w:bCs/>
          <w:color w:val="0B2447"/>
        </w:rPr>
        <w:t xml:space="preserve">15. Próximos passos — Etapa 2</w:t>
      </w:r>
    </w:p>
    <w:p>
      <w:pPr>
        <w:spacing w:after="120" w:line="276"/>
      </w:pPr>
      <w:r>
        <w:t xml:space="preserve">Mediante aprovação desta Etapa 1, a Etapa 2 especificará o player como instrumento científico: modelo de síntese do áudio binaural (portadora, batimento, envelope), desenho e calibração do sham ativo, teto e calibração de volume (proteção auditiva), verificação de fones, bateria de testes de sinal (FFT) e o protocolo de randomização/ocultação de alocação e cegamento implementado no app. Cada etapa será entregue como documento e aguardará aprovação antes de prosseguir.</w:t>
      </w:r>
    </w:p>
    <w:p>
      <w:pPr>
        <w:pStyle w:val="Heading1"/>
        <w:spacing w:after="120" w:before="260"/>
      </w:pPr>
      <w:r>
        <w:rPr>
          <w:b/>
          <w:bCs/>
          <w:color w:val="0B2447"/>
        </w:rPr>
        <w:t xml:space="preserve">Referências</w:t>
      </w:r>
    </w:p>
    <w:p>
      <w:pPr>
        <w:spacing w:after="120" w:line="276"/>
      </w:pPr>
      <w:r>
        <w:rPr>
          <w:i/>
          <w:iCs/>
          <w:color w:val="4A6072"/>
          <w:sz w:val="18"/>
          <w:szCs w:val="18"/>
        </w:rPr>
        <w:t xml:space="preserve">Referências verificadas que complementam o referencial teórico do projeto (padrão ABNT NBR 6023). Demais fontes citadas em texto já constam do referencial do projeto; entradas cujos dados bibliográficos não puderam ser integralmente confirmados são indicadas como tais e devem ser conferidas nas fontes primárias.</w:t>
      </w:r>
    </w:p>
    <w:p>
      <w:pPr>
        <w:spacing w:after="120" w:line="264"/>
        <w:ind w:left="360" w:hanging="360"/>
      </w:pPr>
      <w:r>
        <w:rPr>
          <w:sz w:val="20"/>
          <w:szCs w:val="20"/>
        </w:rPr>
        <w:t xml:space="preserve">BASEANU, I. C. C. </w:t>
      </w:r>
      <w:r>
        <w:rPr>
          <w:i/>
          <w:iCs/>
          <w:sz w:val="20"/>
          <w:szCs w:val="20"/>
        </w:rPr>
        <w:t xml:space="preserve">et al.</w:t>
      </w:r>
      <w:r>
        <w:rPr>
          <w:sz w:val="20"/>
          <w:szCs w:val="20"/>
        </w:rPr>
        <w:t xml:space="preserve"> The Efficiency of Binaural Beats on Anxiety and Depression: a systematic review. </w:t>
      </w:r>
      <w:r>
        <w:rPr>
          <w:i/>
          <w:iCs/>
          <w:sz w:val="20"/>
          <w:szCs w:val="20"/>
        </w:rPr>
        <w:t xml:space="preserve">Applied Sciences</w:t>
      </w:r>
      <w:r>
        <w:rPr>
          <w:sz w:val="20"/>
          <w:szCs w:val="20"/>
        </w:rPr>
        <w:t xml:space="preserve">, v. 14, n. 13, art. 5675, 2024. DOI: 10.3390/app14135675.</w:t>
      </w:r>
    </w:p>
    <w:p>
      <w:pPr>
        <w:spacing w:after="120" w:line="264"/>
        <w:ind w:left="360" w:hanging="360"/>
      </w:pPr>
      <w:r>
        <w:rPr>
          <w:sz w:val="20"/>
          <w:szCs w:val="20"/>
        </w:rPr>
        <w:t xml:space="preserve">INGENDOH, R. M.; POSNY, E. S.; HEINE, A. Binaural beats to entrain the brain? A systematic review of the effects of binaural beat stimulation on brain oscillatory activity. </w:t>
      </w:r>
      <w:r>
        <w:rPr>
          <w:i/>
          <w:iCs/>
          <w:sz w:val="20"/>
          <w:szCs w:val="20"/>
        </w:rPr>
        <w:t xml:space="preserve">PLOS ONE</w:t>
      </w:r>
      <w:r>
        <w:rPr>
          <w:sz w:val="20"/>
          <w:szCs w:val="20"/>
        </w:rPr>
        <w:t xml:space="preserve">, 2023. (Referência já constante do referencial do projeto; conferir volume/número/DOI na fonte primária.)</w:t>
      </w:r>
    </w:p>
    <w:p>
      <w:pPr>
        <w:spacing w:after="120" w:line="264"/>
        <w:ind w:left="360" w:hanging="360"/>
      </w:pPr>
      <w:r>
        <w:rPr>
          <w:sz w:val="20"/>
          <w:szCs w:val="20"/>
        </w:rPr>
        <w:t xml:space="preserve">XIONG, J. </w:t>
      </w:r>
      <w:r>
        <w:rPr>
          <w:i/>
          <w:iCs/>
          <w:sz w:val="20"/>
          <w:szCs w:val="20"/>
        </w:rPr>
        <w:t xml:space="preserve">et al.</w:t>
      </w:r>
      <w:r>
        <w:rPr>
          <w:sz w:val="20"/>
          <w:szCs w:val="20"/>
        </w:rPr>
        <w:t xml:space="preserve"> Binaural beats for perioperative anxiety and pain: a systematic review and meta-analysis. </w:t>
      </w:r>
      <w:r>
        <w:rPr>
          <w:i/>
          <w:iCs/>
          <w:sz w:val="20"/>
          <w:szCs w:val="20"/>
        </w:rPr>
        <w:t xml:space="preserve">Complementary Therapies in Medicine</w:t>
      </w:r>
      <w:r>
        <w:rPr>
          <w:sz w:val="20"/>
          <w:szCs w:val="20"/>
        </w:rPr>
        <w:t xml:space="preserve">, v. 95, art. 103299, 2025. DOI: 10.1016/j.ctim.2025.103299.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6072"/>
        <w:sz w:val="16"/>
        <w:szCs w:val="16"/>
      </w:rPr>
      <w:t xml:space="preserve">Página </w:t>
    </w:r>
    <w:r>
      <w:rPr>
        <w:color w:val="4A60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A6072"/>
        <w:sz w:val="16"/>
        <w:szCs w:val="16"/>
      </w:rPr>
      <w:t xml:space="preserve"> de </w:t>
    </w:r>
    <w:r>
      <w:rPr>
        <w:color w:val="4A60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6072"/>
        <w:sz w:val="16"/>
        <w:szCs w:val="16"/>
      </w:rPr>
      <w:t xml:space="preserve">Neuromodulação Não Invasiva — Arquitetura · Etapa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b/>
      <w:bCs/>
      <w:color w:val="0B244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b/>
      <w:bCs/>
      <w:color w:val="19536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5bd208e489f9b6a57bf9379361b278fc6a270d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2026-07-02T02:33:33.464Z</dcterms:created>
  <dcterms:modified xsi:type="dcterms:W3CDTF">2026-07-02T02:33:33.478Z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