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447"/>
          <w:sz w:val="40"/>
          <w:szCs w:val="40"/>
        </w:rPr>
        <w:t xml:space="preserve">Plataforma Digital de Neuromodulação Não Invasiva</w:t>
      </w:r>
    </w:p>
    <w:p>
      <w:pPr>
        <w:spacing w:after="200"/>
      </w:pPr>
      <w:r>
        <w:rPr>
          <w:b/>
          <w:bCs/>
          <w:color w:val="19536B"/>
          <w:sz w:val="30"/>
          <w:szCs w:val="30"/>
        </w:rPr>
        <w:t xml:space="preserve">Documentação de Arquitetura — ETAPA 2</w:t>
      </w:r>
    </w:p>
    <w:p>
      <w:pPr>
        <w:spacing w:after="40"/>
      </w:pPr>
      <w:r>
        <w:rPr>
          <w:i/>
          <w:iCs/>
          <w:color w:val="4A6072"/>
          <w:sz w:val="20"/>
          <w:szCs w:val="20"/>
        </w:rPr>
        <w:t xml:space="preserve">O player como instrumento científico: síntese binaural, sham ativo, validação por FFT, fidelidade, randomização e cegamento no app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2600"/>
        <w:gridCol w:w="6426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2 de 7 — especificação e implementação de referência do estímulo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1 (arquitetura, requisitos, modelo de dados). Resolve o ponto aberto nº 1 da Etapa 1 (síntese no cliente × pré-renderizada)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Artefatos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Este documento + módulo de referência binaural_instrument.py (síntese + validação executáveis) + figura de validação por FFT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Stack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Síntese/validação em Python (numpy/scipy); reprodução em Flutter/Dart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Documento / Versão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2 — v1.0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9026"/>
      </w:tblGrid>
      <w:tr>
        <w:tc>
          <w:tcPr>
            <w:tcW w:type="dxa" w:w="9026"/>
            <w:shd w:fill="E7F0FF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0B2447"/>
              </w:rPr>
              <w:t xml:space="preserve">Aviso de escopo e uso</w:t>
            </w:r>
          </w:p>
          <w:p>
            <w:pPr>
              <w:spacing w:after="0" w:line="268"/>
            </w:pPr>
            <w:r>
              <w:t xml:space="preserve">Ferramenta complementar de bem-estar e pesquisa; não substitui avaliação, diagnóstico ou tratamento profissional. Frequências binaurais são intervenção experimental, com evidência limitada e heterogênea. As decisões de segurança auditiva e as menções regulatórias (SaMD/ANVISA) são orientação de engenharia, não aconselhamento clínico ou jurídico.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0B2447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1. Objetivo desta etapa</w:t>
      </w:r>
    </w:p>
    <w:p>
      <w:pPr>
        <w:spacing w:after="120" w:line="276"/>
      </w:pPr>
      <w:r>
        <w:t xml:space="preserve">A Etapa 1 estabeleceu que o player é o instrumento de medida do estudo. Esta etapa especifica esse instrumento e entrega uma implementação de referência já executada e validada, para que a especificação venha acompanhada de prova de funcionamento. Cobre: o modelo do estímulo binaural e do sham ativo; a definição de protocolo versionada; os requisitos de fidelidade; a bateria de validação por FFT; o contrato de reprodução no cliente; e o desenho de randomização, ocultação de alocação e cegamento no aplicativo.</w:t>
      </w:r>
    </w:p>
    <w:p>
      <w:pPr>
        <w:spacing w:after="120" w:line="276"/>
      </w:pPr>
      <w:r>
        <w:rPr>
          <w:b/>
          <w:bCs/>
        </w:rPr>
        <w:t xml:space="preserve">Esta etapa resolve o ponto aberto nº 1 levantado ao fim da Etapa 1. </w:t>
      </w:r>
      <w:r>
        <w:t xml:space="preserve">Recomenda-se síntese determinística offline (no backend/CI), validada por FFT e empacotada como biblioteca de áudio sem perdas, reproduzida bit-a-bit pelo cliente — e não síntese em tempo real no aparelho. A justificativa está na seção 3.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2. Princípio: o estímulo é um instrumento de medida</w:t>
      </w:r>
    </w:p>
    <w:p>
      <w:pPr>
        <w:spacing w:after="120" w:line="276"/>
      </w:pPr>
      <w:r>
        <w:t xml:space="preserve">A validade interna do ensaio depende de o estímulo ser exatamente o que o protocolo afirma ser, de forma idêntica entre participantes, sessões e aparelhos. Consequência de engenharia: a geração é determinística, reprodutível, versionada e testável; e o que é entregue em cada sessão é registrado (protocolo, versão e hash). Um tocador de música comum não serve — ele reamostra, aplica realces e pode rebaixar para mono, tudo o que compromete um batimento binaural.</w:t>
      </w:r>
    </w:p>
    <w:p>
      <w:pPr>
        <w:spacing w:after="120" w:line="276"/>
      </w:pPr>
      <w:r>
        <w:rPr>
          <w:b/>
          <w:bCs/>
        </w:rPr>
        <w:t xml:space="preserve">O que é medido — e o que não é. </w:t>
      </w:r>
      <w:r>
        <w:t xml:space="preserve">O batimento binaural não é uma frequência física presente em nenhum canal: ele surge centralmente quando cada ouvido recebe uma frequência ligeiramente diferente. Por isso a validação confere a pureza espectral de cada canal e a atribuição L/R correta, e não um “pico de batimento” inexistente no sinal acústico. Isso também distingue o batimento binaural do batimento monoaural (em que as duas frequências são somadas nos dois canais e o batimento existe fisicamente): o estudo usa o binaural, que exige estéreo real com fones.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3. Decisão central: síntese offline validada × síntese em tempo real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2100"/>
        <w:gridCol w:w="3826"/>
        <w:gridCol w:w="3100"/>
      </w:tblGrid>
      <w:tr>
        <w:trPr>
          <w:tblHeader/>
        </w:trPr>
        <w:tc>
          <w:tcPr>
            <w:tcW w:type="dxa" w:w="21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82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Síntese OFFLINE validada (recomendada)</w:t>
            </w:r>
          </w:p>
        </w:tc>
        <w:tc>
          <w:tcPr>
            <w:tcW w:type="dxa" w:w="31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Síntese em TEMPO REAL no aparelho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Reprodutibilidade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Sinal digital idêntico em todos os aparelhos e sessões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Varia por SO, motor de áudio e versão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Validação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Valida-se uma biblioteca pequena uma vez (FFT em CI)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Exigiria validar a saída em cada combinação de aparelho/SO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Fidelidade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Alta e auditável (WAV/FLAC sem perdas + hash)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Sujeita a reamostragem/DSP do dispositivo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Flexibilidade paramétrica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Suficiente — o espaço de protocolos é pequeno e fixo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Alta, porém desnecessária no piloto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Operação offline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 (arquivos empacotados ou baixados)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Escolhida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Reservada para quando ampla personalização paramétrica for validada</w:t>
            </w:r>
          </w:p>
        </w:tc>
      </w:tr>
    </w:tbl>
    <w:p>
      <w:pPr>
        <w:spacing w:after="120" w:line="276"/>
      </w:pPr>
      <w:r>
        <w:rPr>
          <w:i/>
          <w:iCs/>
          <w:color w:val="4A6072"/>
          <w:sz w:val="19"/>
          <w:szCs w:val="19"/>
        </w:rPr>
        <w:t xml:space="preserve">A geração determinística vive na pipeline de build (Python), não no aparelho. O recomendador (Etapa 6) apenas seleciona dentro dessa biblioteca validada — o que também simplifica a validação e a rastreabilidade.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4. Modelo do estímulo binaural</w:t>
      </w:r>
    </w:p>
    <w:p>
      <w:pPr>
        <w:spacing w:after="120" w:line="276"/>
      </w:pPr>
      <w:r>
        <w:rPr>
          <w:b/>
          <w:bCs/>
        </w:rPr>
        <w:t xml:space="preserve">Definição. </w:t>
      </w:r>
      <w:r>
        <w:t xml:space="preserve">Canal esquerdo = seno(f_portadora); canal direito = seno(f_portadora + Δf). A diferença interaural Δf é o batimento-alvo, associado por banda: alfa (relaxamento), teta (sonolência/meditação) e delta (sono profundo). Mantém-se a portadora constante entre protocolos (ex.: 200 Hz) e varia-se apenas Δf, o que reduz uma fonte de variação e maximiza o casamento com o sham.</w:t>
      </w:r>
    </w:p>
    <w:p>
      <w:pPr>
        <w:spacing w:after="120" w:line="276"/>
      </w:pPr>
      <w:r>
        <w:t xml:space="preserve">Envelope com fade-in/out (rampa raised-cosine) evita cliques nas bordas. Nível de pico limitado (ex.: −12 dBFS) por segurança auditiva e consistência. Formato sem perdas obrigatório.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5. Definição de protocolo (schema versionado)</w:t>
      </w:r>
    </w:p>
    <w:p>
      <w:pPr>
        <w:spacing w:after="120" w:line="276"/>
      </w:pPr>
      <w:r>
        <w:t xml:space="preserve">Cada protocolo é uma configuração imutável e versionada; qualquer alteração gera nova versão e novo hash de conteúdo, que entra no registro de cada sessão.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2100"/>
        <w:gridCol w:w="1500"/>
        <w:gridCol w:w="5426"/>
      </w:tblGrid>
      <w:tr>
        <w:trPr>
          <w:tblHeader/>
        </w:trPr>
        <w:tc>
          <w:tcPr>
            <w:tcW w:type="dxa" w:w="21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42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protocol_id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Identificador (ex.: “alpha-10”)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texto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Versão semântica (ex.: “1.0.0”)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band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enum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alpha | theta | delta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carrier_hz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número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Frequência portadora (ex.: 200,0)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beat_hz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número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Δf-alvo do braço ativo (ex.: 10,0)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duration_s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número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Duração total (inclui fades)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fade_s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número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Rampa de entrada/saída (evita cliques)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target_peak_dbfs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número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Teto/alvo de pico (segurança + consistência)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sample_rate / bit_depth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inteiro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Taxa (44,1 kHz) e profundidade (PCM sem perdas)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content_hash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derivado</w:t>
            </w:r>
          </w:p>
        </w:tc>
        <w:tc>
          <w:tcPr>
            <w:tcW w:type="dxa" w:w="5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Hash SHA-256 do conteúdo (identifica o arquivo)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2447"/>
        </w:rPr>
        <w:t xml:space="preserve">6. Sham (placebo ativo)</w:t>
      </w:r>
    </w:p>
    <w:p>
      <w:pPr>
        <w:spacing w:after="120" w:line="276"/>
      </w:pPr>
      <w:r>
        <w:rPr>
          <w:b/>
          <w:bCs/>
        </w:rPr>
        <w:t xml:space="preserve">Desenho recomendado: Δf = 0. </w:t>
      </w:r>
      <w:r>
        <w:t xml:space="preserve">O sham reproduz a mesma portadora nos dois ouvidos (L = R = f_portadora), idêntico ao ativo em amplitude, envelope, duração e eventual leito sonoro; difere apenas pela ausência da diferença interaural terapêutica. Assim, a única variável entre os braços é a presença do batimento binaural — o que é a base do cegamento em desfechos subjetivos.</w:t>
      </w:r>
    </w:p>
    <w:p>
      <w:pPr>
        <w:spacing w:after="120" w:line="276"/>
      </w:pPr>
      <w:r>
        <w:t xml:space="preserve">Alternativas de controle consideradas (ruído rosa, música, silêncio) casam pior com o ativo e facilitam a quebra do cegamento; por isso a portadora casada com Δf = 0 é preferida. Opcionalmente, um leito de ruído rosa de baixo nível, diótico (idêntico em L e R), pode ser somado a ambos os braços para conforto/tolerabilidade sem introduzir pistas interaurais. Se adotado, deve ser validado para não criar diferença interaural nem mascarar o estímulo.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7. Requisitos de fidelidade da reprodução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2500"/>
        <w:gridCol w:w="3100"/>
        <w:gridCol w:w="3426"/>
      </w:tblGrid>
      <w:tr>
        <w:trPr>
          <w:tblHeader/>
        </w:trPr>
        <w:tc>
          <w:tcPr>
            <w:tcW w:type="dxa" w:w="25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1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Especificação</w:t>
            </w:r>
          </w:p>
        </w:tc>
        <w:tc>
          <w:tcPr>
            <w:tcW w:type="dxa" w:w="342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Formato sem perdas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WAV ou FLAC (PCM); proibir MP3/AAC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Codecs com perdas introduzem artefatos e desvios de fase que afetam o batimento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Sem reamostragem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Reproduzir na taxa nativa (44,1 kHz)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Reamostrar altera o sinal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Sem DSP/“melhorias”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Desativar equalização, espacialização, normalização, realce de graves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Alteram amplitude, fase e a diferença interaural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Integridade de canais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Garantir L→L e R→R (teste de fones)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Troca de canais inverte o estímulo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Sem downmix mono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Impedir reprodução mono / em alto-falante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 batimento binaural exige estéreo real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Fones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Fio recomendado; se Bluetooth, avisar e registrar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Codecs Bluetooth são com perdas e assimétricos em latência/fase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Nível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Pico ≤ −12 dBFS + calibração no 1º uso</w:t>
            </w:r>
          </w:p>
        </w:tc>
        <w:tc>
          <w:tcPr>
            <w:tcW w:type="dxa" w:w="3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 auditiva e consistência entre sessões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8. Bateria de validação por FFT</w:t>
      </w:r>
    </w:p>
    <w:p>
      <w:pPr>
        <w:spacing w:after="120" w:line="276"/>
      </w:pPr>
      <w:r>
        <w:t xml:space="preserve">Cada arquivo da biblioteca é validado automaticamente (em CI) antes de ser publicado. A bateria confere: (1) a frequência de pico de cada canal é a esperada; (2) a atribuição L/R está correta (guarda contra troca de canais); (3) a pureza espectral (energia fora do fundamental abaixo do piso, confirmando senoide limpa sem harmônicos/aliasing); (4) o Δf interaural medido bate com o protocolo (ou 0 no sham); (5) o pico respeita o teto de segurança; (6) os fades não produzem cliques. A figura abaixo mostra a validação do protocolo alpha-10 nos dois braços.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6072"/>
          <w:sz w:val="18"/>
          <w:szCs w:val="18"/>
        </w:rPr>
        <w:t xml:space="preserve">Figura 1 — Validação por FFT do estímulo de referência (protocolo alpha-10). No braço ativo, L e R têm picos exatos em 200 e 210 Hz (Δf = 10 Hz); no sham, ambos em 200 Hz (Δf = 0). Executado pelo módulo de referência.</w:t>
      </w:r>
    </w:p>
    <w:p>
      <w:pPr>
        <w:spacing w:after="120" w:line="276"/>
      </w:pPr>
      <w:r>
        <w:t xml:space="preserve">Resultados executados (biblioteca de exemplo, três bandas, braço ativo):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1700"/>
        <w:gridCol w:w="2100"/>
        <w:gridCol w:w="1700"/>
        <w:gridCol w:w="1500"/>
        <w:gridCol w:w="2026"/>
      </w:tblGrid>
      <w:tr>
        <w:trPr>
          <w:tblHeader/>
        </w:trPr>
        <w:tc>
          <w:tcPr>
            <w:tcW w:type="dxa" w:w="17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Protocolo</w:t>
            </w:r>
          </w:p>
        </w:tc>
        <w:tc>
          <w:tcPr>
            <w:tcW w:type="dxa" w:w="21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 / R (Hz)</w:t>
            </w:r>
          </w:p>
        </w:tc>
        <w:tc>
          <w:tcPr>
            <w:tcW w:type="dxa" w:w="17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Pureza espectral</w:t>
            </w:r>
          </w:p>
        </w:tc>
        <w:tc>
          <w:tcPr>
            <w:tcW w:type="dxa" w:w="15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Δf medido</w:t>
            </w:r>
          </w:p>
        </w:tc>
        <w:tc>
          <w:tcPr>
            <w:tcW w:type="dxa" w:w="202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alpha-10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200,000 / 210,000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−124,5 dB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10,000 Hz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theta-6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200,000 / 206,000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−124,5 dB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6,000 Hz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Aprovado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delta-2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200,000 / 202,000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−124,5 dB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2,000 Hz</w:t>
            </w:r>
          </w:p>
        </w:tc>
        <w:tc>
          <w:tcPr>
            <w:tcW w:type="dxa" w:w="2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Aprovado</w:t>
            </w:r>
          </w:p>
        </w:tc>
      </w:tr>
    </w:tbl>
    <w:p>
      <w:pPr>
        <w:spacing w:after="120" w:line="276"/>
      </w:pPr>
      <w:r>
        <w:rPr>
          <w:i/>
          <w:iCs/>
          <w:color w:val="4A6072"/>
          <w:sz w:val="19"/>
          <w:szCs w:val="19"/>
        </w:rPr>
        <w:t xml:space="preserve">Os shams correspondentes resultam em L = R = 200 Hz (Δf = 0), com a mesma pureza e nível — aprovados. O pico de todos ficou em −12,00 dBFS.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9. Reprodução no cliente (Flutter/Dart)</w:t>
      </w:r>
    </w:p>
    <w:p>
      <w:pPr>
        <w:spacing w:after="120" w:line="276"/>
      </w:pPr>
      <w:r>
        <w:t xml:space="preserve">O cliente não sintetiza nem processa o sinal: apenas reproduz o arquivo validado, sem alterá-lo, e registra a sessão. As responsabilidades são: verificar fones estéreo (teste L/R) e alertar sobre Bluetooth; reproduzir sem reamostragem/DSP/downmix; aplicar o teto de volume e os fades; e registrar protocolo, versão e hash. Esboço ilustrativo do contrato de reprodução: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// Contrato de reprodução (ilustrativo) — Flutter/Dart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// O cliente NÃO sintetiza nem processa: só toca o arquivo validado.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final player = AudioPlayer();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await verifyStereoHeadphones();          // teste L/R; alerta se Bluetooth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// 'handle' é opaco: identifica o arquivo, nunca o braço (ativo/sham)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final asset = manifest[handle];          // caminho + hash esperado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await player.setSource(AssetSource(asset.path));  // WAV/FLAC empacotado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await player.setReleaseMode(ReleaseMode.stop);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player.setVolume(min(userVolume, kMaxSafeGain));  // teto de segurança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// desativar realces/normalização da plataforma quando disponível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final session = Session.start(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protocolHandle: handle,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protocolHash: asset.hash,            // rastreabilidade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deviceInfo: device, headphonesOk: true);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await applyFadeIn(kFadeSeconds);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player.onPlayerComplete.listen((_) =&gt; session.finish());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10. Randomização, ocultação de alocação e cegamento</w:t>
      </w:r>
    </w:p>
    <w:p>
      <w:pPr>
        <w:spacing w:after="120" w:line="276"/>
      </w:pPr>
      <w:r>
        <w:t xml:space="preserve">O pipeline completo — da geração validada à reprodução cega — está resumido na figura a seguir.</w:t>
      </w:r>
    </w:p>
    <w:p>
      <w:pPr>
        <w:spacing w:after="40" w:before="60"/>
        <w:jc w:val="center"/>
      </w:pPr>
      <w:r>
        <w:drawing>
          <wp:inline distT="0" distB="0" distL="0" distR="0">
            <wp:extent cx="59817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4A6072"/>
          <w:sz w:val="18"/>
          <w:szCs w:val="18"/>
        </w:rPr>
        <w:t xml:space="preserve">Figura 2 — Pipeline do instrumento e do cegamento. Em laranja, os pontos críticos à validade.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10.1 Geração da sequência</w:t>
      </w:r>
    </w:p>
    <w:p>
      <w:pPr>
        <w:spacing w:after="120" w:line="276"/>
      </w:pPr>
      <w:r>
        <w:t xml:space="preserve">Randomização por blocos permutados com tamanhos de bloco aleatórios (ex.: 2 e 4), alocação 1:1, gerada no servidor por um gerador criptográfico semeado. Dado o N≈40, recomenda-se não estratificar (ou, no máximo, um único fator binário se fortemente justificado), para evitar células pequenas. A lista e a semente ficam cifradas e com acesso auditado.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10.2 Ocultação de alocação (concealment)</w:t>
      </w:r>
    </w:p>
    <w:p>
      <w:pPr>
        <w:spacing w:after="120" w:line="276"/>
      </w:pPr>
      <w:r>
        <w:t xml:space="preserve">O cliente recebe apenas um handle opaco de protocolo — um identificador neutro que aponta para o arquivo a tocar, sem revelar o braço. </w:t>
      </w:r>
      <w:r>
        <w:t xml:space="preserve">O mapa handle → braço (ativo/sham) vive somente no servidor, com acesso controlado e auditado. Assim, nem a inspeção do tráfego nem do armazenamento do aparelho revela a alocação.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10.3 Cegamento de participante, avaliação e análise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Participante: interface idêntica nos dois braços; estímulo apresentado do mesmo modo; nunca é informado o braço.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Avaliação: os desfechos são autorreferidos no app (PSQI, GAD-7, SUS, pós-sessão), o que remove o avaliador humano como fonte de quebra.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Análise: a exportação usa rótulos de braço codificados (ex.: Grupo A/B); a chave de desbloqueio é mantida à parte até o fechamento (data lock), mantendo o analista cego.</w:t>
      </w:r>
    </w:p>
    <w:p>
      <w:pPr>
        <w:pStyle w:val="Heading2"/>
        <w:spacing w:after="100" w:before="180"/>
      </w:pPr>
      <w:r>
        <w:rPr>
          <w:b/>
          <w:bCs/>
          <w:color w:val="19536B"/>
        </w:rPr>
        <w:t xml:space="preserve">10.4 Desbloqueio controlado e integridade do cegamento</w:t>
      </w:r>
    </w:p>
    <w:p>
      <w:pPr>
        <w:spacing w:after="120" w:line="276"/>
      </w:pPr>
      <w:r>
        <w:t xml:space="preserve">Existe um procedimento de desbloqueio controlado (quem pode desbloquear, sob quais condições, com registro). Ao final, coleta-se o braço que o participante acredita ter recebido e calcula-se um índice de cegamento (James e/ou Bang), avaliando empiricamente se o cegamento se manteve.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11. Segurança auditiva e contraindicações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Volume: teto de ganho no app e calibração no primeiro uso (“ajuste para um nível baixo e confortável”); o app não controla o SPL absoluto (depende de aparelho e fones), por isso combina limite de ganho com orientação.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Exposição: sessões de ~20 min, 5×/semana, conforme o protocolo; fades para evitar sobressalto.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Contraindicações: epilepsia/crises não controladas já constam dos critérios de exclusão; embora batimentos binaurais não estejam estabelecidos como desencadeantes de crises, mantém-se a cautela e o disclaimer.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Sinalização de segurança: captura de eventos adversos e recursos de crise (ex.: CVV 188), conforme a Etapa 1.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12. Testabilidade e integração contínua</w:t>
      </w:r>
    </w:p>
    <w:p>
      <w:pPr>
        <w:spacing w:after="120" w:line="276"/>
      </w:pPr>
      <w:r>
        <w:t xml:space="preserve">A bateria de FFT roda em CI e bloqueia a publicação de qualquer arquivo fora de especificação. Cada versão da biblioteca é submetida à mesma bateria (teste de regressão): mudanças em portadora, Δf, envelope ou nível reprovam se divergirem do protocolo. O módulo de referência (binaural_instrument.py) é a base desses testes e é entregue com este documento.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13. Registro de decisões arquiteturais (ADR) — incremento da Etapa 2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4626"/>
            <w:shd w:fill="0B244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(resumo)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ADR-012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Síntese offline validada + reprodução bit-a-bit (não em tempo real)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Reprodutibilidade e validade; valida-se uma biblioteca pequena via FFT/CI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ADR-013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Áudio sem perdas (WAV/FLAC); proibir codecs com perdas e DSP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Preserva pureza espectral e diferença interaural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ADR-014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Sham = placebo ativo com Δf = 0, casado em portadora/nível/envelope/duração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Cegamento máximo; só a diferença interaural difere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ADR-015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Ocultação por handle opaco (mapa handle→braço só no servidor)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Impede quebra de cegamento por inspeção do cliente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ADR-016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Fones com fio recomendados; Bluetooth avisado e registrado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Evita perdas e assimetria de codecs Bluetooth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ADR-017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Teto de volume + calibração no 1º uso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 auditiva e consistência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14. Fundamentação</w:t>
      </w:r>
    </w:p>
    <w:p>
      <w:pPr>
        <w:spacing w:after="120" w:line="276"/>
      </w:pPr>
      <w:r>
        <w:t xml:space="preserve">As escolhas de desenho seguem a postura de evidência da Etapa 1: intervenção experimental e complementar, com evidência limitada e heterogênea (XIONG et al., 2025; BASEANU et al., 2024) e mecanismo de arrastamento contestado (INGENDOH; POSNY; HEINE, 2023) — o que reforça a necessidade de sham ativo e cegamento rigorosos, exatamente o foco desta etapa. A distinção entre batimento binaural (uma frequência por canal; percepção central; exige estéreo) e monoaural (batimento físico) orienta os requisitos de fidelidade. Recomenda-se ainda incorporar ao referencial a revisão sistemática de adultos jovens (Acta Neuropsychiatrica, 2026), pertinente à amostra do estudo, com dados a confirmar na fonte primária.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15. Próximos passos — Etapa 3</w:t>
      </w:r>
    </w:p>
    <w:p>
      <w:pPr>
        <w:spacing w:after="120" w:line="276"/>
      </w:pPr>
      <w:r>
        <w:t xml:space="preserve">Mediante aprovação, a Etapa 3 tratará da experiência do usuário e identidade visual: fluxo de telas (onboarding, TCLE, triagem, avaliações, sessão, pós-sessão, diário, seguimento), garantindo interface idêntica entre braços (requisito de cegamento), baixa fricção (adesão) e acessibilidade. Entregue como documento Word + markdown, no mesmo padrão.</w:t>
      </w:r>
    </w:p>
    <w:p>
      <w:pPr>
        <w:pStyle w:val="Heading1"/>
        <w:spacing w:after="120" w:before="260"/>
      </w:pPr>
      <w:r>
        <w:rPr>
          <w:b/>
          <w:bCs/>
          <w:color w:val="0B2447"/>
        </w:rPr>
        <w:t xml:space="preserve">Apêndice A — Núcleo do módulo de referência</w:t>
      </w:r>
    </w:p>
    <w:p>
      <w:pPr>
        <w:spacing w:after="120" w:line="276"/>
      </w:pPr>
      <w:r>
        <w:t xml:space="preserve">Trechos centrais de binaural_instrument.py (módulo completo entregue à parte). Síntese determinística: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def synthesize(protocol, sham=False):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fs = protocol.sample_rate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n = int(round(protocol.duration_s * fs))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t = np.arange(n) / fs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amp = 10.0 ** (protocol.target_peak_dbfs / 20.0)   # pico linear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fL, fR = protocol.expected_channels_hz(sham)        # sham -&gt; Δf 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left  = amp * np.sin(2*np.pi * fL * 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right = amp * np.sin(2*np.pi * fR * 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env = raised_cosine_envelope(n, int(protocol.fade_s*fs))  # anti-clique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return np.stack([left*env, right*env], axis=1)</w:t>
            </w:r>
          </w:p>
        </w:tc>
      </w:tr>
    </w:tbl>
    <w:p>
      <w:pPr>
        <w:spacing w:after="120" w:line="276"/>
      </w:pPr>
      <w:r>
        <w:t xml:space="preserve">Núcleo da validação por FFT (por canal):</w:t>
      </w:r>
    </w:p>
    <w:tbl>
      <w:tblPr>
        <w:tblW w:type="dxa" w:w="9026"/>
        <w:tblBorders>
          <w:top w:val="single" w:color="C7D3DE" w:sz="2"/>
          <w:left w:val="single" w:color="C7D3DE" w:sz="2"/>
          <w:bottom w:val="single" w:color="C7D3DE" w:sz="2"/>
          <w:right w:val="single" w:color="C7D3DE" w:sz="2"/>
          <w:insideH w:val="single" w:color="C7D3DE" w:sz="1"/>
          <w:insideV w:val="single" w:color="C7D3DE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freqs, mag = channel_spectrum(signal[:, ch], fs)   # janela Hann, seg. central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k = int(np.argmax(mag)); f_peak = freqs[k]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assert abs(f_peak - expected) &lt;= 0.3               # frequência correta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guard = 3; fund = mag[k-guard : k+guard+1]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spur_db = 20*log10( sqrt((sum(mag**2)-sum(fund**2)) / sum(fund**2))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assert spur_db &lt;= -60                              # pureza espectral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assert abs((peakR - peakL) - expected_delta) &lt;= 0.6  # Δf interaural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2447"/>
        </w:rPr>
        <w:t xml:space="preserve">Referências</w:t>
      </w:r>
    </w:p>
    <w:p>
      <w:pPr>
        <w:spacing w:after="120" w:line="276"/>
      </w:pPr>
      <w:r>
        <w:rPr>
          <w:i/>
          <w:iCs/>
          <w:color w:val="4A6072"/>
          <w:sz w:val="18"/>
          <w:szCs w:val="18"/>
        </w:rPr>
        <w:t xml:space="preserve">Padrão ABNT NBR 6023; complementam o referencial do projeto. Entradas com dados a confirmar são sinalizadas.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BASEANU, I. C. C.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The Efficiency of Binaural Beats on Anxiety and Depression: a systematic review. </w:t>
      </w:r>
      <w:r>
        <w:rPr>
          <w:i/>
          <w:iCs/>
          <w:sz w:val="20"/>
          <w:szCs w:val="20"/>
        </w:rPr>
        <w:t xml:space="preserve">Applied Sciences</w:t>
      </w:r>
      <w:r>
        <w:rPr>
          <w:sz w:val="20"/>
          <w:szCs w:val="20"/>
        </w:rPr>
        <w:t xml:space="preserve">, v. 14, n. 13, art. 5675, 2024. DOI: 10.3390/app14135675.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INGENDOH, R. M.; POSNY, E. S.; HEINE, A. Binaural beats to entrain the brain? A systematic review of the effects of binaural beat stimulation on brain oscillatory activity. </w:t>
      </w:r>
      <w:r>
        <w:rPr>
          <w:i/>
          <w:iCs/>
          <w:sz w:val="20"/>
          <w:szCs w:val="20"/>
        </w:rPr>
        <w:t xml:space="preserve">PLOS ONE</w:t>
      </w:r>
      <w:r>
        <w:rPr>
          <w:sz w:val="20"/>
          <w:szCs w:val="20"/>
        </w:rPr>
        <w:t xml:space="preserve">, 2023. (Já constante do referencial do projeto; conferir volume/número/DOI na fonte primária.)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XIONG, J.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Binaural beats for perioperative anxiety and pain: a systematic review and meta-analysis. </w:t>
      </w:r>
      <w:r>
        <w:rPr>
          <w:i/>
          <w:iCs/>
          <w:sz w:val="20"/>
          <w:szCs w:val="20"/>
        </w:rPr>
        <w:t xml:space="preserve">Complementary Therapies in Medicine</w:t>
      </w:r>
      <w:r>
        <w:rPr>
          <w:sz w:val="20"/>
          <w:szCs w:val="20"/>
        </w:rPr>
        <w:t xml:space="preserve">, v. 95, art. 103299, 2025. DOI: 10.1016/j.ctim.2025.103299.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6072"/>
        <w:sz w:val="16"/>
        <w:szCs w:val="16"/>
      </w:rPr>
      <w:t xml:space="preserve">Página </w:t>
    </w:r>
    <w:r>
      <w:rPr>
        <w:color w:val="4A60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6072"/>
        <w:sz w:val="16"/>
        <w:szCs w:val="16"/>
      </w:rPr>
      <w:t xml:space="preserve"> de </w:t>
    </w:r>
    <w:r>
      <w:rPr>
        <w:color w:val="4A60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6072"/>
        <w:sz w:val="16"/>
        <w:szCs w:val="16"/>
      </w:rPr>
      <w:t xml:space="preserve">Neuromodulação Não Invasiva — O player como instrumento · Etapa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0B24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953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faea010b01bfdfb1f9cc937daa483c6dede293.png"/><Relationship Id="rId10" Type="http://schemas.openxmlformats.org/officeDocument/2006/relationships/image" Target="media/184ab677c4a264b2e79ab932a52b91e93424998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2026-07-02T12:55:05.903Z</dcterms:created>
  <dcterms:modified xsi:type="dcterms:W3CDTF">2026-07-02T12:55:05.914Z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