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01A2B"/>
          <w:sz w:val="40"/>
          <w:szCs w:val="40"/>
        </w:rPr>
        <w:t xml:space="preserve">Sereno — Plataforma de Neuromodulação Não Invasiva</w:t>
      </w:r>
    </w:p>
    <w:p>
      <w:pPr>
        <w:spacing w:after="200"/>
      </w:pPr>
      <w:r>
        <w:rPr>
          <w:b/>
          <w:bCs/>
          <w:color w:val="1B4B5A"/>
          <w:sz w:val="30"/>
          <w:szCs w:val="30"/>
        </w:rPr>
        <w:t xml:space="preserve">Documentação de Design — ETAPA 3</w:t>
      </w:r>
    </w:p>
    <w:p>
      <w:pPr>
        <w:spacing w:after="40"/>
      </w:pPr>
      <w:r>
        <w:rPr>
          <w:i/>
          <w:iCs/>
          <w:color w:val="5A6B78"/>
          <w:sz w:val="20"/>
          <w:szCs w:val="20"/>
        </w:rPr>
        <w:t xml:space="preserve">Experiência do usuário, fluxo de telas e identidade visual (“Sereno” é nome provisório)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600"/>
        <w:gridCol w:w="6426"/>
      </w:tblGrid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3 de 7 — UX/UI e identidade visual do MVP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Etapas 1 (arquitetura) e 2 (o player como instrumento — cegamento)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Artefatos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Este documento + diagrama de fluxo + folha de mockups das telas principais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Documento / Versão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3 — v1.0</w:t>
            </w:r>
          </w:p>
        </w:tc>
      </w:tr>
    </w:tbl>
    <w:p>
      <w:pPr>
        <w:spacing w:after="160" w:before="160"/>
      </w:pP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E3F1F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01A2B"/>
              </w:rPr>
              <w:t xml:space="preserve">Aviso de escopo e uso</w:t>
            </w:r>
          </w:p>
          <w:p>
            <w:pPr>
              <w:spacing w:after="0" w:line="268"/>
            </w:pPr>
            <w:r>
              <w:t xml:space="preserve">Ferramenta complementar de bem-estar e pesquisa; não substitui avaliação, diagnóstico ou tratamento profissional. O aviso é apresentado de forma persistente na interface. Frequências binaurais são intervenção experimental, com evidência limitada e heterogênea.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b/>
          <w:bCs/>
          <w:color w:val="101A2B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1. Objetivo desta etapa</w:t>
      </w:r>
    </w:p>
    <w:p>
      <w:pPr>
        <w:spacing w:after="120" w:line="276"/>
      </w:pPr>
      <w:r>
        <w:t xml:space="preserve">As Etapas 1 e 2 definiram a arquitetura e o instrumento. Esta etapa define como o app se parece e se comporta: identidade visual, princípios de experiência, fluxo de telas e especificação das telas principais. Duas restrições guiam tudo: (a) a interface da sessão deve ser idêntica entre os braços, por exigência de cegamento; e (b) a experiência deve ter baixa fricção, porque a adesão é um desfecho primário de viabilidade.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2. Direção de design (identidade)</w:t>
      </w:r>
    </w:p>
    <w:p>
      <w:pPr>
        <w:spacing w:after="120" w:line="276"/>
      </w:pPr>
      <w:r>
        <w:t xml:space="preserve">Optou-se por uma identidade “noturna e calma”, deliberadamente distante do visual de apps de “biohacking” (promessas, néon, gamificação intensa). O produto é uma ferramenta de pesquisa e bem-estar usada à noite: precisa transmitir calma, confiança e honestidade científica.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2.1 Elemento de assinatura</w:t>
      </w:r>
    </w:p>
    <w:p>
      <w:pPr>
        <w:spacing w:after="120" w:line="276"/>
      </w:pPr>
      <w:r>
        <w:rPr>
          <w:b/>
          <w:bCs/>
        </w:rPr>
        <w:t xml:space="preserve">A onda de interferência. </w:t>
      </w:r>
      <w:r>
        <w:t xml:space="preserve">O batimento binaural é, fisicamente, a interferência de duas senoides próximas. Essa onda — que cresce e diminui suavemente — é a marca do produto: aparece no onboarding, como grafismo da identidade, e como visualização ambiente na tela de sessão, com movimento lento (ritmo de respiração) que favorece o relaxamento. É o único elemento “ousado”; todo o resto é contido.</w:t>
      </w:r>
    </w:p>
    <w:p>
      <w:pPr>
        <w:spacing w:after="120" w:line="276"/>
      </w:pPr>
      <w:r>
        <w:rPr>
          <w:b/>
          <w:bCs/>
        </w:rPr>
        <w:t xml:space="preserve">Decisão crítica de método: a onda é fixa, NÃO reativa ao áudio. </w:t>
      </w:r>
      <w:r>
        <w:t xml:space="preserve">Um visualizador que reagisse ao som poderia diferir entre o braço ativo e o sham (que têm conteúdo espectral distinto) e quebrar o cegamento. Por isso a animação é uma “respiração” pré-definida, idêntica nos dois braços.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2.2 Paleta</w:t>
      </w:r>
    </w:p>
    <w:p>
      <w:pPr>
        <w:spacing w:after="120" w:line="276"/>
      </w:pPr>
      <w:r>
        <w:t xml:space="preserve">Tons frios para calma; o único tom quente é reservado a avisos e eventos adversos (nunca à ambientação), o que também ajuda a chamar atenção quando importa.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0"/>
        <w:gridCol w:w="2100"/>
        <w:gridCol w:w="1700"/>
        <w:gridCol w:w="4326"/>
      </w:tblGrid>
      <w:tr>
        <w:trPr>
          <w:tblHeader/>
        </w:trPr>
        <w:tc>
          <w:tcPr>
            <w:tcW w:type="dxa" w:w="9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7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3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9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  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Night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#101A2B</w:t>
            </w:r>
          </w:p>
        </w:tc>
        <w:tc>
          <w:tcPr>
            <w:tcW w:type="dxa" w:w="4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Fundo imersivo da sessão; tema escuro</w:t>
            </w:r>
          </w:p>
        </w:tc>
      </w:tr>
      <w:tr>
        <w:tc>
          <w:tcPr>
            <w:tcW w:type="dxa" w:w="900"/>
            <w:shd w:fill="1B4B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  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Petrol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#1B4B5A</w:t>
            </w:r>
          </w:p>
        </w:tc>
        <w:tc>
          <w:tcPr>
            <w:tcW w:type="dxa" w:w="4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Superfícies escuras e realces</w:t>
            </w:r>
          </w:p>
        </w:tc>
      </w:tr>
      <w:tr>
        <w:tc>
          <w:tcPr>
            <w:tcW w:type="dxa" w:w="900"/>
            <w:shd w:fill="12839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  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Teal primário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#128394</w:t>
            </w:r>
          </w:p>
        </w:tc>
        <w:tc>
          <w:tcPr>
            <w:tcW w:type="dxa" w:w="4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Ações e marca no tema claro (1 CTA por tela)</w:t>
            </w:r>
          </w:p>
        </w:tc>
      </w:tr>
      <w:tr>
        <w:tc>
          <w:tcPr>
            <w:tcW w:type="dxa" w:w="900"/>
            <w:shd w:fill="5CC7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  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Teal claro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#5CC7D6</w:t>
            </w:r>
          </w:p>
        </w:tc>
        <w:tc>
          <w:tcPr>
            <w:tcW w:type="dxa" w:w="4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Onda e destaques sobre fundo escuro</w:t>
            </w:r>
          </w:p>
        </w:tc>
      </w:tr>
      <w:tr>
        <w:tc>
          <w:tcPr>
            <w:tcW w:type="dxa" w:w="900"/>
            <w:shd w:fill="F3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  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Paper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#F3F6F8</w:t>
            </w:r>
          </w:p>
        </w:tc>
        <w:tc>
          <w:tcPr>
            <w:tcW w:type="dxa" w:w="4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Fundo das telas diurnas (calmo, não clínico)</w:t>
            </w:r>
          </w:p>
        </w:tc>
      </w:tr>
      <w:tr>
        <w:tc>
          <w:tcPr>
            <w:tcW w:type="dxa" w:w="900"/>
            <w:shd w:fill="1A26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  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Ink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#1A2632</w:t>
            </w:r>
          </w:p>
        </w:tc>
        <w:tc>
          <w:tcPr>
            <w:tcW w:type="dxa" w:w="4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Texto principal</w:t>
            </w:r>
          </w:p>
        </w:tc>
      </w:tr>
      <w:tr>
        <w:tc>
          <w:tcPr>
            <w:tcW w:type="dxa" w:w="900"/>
            <w:shd w:fill="5A6B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  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Muted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#5A6B78</w:t>
            </w:r>
          </w:p>
        </w:tc>
        <w:tc>
          <w:tcPr>
            <w:tcW w:type="dxa" w:w="4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Texto secundário</w:t>
            </w:r>
          </w:p>
        </w:tc>
      </w:tr>
      <w:tr>
        <w:tc>
          <w:tcPr>
            <w:tcW w:type="dxa" w:w="900"/>
            <w:shd w:fill="E4772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  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Alerta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#E4772E</w:t>
            </w:r>
          </w:p>
        </w:tc>
        <w:tc>
          <w:tcPr>
            <w:tcW w:type="dxa" w:w="4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Reservado a avisos e eventos adversos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1B4B5A"/>
        </w:rPr>
        <w:t xml:space="preserve">2.3 Tipografia</w:t>
      </w:r>
    </w:p>
    <w:p>
      <w:pPr>
        <w:spacing w:after="120" w:line="276"/>
      </w:pPr>
      <w:r>
        <w:t xml:space="preserve">Três papéis com intenção: uma serifada com personalidade (usada com moderação), um corpo neutro e altamente legível, e uma monoespaçada para dados — que reforça o conceito de “instrumento” e melhora a leitura de números (cronômetro, frequências, escores).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22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46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Display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Fraunces (serifada)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Títulos de tela e marca, com moderação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Corpo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Inter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Textos, botões, formulários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Dados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IBM Plex Mono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Cronômetro, frequências (Hz), escores</w:t>
            </w:r>
          </w:p>
        </w:tc>
      </w:tr>
    </w:tbl>
    <w:p>
      <w:pPr>
        <w:spacing w:after="120" w:line="276"/>
      </w:pPr>
      <w:r>
        <w:rPr>
          <w:color w:val="5A6B78"/>
          <w:sz w:val="19"/>
          <w:szCs w:val="19"/>
        </w:rPr>
        <w:t xml:space="preserve">Escala de tipos (aproximada): título 22–28, subtítulo 18, corpo 15–16, legenda 12–13, cronômetro 48. Nada abaixo de 12 px.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2.4 Layout, espaçamento e componentes</w:t>
      </w:r>
    </w:p>
    <w:p>
      <w:pPr>
        <w:spacing w:after="120" w:line="276"/>
      </w:pPr>
      <w:r>
        <w:t xml:space="preserve">Coluna única, muito espaço, um único CTA por tela. Grade base de 8 px; cantos arredondados (cartões 16, botões 14, chips 12); alvos de toque ≥ 48 px. Componentes: botão primário (Teal), botão secundário (contorno), cartão, campo/checkbox, escala Likert, slider com teto de segurança, cronômetro mono, onda ambiente (assinatura), chip de aviso e barra de navegação inferior de 4 seções.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3. Princípios de UX ligados ao estudo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Cegamento na interface. </w:t>
      </w:r>
      <w:r>
        <w:t xml:space="preserve">Uma única tela de sessão para os dois braços; visualização não reativa; nenhuma pista textual/visual do grupo. O app apenas toca o arquivo indicado por um identificador neutro.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Baixa fricção (adesão). </w:t>
      </w:r>
      <w:r>
        <w:t xml:space="preserve">Caminho mínimo até a sessão (Início → Preparação → Sessão); lembretes gentis; progresso visível e idêntico nos dois braços; sessões curtas.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Uso noturno. </w:t>
      </w:r>
      <w:r>
        <w:t xml:space="preserve">Tema escuro e de baixa estimulação na sessão, para conforto à noite (escolha de usabilidade, não alegação clínica).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Acessibilidade. </w:t>
      </w:r>
      <w:r>
        <w:t xml:space="preserve">WCAG AA, tipografia dinâmica, foco visível, leitor de tela, movimento reduzido e linguagem simples — coerente com a futura inclusão de populações vulneráveis.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Honestidade. </w:t>
      </w:r>
      <w:r>
        <w:t xml:space="preserve">Aviso de ferramenta complementar sempre acessível; sem linguagem que prometa cura ou “reprogramação cerebral”.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4. Fluxo de telas e arquitetura de informação</w:t>
      </w:r>
    </w:p>
    <w:p>
      <w:pPr>
        <w:spacing w:after="120" w:line="276"/>
      </w:pPr>
      <w:r>
        <w:t xml:space="preserve">O fluxo tem três fases (entrada única, ciclo de intervenção repetido, saída única) e recursos transversais sempre disponíveis. A randomização ocorre no servidor, de forma oculta, entre a linha de base e o início das sessões.</w:t>
      </w:r>
    </w:p>
    <w:p>
      <w:pPr>
        <w:spacing w:after="40" w:before="60"/>
        <w:jc w:val="center"/>
      </w:pPr>
      <w:r>
        <w:drawing>
          <wp:inline distT="0" distB="0" distL="0" distR="0">
            <wp:extent cx="57531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B78"/>
          <w:sz w:val="18"/>
          <w:szCs w:val="18"/>
        </w:rPr>
        <w:t xml:space="preserve">Figura 1 — Fluxo de telas e arquitetura de informação.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5. Telas principais (mockups)</w:t>
      </w:r>
    </w:p>
    <w:p>
      <w:pPr>
        <w:spacing w:after="120" w:line="276"/>
      </w:pPr>
      <w:r>
        <w:t xml:space="preserve">Mockups de média fidelidade das seis telas centrais do fluxo. As fontes finais (Fraunces/Inter/IBM Plex Mono) e o refinamento de microinterações serão aplicados na implementação; aqui o objetivo é fixar hierarquia, identidade e conteúdo.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683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B78"/>
          <w:sz w:val="18"/>
          <w:szCs w:val="18"/>
        </w:rPr>
        <w:t xml:space="preserve">Figura 2 — Telas principais: onboarding, consentimento, início, preparação (fones + volume), sessão (idêntica nos dois braços) e pós-sessão.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6. Especificação por tela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1700"/>
        <w:gridCol w:w="2500"/>
        <w:gridCol w:w="2400"/>
        <w:gridCol w:w="2426"/>
      </w:tblGrid>
      <w:tr>
        <w:trPr>
          <w:tblHeader/>
        </w:trPr>
        <w:tc>
          <w:tcPr>
            <w:tcW w:type="dxa" w:w="17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25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4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Elementos-chave</w:t>
            </w:r>
          </w:p>
        </w:tc>
        <w:tc>
          <w:tcPr>
            <w:tcW w:type="dxa" w:w="24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Dado capturado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Onboarding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Apresentar o app e o aviso de escopo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Marca, onda, headline, chip de aviso, “Começar”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Consentimento (TCLE)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Consentir de forma informada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Resumo simples, checkboxes, revogável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Aceite, versão, data/hora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Triagem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Verificar elegibilidade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Perguntas de inclusão/exclusão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Elegibilidade, critérios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Linha de base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Medir antes da intervenção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PSQI e GAD-7 (Likert), progresso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Itens e escores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Início (home)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Levar à sessão do dia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CTA “Iniciar sessão”, progresso, atalhos, nav inferior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Telemetria de uso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Preparação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Garantir fones e volume seguro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Teste L/R, aviso Bluetooth, slider com teto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Verificação de fones, volume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Sessão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Executar a sessão (idêntica p/ os braços)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Cronômetro mono, onda ambiente fixa, pausa/encerrar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Início/fim, duração, interrupções, protocolo+hash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Pós-sessão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Autorrelato imediato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6 itens (escalas), “Enviar”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Sentimento, relaxamento, etc.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Diário de sono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Registro diário breve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Latência, despertares, duração, qualidade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Entradas do diário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Meu progresso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Reforçar adesão (sem viés de braço)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Sessões concluídas, semana atual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Relato de evento adverso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Registrar sintomas/segurança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Tipo, gravidade, conduta; recursos de crise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Evento adverso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Seguimento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Medir após a intervenção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PSQI, GAD-7, SUS, item de cegamento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Itens, escores, braço adivinhado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Perfil / Config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Conta, notificações, acesso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Lembretes, segurança, aviso de escopo</w:t>
            </w:r>
          </w:p>
        </w:tc>
        <w:tc>
          <w:tcPr>
            <w:tcW w:type="dxa" w:w="2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Preferências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7. Tom de voz (copy)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Voz ativa: o botão diz o que acontece — “Iniciar sessão”, “Enviar”, “Concordar e continuar” (não “Submeter”).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O nome da ação se mantém no fluxo: “Enviar” gera confirmação “Enviado”.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Erros orientam, não se desculpam: “Não detectamos fones estéreo. Conecte os fones e toque em Testar novamente” (não “Erro 403”).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Tela vazia convida à ação: “Nenhuma sessão ainda. Toque em Iniciar para começar.”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Sentence case, linguagem simples, sem jargão de sistema; nunca prometer cura ou resultados garantidos.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8. Acessibilidade (checklist)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Contraste WCAG AA (texto ≥ 4,5:1), verificado nos temas claro e escuro.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Tipografia dinâmica (respeita o tamanho do sistema); nada abaixo de 12 px.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Alvos de toque ≥ 48 px; foco visível; rótulos para leitor de tela.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Movimento reduzido respeitado — a onda ambiente pausa.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Não depender apenas de cor para transmitir informação.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Linguagem simples e direta, adequada a diferentes níveis de letramento.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9. Registro de decisões (ADR) — incremento da Etapa 3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46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 (resumo)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ADR-018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Identidade “noturna e calma”; acento quente só para avisos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Evita hype; favorece uso noturno e confiança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ADR-019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Tela de sessão em tema escuro e minimalista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Conforto noturno e baixa estimulação (usabilidade)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ADR-020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Visualização ambiente NÃO reativa ao áudio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Um visualizador reativo revelaria diferença entre braços — quebraria o cegamento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Tipografia monoespaçada para dados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Reforça o conceito de instrumento; legibilidade numérica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ADR-022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Navegação inferior (4 seções) e um único CTA por tela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Baixa fricção — favorece adesão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Nome “Sereno” provisório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Validar disponibilidade/marca (INPI) antes de fixar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10. Fundamentação das escolhas</w:t>
      </w:r>
    </w:p>
    <w:p>
      <w:pPr>
        <w:spacing w:after="120" w:line="276"/>
      </w:pPr>
      <w:r>
        <w:t xml:space="preserve">Diferenciando o tipo de justificativa: a acessibilidade segue um padrão reconhecido (WCAG AA); a interface idêntica entre braços e a visualização não reativa são requisitos metodológicos (preservam o cegamento definido na Etapa 2); o tema escuro noturno e a baixa fricção são heurísticas de usabilidade, não alegações clínicas. A postura de evidência das frequências binaurais permanece a das etapas anteriores — intervenção experimental e complementar, com evidência limitada e heterogênea (XIONG et al., 2025; BASEANU et al., 2024; INGENDOH; POSNY; HEINE, 2023).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11. Próximos passos — Etapa 4</w:t>
      </w:r>
    </w:p>
    <w:p>
      <w:pPr>
        <w:spacing w:after="120" w:line="276"/>
      </w:pPr>
      <w:r>
        <w:t xml:space="preserve">Mediante aprovação, a Etapa 4 especificará os instrumentos digitais e a captura de métricas: PSQI, GAD-7 e SUS digitalizados e pontuados automaticamente (com versionamento), o diário de sono, a telemetria de adesão e a exportação pseudonimizada — ligando cada elemento ao mapeamento requisito↔desfecho da Etapa 1. Entregue como documento Word + markdown.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Referências</w:t>
      </w:r>
    </w:p>
    <w:p>
      <w:pPr>
        <w:spacing w:after="120" w:line="276"/>
      </w:pPr>
      <w:r>
        <w:rPr>
          <w:i/>
          <w:iCs/>
          <w:color w:val="5A6B78"/>
          <w:sz w:val="18"/>
          <w:szCs w:val="18"/>
        </w:rPr>
        <w:t xml:space="preserve">Padrão ABNT NBR 6023; complementam o referencial do projeto.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BASEANU, I. C. C.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The Efficiency of Binaural Beats on Anxiety and Depression: a systematic review. </w:t>
      </w:r>
      <w:r>
        <w:rPr>
          <w:i/>
          <w:iCs/>
          <w:sz w:val="20"/>
          <w:szCs w:val="20"/>
        </w:rPr>
        <w:t xml:space="preserve">Applied Sciences</w:t>
      </w:r>
      <w:r>
        <w:rPr>
          <w:sz w:val="20"/>
          <w:szCs w:val="20"/>
        </w:rPr>
        <w:t xml:space="preserve">, v. 14, n. 13, art. 5675, 2024. DOI: 10.3390/app14135675.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INGENDOH, R. M.; POSNY, E. S.; HEINE, A. Binaural beats to entrain the brain? A systematic review of the effects of binaural beat stimulation on brain oscillatory activity. </w:t>
      </w:r>
      <w:r>
        <w:rPr>
          <w:i/>
          <w:iCs/>
          <w:sz w:val="20"/>
          <w:szCs w:val="20"/>
        </w:rPr>
        <w:t xml:space="preserve">PLOS ONE</w:t>
      </w:r>
      <w:r>
        <w:rPr>
          <w:sz w:val="20"/>
          <w:szCs w:val="20"/>
        </w:rPr>
        <w:t xml:space="preserve">, 2023. (Já constante do referencial do projeto.)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XIONG, J.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Binaural beats for perioperative anxiety and pain: a systematic review and meta-analysis. </w:t>
      </w:r>
      <w:r>
        <w:rPr>
          <w:i/>
          <w:iCs/>
          <w:sz w:val="20"/>
          <w:szCs w:val="20"/>
        </w:rPr>
        <w:t xml:space="preserve">Complementary Therapies in Medicine</w:t>
      </w:r>
      <w:r>
        <w:rPr>
          <w:sz w:val="20"/>
          <w:szCs w:val="20"/>
        </w:rPr>
        <w:t xml:space="preserve">, v. 95, art. 103299, 2025. DOI: 10.1016/j.ctim.2025.103299.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8"/>
        <w:sz w:val="16"/>
        <w:szCs w:val="16"/>
      </w:rPr>
      <w:t xml:space="preserve">Página </w:t>
    </w:r>
    <w:r>
      <w:rPr>
        <w:color w:val="5A6B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78"/>
        <w:sz w:val="16"/>
        <w:szCs w:val="16"/>
      </w:rPr>
      <w:t xml:space="preserve"> de </w:t>
    </w:r>
    <w:r>
      <w:rPr>
        <w:color w:val="5A6B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B78"/>
        <w:sz w:val="16"/>
        <w:szCs w:val="16"/>
      </w:rPr>
      <w:t xml:space="preserve">Sereno — UX e identidade visual · Etapa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101A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1B4B5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fbbe376c5c84461d5c60d6a41d648b209e0cf5.png"/><Relationship Id="rId10" Type="http://schemas.openxmlformats.org/officeDocument/2006/relationships/image" Target="media/9f66237ef1abd64460e78fe790ec7001cc2fbad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2026-07-02T18:00:06.118Z</dcterms:created>
  <dcterms:modified xsi:type="dcterms:W3CDTF">2026-07-02T18:00:06.135Z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