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1A2B"/>
          <w:sz w:val="40"/>
          <w:szCs w:val="40"/>
        </w:rPr>
        <w:t xml:space="preserve">Sereno — Plataforma de Neuromodulação Não Invasiva</w:t>
      </w:r>
    </w:p>
    <w:p>
      <w:pPr>
        <w:spacing w:after="200"/>
      </w:pPr>
      <w:r>
        <w:rPr>
          <w:b/>
          <w:bCs/>
          <w:color w:val="1B4B5A"/>
          <w:sz w:val="30"/>
          <w:szCs w:val="30"/>
        </w:rPr>
        <w:t xml:space="preserve">Documentação de Dados — ETAPA 4</w:t>
      </w:r>
    </w:p>
    <w:p>
      <w:pPr>
        <w:spacing w:after="40"/>
      </w:pPr>
      <w:r>
        <w:rPr>
          <w:i/>
          <w:iCs/>
          <w:color w:val="5A6B78"/>
          <w:sz w:val="20"/>
          <w:szCs w:val="20"/>
        </w:rPr>
        <w:t xml:space="preserve">Instrumentos digitais e captura de métricas: PSQI, GAD-7, SUS, diário, adesão e exportação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4 de 7 — instrumentos digitais e métricas do MVP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Etapas 1–3; conecta cada dado ao mapeamento requisito↔desfecho da Etapa 1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Artefatos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Este documento + módulo de referência instruments_scoring.py (pontuação + adesão + exportação, executados)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 / Versão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4 — v1.0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E3F1F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01A2B"/>
              </w:rPr>
              <w:t xml:space="preserve">Aviso de escopo e uso</w:t>
            </w:r>
          </w:p>
          <w:p>
            <w:pPr>
              <w:spacing w:after="0" w:line="268"/>
            </w:pPr>
            <w:r>
              <w:t xml:space="preserve">Ferramenta complementar de bem-estar e pesquisa; não substitui avaliação, diagnóstico ou tratamento profissional. Os escores e faixas seguem a literatura das fontes primárias e devem ser confirmados na versão validada utilizada. Frequências binaurais permanecem intervenção experimental.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101A2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1. Objetivo desta etapa</w:t>
      </w:r>
    </w:p>
    <w:p>
      <w:pPr>
        <w:spacing w:after="120" w:line="276"/>
      </w:pPr>
      <w:r>
        <w:t xml:space="preserve">Esta etapa especifica os instrumentos digitais do estudo e como cada métrica é capturada, pontuada, validada e exportada — sempre amarrada ao mapeamento requisito↔desfecho da Etapa 1. Acompanha uma implementação de referência já executada, com os escores conferidos contra valores calculados à mão.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2. Princípios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Instrumentos oficiais e validados em português brasileiro, devidamente licenciados; o app pontua vetores de resposta — não reproduz o enunciado protegido.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Pontuação automática e versionada; o servidor recalcula e persiste como fonte de verdade; escores imutáveis, carimbados com a versão do algoritmo.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Validação e completude verificadas no servidor; janelas temporais respeitadas (basal antes da 1ª sessão; seguimento ao fim das 4 semanas).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Pseudonimização e separação entre dado de pesquisa e operacional; rótulos de braço codificados na exportação.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Cada instrumento/dado tem um desfecho e uma métrica correspondentes (rastreabilidade científica).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3. Instrumentos digitais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3.1 GAD-7 — ansiedade</w:t>
      </w:r>
    </w:p>
    <w:p>
      <w:pPr>
        <w:spacing w:after="120" w:line="276"/>
      </w:pPr>
      <w:r>
        <w:t xml:space="preserve">Sete itens (0–3); total 0–21. Faixas: mínima (0–4), leve (5–9), moderada (10–14), grave (15–21); rastreio positivo em ≥10. Autoaplicável e amplamente validado (SPITZER et al., 2006). Aplicado na linha de base e no seguimento; desfecho secundário exploratório (variação do escore).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3.2 PSQI — qualidade do sono</w:t>
      </w:r>
    </w:p>
    <w:p>
      <w:pPr>
        <w:spacing w:after="120" w:line="276"/>
      </w:pPr>
      <w:r>
        <w:t xml:space="preserve">Dezenove itens autorrelatados que geram sete componentes (0–3 cada) — qualidade subjetiva, latência, duração, eficiência habitual, distúrbios, uso de medicação e disfunção diurna — somados em um escore global (0–21); global &gt;5 indica sono ruim (BUYSSE et al., 1989). Recomenda-se a versão validada em português brasileiro (BERTOLAZI et al., 2011). Aplicado na base e no seguimento; desfecho secundário (variação do escore).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3.3 SUS — usabilidade</w:t>
      </w:r>
    </w:p>
    <w:p>
      <w:pPr>
        <w:spacing w:after="120" w:line="276"/>
      </w:pPr>
      <w:r>
        <w:t xml:space="preserve">Dez itens (1–5) de polaridade alternada; escore 0–100 (não é porcentagem), com média de referência em torno de 68 e faixas interpretativas acima disso (BROOKE, 1996). Aplicado no seguimento; usabilidade é desfecho primário de viabilidade.</w:t>
      </w:r>
    </w:p>
    <w:p>
      <w:pPr>
        <w:pStyle w:val="Heading2"/>
        <w:spacing w:after="100" w:before="180"/>
      </w:pPr>
      <w:r>
        <w:rPr>
          <w:b/>
          <w:bCs/>
          <w:color w:val="1B4B5A"/>
        </w:rPr>
        <w:t xml:space="preserve">3.4 Diário de sono</w:t>
      </w:r>
    </w:p>
    <w:p>
      <w:pPr>
        <w:spacing w:after="120" w:line="276"/>
      </w:pPr>
      <w:r>
        <w:t xml:space="preserve">Registro diário breve (horário de deitar e levantar, latência, despertares, duração e qualidade percebidas), que complementa o PSQI com granularidade diária e permite observar tendências ao longo das quatro semanas.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BEEE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01A2B"/>
              </w:rPr>
              <w:t xml:space="preserve">Propriedade intelectual e licenciamento dos instrumentos</w:t>
            </w:r>
          </w:p>
          <w:p>
            <w:pPr>
              <w:spacing w:after="0" w:line="268"/>
            </w:pPr>
            <w:r>
              <w:t xml:space="preserve">Os questionários são obras de terceiros. O PSQI é protegido (Universidade de Pittsburgh) e exige licença/permissão; GAD-7 e SUS têm uso mais aberto, mas também devem ser empregados em suas versões oficiais e validadas. O aplicativo deve registrar a versão do instrumento e da tradução, e não reproduzir itens sem autorização. Esta é orientação de engenharia; a verificação de licenças cabe ao projeto e à instituição.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4. Pontuação automática e versionamento</w:t>
      </w:r>
    </w:p>
    <w:p>
      <w:pPr>
        <w:spacing w:after="120" w:line="276"/>
      </w:pPr>
      <w:r>
        <w:t xml:space="preserve">O cliente pode exibir uma prévia, mas o servidor recalcula e persiste o escore como fonte de verdade. Cada resultado é imutável e carimbado com a versão do algoritmo (scoring_version). Se a lógica for corrigida, gera-se nova versão e um reprocessamento rastreável — as análises anteriores permanecem reprodutíveis. O mesmo vale para a versão do instrumento/tradução utilizada.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5. Métricas de adesão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64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Sessões iniciadas / concluídas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Contagem a partir dos registros de sessão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Taxa de conclusão (%)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Concluídas ÷ iniciadas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Taxa de adesão (%)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Concluídas ÷ prescritas (5×/sem × 4 sem = 20)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Sessões por semana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Distribuição nas semanas 1–4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Tempo médio efetivo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Minutos médios por sessão concluída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6. Validação e qualidade de dados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Itens completos e dentro da faixa válida — respostas fora do intervalo são rejeitadas no servidor.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Janelas temporais: basal antes da primeira sessão; seguimento após as quatro semanas; datas registradas.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Detecção de duplicidade e verificação de completude por participante (flags de dado faltante).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Escores derivados apenas de conjuntos válidos; ausências tratadas explicitamente na análise.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7. Prova executada</w:t>
      </w:r>
    </w:p>
    <w:p>
      <w:pPr>
        <w:spacing w:after="120" w:line="276"/>
      </w:pPr>
      <w:r>
        <w:t xml:space="preserve">A pontuação foi executada sobre dados sintéticos com valores calculados à mão. Resultados: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500"/>
        <w:gridCol w:w="3100"/>
        <w:gridCol w:w="2400"/>
        <w:gridCol w:w="2026"/>
      </w:tblGrid>
      <w:tr>
        <w:trPr>
          <w:tblHeader/>
        </w:trPr>
        <w:tc>
          <w:tcPr>
            <w:tcW w:type="dxa" w:w="15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31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24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0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GAD-7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[2,3,1,2,0,1,3]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12 — moderada, rastreio +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[4,1,4,2,5,1,4,2,5,1]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87,5 — excelente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87,5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PSQI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exemplo sintético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global 6 — comp. [1,1,1,1,1,0,1], efic. 80%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Adesão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14/20 concluídas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70% adesão · 87,5% conclusão · 19,7 min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8. Exportação pseudonimizada</w:t>
      </w:r>
    </w:p>
    <w:p>
      <w:pPr>
        <w:spacing w:after="120" w:line="276"/>
      </w:pPr>
      <w:r>
        <w:t xml:space="preserve">Exportação em CSV para análise (Jamovi/JASP/R), sem PII, com rótulos de braço codificados e a chave real mantida à parte (analista cego até o fechamento). Além da tabela por participante (formato largo), há uma exportação por sessão (formato longo). A exportação inclui os logs de recomendação, que alimentam o desfecho exploratório de coerência do algoritmo.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 (participante)</w:t>
            </w:r>
          </w:p>
        </w:tc>
        <w:tc>
          <w:tcPr>
            <w:tcW w:type="dxa" w:w="60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codigo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Pseudônimo (ex.: P001) — nunca nome/e-mail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grupo_codificado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“Grupo A”/“Grupo B” — mapa real fora da exportação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gad7_basal / seguimento / delta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Escores GAD-7 e variação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psqi_basal / seguimento / delta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Escores PSQI e variação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sus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Escore de usabilidade (seguimento)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adesao_pct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Taxa de adesão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eventos_adversos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Contagem de eventos adversos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cegamento_adivinhado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Braço que o participante acredita ter recebido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versao_escore_*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Versão do algoritmo de cada instrumento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9. Amarração ao mapeamento requisito↔desfecho</w:t>
      </w:r>
    </w:p>
    <w:p>
      <w:pPr>
        <w:spacing w:after="40" w:before="60"/>
        <w:jc w:val="center"/>
      </w:pPr>
      <w:r>
        <w:drawing>
          <wp:inline distT="0" distB="0" distL="0" distR="0">
            <wp:extent cx="59055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8"/>
          <w:sz w:val="18"/>
          <w:szCs w:val="18"/>
        </w:rPr>
        <w:t xml:space="preserve">Figura 1 — Do dado ao resultado: coleta, pontuação versionada, validação, adesão, exportação e análise.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Instrumento / dado</w:t>
            </w:r>
          </w:p>
        </w:tc>
        <w:tc>
          <w:tcPr>
            <w:tcW w:type="dxa" w:w="24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Desfecho</w:t>
            </w:r>
          </w:p>
        </w:tc>
        <w:tc>
          <w:tcPr>
            <w:tcW w:type="dxa" w:w="44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Usabilidade (primário)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Escore SUS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Registros de sessão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Adesão (primário)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Sessões, % concluídas, exposição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Eventos adversos + pós-sessão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 (primário)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Incidência; abandono por EA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GAD-7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Ansiedade (secundário)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Variação do escore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PSQI + diário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Qualidade do sono (secundário)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Variação do escore; tendências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Pós-sessão + seguimento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Aceitabilidade/tolerabilidade (secundário)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Escalas agregadas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Logs de recomendação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Coerência do algoritmo (exploratório)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Aderência ao objetivo; aceitação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Item de cegamento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Integridade do cegamento (metodológico)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Índice James/Bang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10. Registro de decisões (ADR) — incremento da Etapa 4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46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(resumo)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Instrumentos oficiais/validados PT-BR e licenciados; app pontua vetores (não reproduz itens)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Conformidade, validade e respeito à PI de terceiros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Pontuação versionada e imutável; servidor = fonte de verdade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Reprodutibilidade das análises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ADR-026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Validação no servidor (faixa, completude, janela)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Qualidade dos dados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Exportação pseudonimizada com braço codificado; chave à parte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LGPD e cegamento do analista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ADR-028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Exportação inclui logs de recomendação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Habilita a análise de coerência (exploratório)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11. Fundamentação</w:t>
      </w:r>
    </w:p>
    <w:p>
      <w:pPr>
        <w:spacing w:after="120" w:line="276"/>
      </w:pPr>
      <w:r>
        <w:t xml:space="preserve">Os instrumentos seguem suas fontes primárias (BUYSSE et al., 1989; SPITZER et al., 2006; BROOKE, 1996) e, no caso do PSQI, a versão validada em português brasileiro (BERTOLAZI et al., 2011). A postura sobre frequências binaurais permanece a das etapas anteriores — intervenção experimental e complementar, com evidência limitada e heterogênea (XIONG et al., 2025). Os desfechos de ansiedade e sono são secundários e exploratórios; o primário é a viabilidade.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12. Próximos passos — Etapa 5</w:t>
      </w:r>
    </w:p>
    <w:p>
      <w:pPr>
        <w:spacing w:after="120" w:line="276"/>
      </w:pPr>
      <w:r>
        <w:t xml:space="preserve">Mediante aprovação, a Etapa 5 detalhará o backend e o banco de dados: modelagem física das entidades da Etapa 1, migrações, contrato da API (/v1, OpenAPI), autenticação/autorização (RBAC, MFA para pesquisa), criptografia, trilha de auditoria, processamento assíncrono e a operacionalização concreta da segurança e da LGPD. Entregue como documento Word + markdown.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Apêndice A — Núcleo do módulo de referência</w:t>
      </w:r>
    </w:p>
    <w:p>
      <w:pPr>
        <w:spacing w:after="120" w:line="276"/>
      </w:pPr>
      <w:r>
        <w:t xml:space="preserve">Trechos centrais de instruments_scoring.py (módulo completo entregue à parte).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def score_gad7(responses):            # 7 itens 0-3; total 0-21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total = sum(responses)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sev = ('mínima' if total&lt;=4 else 'leve' if total&lt;=9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   else 'moderada' if total&lt;=14 else 'grave')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return {'total': total, 'severity': sev, 'positive_screen': total&gt;=10}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def score_sus(responses):             # 10 itens 1-5; escore 0-100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s = sum((r-1) if (i+1)%2 else (5-r) for i,r in enumerate(responses))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return {'score': s*2.5}           # ímpares: r-1 | pares: 5-r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# PSQI: 7 componentes 0-3 -&gt; global 0-21 (&gt;5 = sono ruim)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c2 = recode(latency_recode + cannot_sleep_freq, [(0,0,0),(1,2,1),(3,4,2)])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c4 = 0 if eff&gt;=85 else 1 if eff&gt;=75 else 2 if eff&gt;=65 else 3   # eficiência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glob = c1+c2+c3+c4+c5+c6+c7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Referências</w:t>
      </w:r>
    </w:p>
    <w:p>
      <w:pPr>
        <w:spacing w:after="120" w:line="276"/>
      </w:pPr>
      <w:r>
        <w:rPr>
          <w:i/>
          <w:iCs/>
          <w:color w:val="5A6B78"/>
          <w:sz w:val="18"/>
          <w:szCs w:val="18"/>
        </w:rPr>
        <w:t xml:space="preserve">Padrão ABNT NBR 6023.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BERTOLAZI, A. N.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Validation of the Brazilian Portuguese version of the Pittsburgh Sleep Quality Index. </w:t>
      </w:r>
      <w:r>
        <w:rPr>
          <w:i/>
          <w:iCs/>
          <w:sz w:val="20"/>
          <w:szCs w:val="20"/>
        </w:rPr>
        <w:t xml:space="preserve">Sleep Medicine</w:t>
      </w:r>
      <w:r>
        <w:rPr>
          <w:sz w:val="20"/>
          <w:szCs w:val="20"/>
        </w:rPr>
        <w:t xml:space="preserve">, v. 12, n. 1, p. 70-75, 2011. DOI: 10.1016/j.sleep.2010.04.020.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BROOKE, J. SUS: a “quick and dirty” usability scale. In: JORDAN, P. W.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(ed.). </w:t>
      </w:r>
      <w:r>
        <w:rPr>
          <w:i/>
          <w:iCs/>
          <w:sz w:val="20"/>
          <w:szCs w:val="20"/>
        </w:rPr>
        <w:t xml:space="preserve">Usability Evaluation in Industry</w:t>
      </w:r>
      <w:r>
        <w:rPr>
          <w:sz w:val="20"/>
          <w:szCs w:val="20"/>
        </w:rPr>
        <w:t xml:space="preserve">. London: Taylor &amp; Francis, 1996. p. 189-194.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BUYSSE, D. J.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The Pittsburgh Sleep Quality Index: a new instrument for psychiatric practice and research. </w:t>
      </w:r>
      <w:r>
        <w:rPr>
          <w:i/>
          <w:iCs/>
          <w:sz w:val="20"/>
          <w:szCs w:val="20"/>
        </w:rPr>
        <w:t xml:space="preserve">Psychiatry Research</w:t>
      </w:r>
      <w:r>
        <w:rPr>
          <w:sz w:val="20"/>
          <w:szCs w:val="20"/>
        </w:rPr>
        <w:t xml:space="preserve">, v. 28, n. 2, p. 193-213, 1989. DOI: 10.1016/0165-1781(89)90047-4.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SPITZER, R. L.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A brief measure for assessing generalized anxiety disorder: the GAD-7. </w:t>
      </w:r>
      <w:r>
        <w:rPr>
          <w:i/>
          <w:iCs/>
          <w:sz w:val="20"/>
          <w:szCs w:val="20"/>
        </w:rPr>
        <w:t xml:space="preserve">Archives of Internal Medicine</w:t>
      </w:r>
      <w:r>
        <w:rPr>
          <w:sz w:val="20"/>
          <w:szCs w:val="20"/>
        </w:rPr>
        <w:t xml:space="preserve">, v. 166, n. 10, p. 1092-1097, 2006. DOI: 10.1001/archinte.166.10.1092.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XIONG, J.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Binaural beats for perioperative anxiety and pain: a systematic review and meta-analysis. </w:t>
      </w:r>
      <w:r>
        <w:rPr>
          <w:i/>
          <w:iCs/>
          <w:sz w:val="20"/>
          <w:szCs w:val="20"/>
        </w:rPr>
        <w:t xml:space="preserve">Complementary Therapies in Medicine</w:t>
      </w:r>
      <w:r>
        <w:rPr>
          <w:sz w:val="20"/>
          <w:szCs w:val="20"/>
        </w:rPr>
        <w:t xml:space="preserve">, v. 95, art. 103299, 2025. DOI: 10.1016/j.ctim.2025.103299.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8"/>
        <w:sz w:val="16"/>
        <w:szCs w:val="16"/>
      </w:rPr>
      <w:t xml:space="preserve">Página </w:t>
    </w:r>
    <w:r>
      <w:rPr>
        <w:color w:val="5A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8"/>
        <w:sz w:val="16"/>
        <w:szCs w:val="16"/>
      </w:rPr>
      <w:t xml:space="preserve"> de </w:t>
    </w:r>
    <w:r>
      <w:rPr>
        <w:color w:val="5A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8"/>
        <w:sz w:val="16"/>
        <w:szCs w:val="16"/>
      </w:rPr>
      <w:t xml:space="preserve">Sereno — Instrumentos e métricas · Etapa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01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B4B5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257277b4550269e371985700228a5399c387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2026-07-02T18:09:35.151Z</dcterms:created>
  <dcterms:modified xsi:type="dcterms:W3CDTF">2026-07-02T18:09:35.164Z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