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1A2B"/>
          <w:sz w:val="40"/>
          <w:szCs w:val="40"/>
        </w:rPr>
        <w:t xml:space="preserve">Sereno — Plataforma de Neuromodulação Não Invasiva</w:t>
      </w:r>
    </w:p>
    <w:p>
      <w:pPr>
        <w:spacing w:after="200"/>
      </w:pPr>
      <w:r>
        <w:rPr>
          <w:b/>
          <w:bCs/>
          <w:color w:val="1B4B5A"/>
          <w:sz w:val="30"/>
          <w:szCs w:val="30"/>
        </w:rPr>
        <w:t xml:space="preserve">Documentação de Backend e Segurança — ETAPA 5</w:t>
      </w:r>
    </w:p>
    <w:p>
      <w:pPr>
        <w:spacing w:after="40"/>
      </w:pPr>
      <w:r>
        <w:rPr>
          <w:i/>
          <w:iCs/>
          <w:color w:val="5A6B78"/>
          <w:sz w:val="20"/>
          <w:szCs w:val="20"/>
        </w:rPr>
        <w:t xml:space="preserve">Modelo físico (PostgreSQL), API REST /v1 (OpenAPI), autenticação/RBAC/MFA, LGPD operacional e processamento assíncrono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5 de 7 — backend, banco de dados e segurança em detalhe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1 (entidades/arquitetura), 2 (validação de sinal), 4 (escores versionados)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Artefatos executáveis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models.py + schema.sql (DDL gerado e validado) · openapi.yaml (validado) · security_demo.py (argon2/MFA/JWT/RBAC)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Python/FastAPI · SQLAlchemy 2.0 + Alembic · PostgreSQL · Redis + worker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 /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5 — v1.0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E3F1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Ferramenta complementar de bem-estar e pesquisa; não substitui avaliação, diagnóstico ou tratamento profissional. As medidas de segurança e as menções à LGPD, à ANVISA (SaMD) e à propriedade intelectual são orientação de engenharia, não aconselhamento jurídico — decisões formais exigem o NIT da instituição e assessoria especializada.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01A2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Arquitetura de backend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8"/>
          <w:sz w:val="18"/>
          <w:szCs w:val="18"/>
        </w:rPr>
        <w:t xml:space="preserve">Figura 1 — Arquitetura de backend e implantação.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1. Objetivo desta etapa</w:t>
      </w:r>
    </w:p>
    <w:p>
      <w:pPr>
        <w:spacing w:after="120" w:line="276"/>
      </w:pPr>
      <w:r>
        <w:t xml:space="preserve">Esta etapa transforma a fundação das etapas anteriores em um backend executável e o especifica em detalhe. Entrega: o modelo físico do banco (gerado a partir de modelos e validado), a API REST /v1 com contrato OpenAPI (validado), autenticação com RBAC e MFA (demonstrados), a segurança da informação e a LGPD operacional, o processamento assíncrono, a observabilidade, os testes/CI e o modelo de ameaças. Onde fez sentido, a especificação vem acompanhada de prova executada.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2. Princípios de backend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Monólito modular com fronteiras por domínio; extrair serviços apenas quando carga/equipe justificarem (evita complexidade prematura).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REST com recursos no plural e versão no caminho (/v1); o contrato OpenAPI é a fonte de verdade.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Validação de entrada no servidor (pydantic) — o cliente nunca é confiável; schemas explícitos evitam atribuição em massa.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Erros padronizados em problem+json (RFC 9457); idempotência em operações de criação; rate limiting.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Integridade no banco (chaves estrangeiras, unicidade, checks) e migrações versionadas (Alembic).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Senhas com argon2id; autorização por papel checada no servidor a cada requisição; segredos em cofre/variáveis de ambiente.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Criptografia em trânsito e em repouso; trilha de auditoria; fila assíncrona para tarefas longas; observabilidade e testes/CI desde o início.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3. Modelo físico (PostgreSQL)</w:t>
      </w:r>
    </w:p>
    <w:p>
      <w:pPr>
        <w:spacing w:after="120" w:line="276"/>
      </w:pPr>
      <w:r>
        <w:t xml:space="preserve">O schema foi gerado a partir de modelos SQLAlchemy 2.0 e validado como PostgreSQL: </w:t>
      </w:r>
      <w:r>
        <w:rPr>
          <w:b/>
          <w:bCs/>
        </w:rPr>
        <w:t xml:space="preserve">15 tabelas, 118 colunas, 14 chaves estrangeiras, 13 checks e 7 restrições de unicidade</w:t>
      </w:r>
      <w:r>
        <w:t xml:space="preserve"> — todos os statements parseados sem erro. O DDL completo é entregue como schema.sql.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3.1 Decisões de modelagem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Chaves primárias UUID e timestamps com fuso (timestamptz); integridade garantida no banco.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PII separada e cifrada: </w:t>
      </w:r>
      <w:r>
        <w:t xml:space="preserve">nome/e-mail ficam em contact_info (bytea, cifrado na aplicação), apartados do dado de pesquisa; o participante é identificado por um código de estudo (pseudonimização).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Braço codificado: </w:t>
      </w:r>
      <w:r>
        <w:t xml:space="preserve">allocation.arm_coded guarda apenas A/B; o vínculo A/B → ativo/sham é mantido à parte (selado), aberto só no fechamento (data lock).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Escores versionados: </w:t>
      </w:r>
      <w:r>
        <w:t xml:space="preserve">cada avaliação guarda score_version (Etapa 4), para reprodutibilidade da análise.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Auditoria append-only: </w:t>
      </w:r>
      <w:r>
        <w:t xml:space="preserve">audit_log registra acesso/alteração de dados; UPDATE/DELETE são revogados por GRANT.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3.2 Tabelas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64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participant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Sujeito pseudonimizado (código de estudo, status)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contact_info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PII cifrada e separada (nome, e-mail)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consent_record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Aceite/revogação do TCLE (versão, hash, data/hora, IP)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screening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Elegibilidade e critérios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audio_protocol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Protocolo de áudio versionado (neutro quanto ao braço)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Randomização com braço codificado (A/B)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baseline_assessment / followup_assessment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PSQI, GAD-7 (e SUS no seguimento) com escore versionado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Sessões: protocolo+hash, tempos, interrupções, fones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post_session_survey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Micro-questionário pós-sessão (6 itens)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sleep_diary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Diário de sono (um registro por dia)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adverse_event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Eventos adversos (tipo, gravidade, conduta)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recommendation_log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Auditoria do recomendador por regras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staff_user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Pesquisador/admin (argon2id, papel, MFA)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audit_log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Trilha de auditoria append-only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1B4B5A"/>
        </w:rPr>
        <w:t xml:space="preserve">3.3 Amostra do DDL gerado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CREATE TABLE participant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id UUID DEFAULT gen_random_uuid()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study_code VARCHAR(20)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status VARCHAR(12) DEFAULT 'active'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enrolled_at TIMESTAMP WITH TIME ZONE DEFAULT now()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PRIMARY KEY (id), UNIQUE (study_code),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CONSTRAINT ck_participant_status CHECK (status in ('active','withdrawn','completed'))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CREATE TABLE allocation (            -- braço apenas CODIFICADO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id UUID DEFAULT gen_random_uuid()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participant_id UUID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arm_coded VARCHAR(1)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block INTEGER NOT NULL, sequence_seed_ref VARCHAR(64)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unblinded_at TIMESTAMP WITH TIME ZONE,   -- nulo até o data lock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PRIMARY KEY 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CONSTRAINT uq_allocation_participant UNIQUE (participant_id),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CONSTRAINT ck_allocation_arm CHECK (arm_coded in ('A','B')),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FOREIGN KEY(participant_id) REFERENCES participant (id) ON DELETE CASCADE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4. API REST /v1</w:t>
      </w:r>
    </w:p>
    <w:p>
      <w:pPr>
        <w:spacing w:after="120" w:line="276"/>
      </w:pPr>
      <w:r>
        <w:t xml:space="preserve">O contrato OpenAPI 3.1 é a fonte de verdade e foi validado: </w:t>
      </w:r>
      <w:r>
        <w:rPr>
          <w:b/>
          <w:bCs/>
        </w:rPr>
        <w:t xml:space="preserve">10 caminhos, 11 operações e 17 schemas</w:t>
      </w:r>
      <w:r>
        <w:t xml:space="preserve">. Convenções: recursos no plural, versão no caminho, paginação por cursor, cabeçalho de idempotência em criações, rate limiting e erros em problem+json. Entregue como openapi.yaml.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700"/>
        <w:gridCol w:w="1100"/>
        <w:gridCol w:w="5226"/>
      </w:tblGrid>
      <w:tr>
        <w:trPr>
          <w:tblHeader/>
        </w:trPr>
        <w:tc>
          <w:tcPr>
            <w:tcW w:type="dxa" w:w="27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52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/auth/token · /auth/refresh · /auth/mfa/verify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Login (JWT), renovação e segundo fator (TOTP)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/participants/me/consent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Registrar TCLE (idempotente)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/participants/me/baseline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Enviar PSQI + GAD-7 (pontuados no servidor)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/sessions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 / GET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Iniciar e listar sessões (handle neutro)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/sessions/{id}/survey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Micro-questionário pós-sessão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/adverse-events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Registrar evento adverso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/research/participants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Pesquisa (RBAC) — braço codificado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/research/export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Exportação pseudonimizada (assíncrona, 202)</w:t>
            </w:r>
          </w:p>
        </w:tc>
      </w:tr>
    </w:tbl>
    <w:p>
      <w:pPr>
        <w:spacing w:after="60" w:line="276"/>
      </w:pPr>
      <w:r>
        <w:t xml:space="preserve">Modelo de erro (problem+json, RFC 9457):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"type": "https://api.sereno.example/errors/validation",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"title": "Dados inválidos",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"status": 422,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"detail": "gad7_items deve conter 7 valores entre 0 e 3.",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"instance": "/v1/participants/me/baseline"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5. Autenticação, autorização e MFA</w:t>
      </w:r>
    </w:p>
    <w:p>
      <w:pPr>
        <w:spacing w:after="120" w:line="276"/>
      </w:pPr>
      <w:r>
        <w:t xml:space="preserve">Fluxo: login valida a senha (argon2id); para pesquisador/admin, exige segundo fator (TOTP); emite JWT de acesso curto (~15 min) e refresh. A autorização por papel (RBAC) é checada no servidor a cada requisição. Todos os mecanismos foram demonstrados em execução (ver seção 12).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5.1 Matriz de permissões (RBAC)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Permissão</w:t>
            </w:r>
          </w:p>
        </w:tc>
        <w:tc>
          <w:tcPr>
            <w:tcW w:type="dxa" w:w="2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Participante</w:t>
            </w:r>
          </w:p>
        </w:tc>
        <w:tc>
          <w:tcPr>
            <w:tcW w:type="dxa" w:w="2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Pesquisador</w:t>
            </w:r>
          </w:p>
        </w:tc>
        <w:tc>
          <w:tcPr>
            <w:tcW w:type="dxa" w:w="24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session/assessment/diary/ae:write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research:read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export:request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user:manage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unblind:request (procedimento auditado)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ver o braço (ativo/sham)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Não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Não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Ocultação da alocação como propriedade do sistema: </w:t>
      </w:r>
      <w:r>
        <w:t xml:space="preserve">não existe permissão que revele o braço. Endpoints de participante recebem apenas um handle neutro; a exportação usa braço codificado; o desbloqueio é procedimento controlado e auditado. Esboço da dependência de autorização (ilustrativo):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# FastAPI — autorização por papel, checada no servidor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require(perm: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def dep(user = Depends(current_user)):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if perm not in RBAC.get(user.role, set()):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    raise Problem(403, 'Acesso negado')      # problem+json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return 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return dep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@router.get('/research/participants')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list_participants(user = Depends(require('research:read'))):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...   # retorna arm_coded (A/B) — nunca ativo/sham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6. Segurança da informação e LGPD operacional</w:t>
      </w:r>
    </w:p>
    <w:p>
      <w:pPr>
        <w:spacing w:after="120" w:line="276"/>
      </w:pPr>
      <w:r>
        <w:t xml:space="preserve">Dados de sono, humor e uso são sensíveis (LGPD). O tratamento observa ainda as Resoluções CNS 466/2012 e 510/2016. Requisitos e implementação: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(LGPD/ética)</w:t>
            </w:r>
          </w:p>
        </w:tc>
        <w:tc>
          <w:tcPr>
            <w:tcW w:type="dxa" w:w="60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Base legal e consentimento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TCLE eletrônico versionado, com hash e revogação; finalidade e retenção registradas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Minimização e pseudonimização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Código de estudo; PII separada e cifrada; dataset de pesquisa apartado do operacional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Criptografia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TLS em trânsito; cripto em repouso no banco; cifragem em coluna para PII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Controle de acesso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RBAC no servidor; MFA para staff; papéis de banco com privilégio mínimo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Auditoria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Trilha append-only; logs com PII minimizada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Direitos do titular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Endpoints de acesso, correção, revogação de consentimento e eliminação/anonimização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Gestão de risco e resposta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RIPD/DPIA recomendado; encarregado (DPO); plano de resposta a incidentes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Residência de dados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Hospedagem em região brasileira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Cegamento como segurança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Alocação não exposta; chave A/B→condição selada até o data lock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7. Processamento assíncrono</w:t>
      </w:r>
    </w:p>
    <w:p>
      <w:pPr>
        <w:spacing w:after="120" w:line="276"/>
      </w:pPr>
      <w:r>
        <w:t xml:space="preserve">Tarefas longas saem do caminho da requisição para um worker (RQ/Dramatiq) com Redis como broker: validação de sinal por FFT (Etapa 2), geração de exportações e notificações/lembretes. Jobs são idempotentes, com novas tentativas e backoff e fila de descarte (dead-letter); evita-se PII nos payloads.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8. Observabilidade e confiabilidade</w:t>
      </w:r>
    </w:p>
    <w:p>
      <w:pPr>
        <w:spacing w:after="120" w:line="276"/>
      </w:pPr>
      <w:r>
        <w:t xml:space="preserve">Logs estruturados (JSON) com PII minimizada; métricas (Prometheus); tracing distribuído (OpenTelemetry); endpoints de saúde e prontidão; backups regulares e testados (restauração verificada). SLOs modestos, proporcionais ao piloto.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9. Testes e integração contínua</w:t>
      </w:r>
    </w:p>
    <w:p>
      <w:pPr>
        <w:spacing w:after="120" w:line="276"/>
      </w:pPr>
      <w:r>
        <w:t xml:space="preserve">pytest para unidade e integração de API; testes de contrato contra o OpenAPI; testes de migração (Alembic up/down); varredura de dependências e de segredos; a bateria de FFT da Etapa 2 também roda em CI. O CI bloqueia merge com falhas.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10. Modelo de ameaças (OWASP API Security Top 10, 2023)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Ameaça</w:t>
            </w:r>
          </w:p>
        </w:tc>
        <w:tc>
          <w:tcPr>
            <w:tcW w:type="dxa" w:w="60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Autorização de objeto quebrada (BOLA/IDOR), incl. vazamento do braço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Autorização por objeto; escopo por participante; braço codificado; alocação nunca exposta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Autenticação quebrada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argon2id; JWT curto + refresh; MFA para staff; bloqueio após tentativas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Atribuição em massa (BOPLA)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Schemas pydantic explícitos de entrada/saída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Consumo irrestrito de recursos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Rate limiting; limites de paginação; jobs assíncronos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Injeção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ORM parametrizado; validação estrita; sem SQL dinâmico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Configuração incorreta / inventário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Endurecimento; contrato OpenAPI versionado; CORS restrito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Registro/monitoramento insuficiente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Auditoria append-only; métricas e alertas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11. Implantação</w:t>
      </w:r>
    </w:p>
    <w:p>
      <w:pPr>
        <w:spacing w:after="120" w:line="276"/>
      </w:pPr>
      <w:r>
        <w:t xml:space="preserve">Backend conteinerizado (Docker), com migrações Alembic no pipeline de deploy, configuração por variáveis de ambiente e segredos em cofre. Região de dados no Brasil; papéis de banco com privilégio mínimo (a aplicação não pode UPDATE/DELETE em audit_log). Estratégia simples de rolling/blue-green, proporcional ao piloto.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12. Prova executada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Schema PostgreSQL gerado dos modelos e validado: 15 tabelas, 118 colunas, 14 FKs, 13 checks, 7 uniques — 0 falhas de parse.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Contrato OpenAPI 3.1 validado: 10 caminhos, 11 operações, 17 schemas.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Senha argon2id: verifica a correta e rejeita a errada.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MFA TOTP: aceita o código válido e rejeita o inválido.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JWT: emite com papel/escopo e expiração; token expirado é rejeitado.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RBAC: papéis respeitados; nenhuma permissão concede “ver o braço”.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13. Registro de decisões (ADR) — incremento da Etapa 5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46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(resumo)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PostgreSQL com integridade no banco + migrações Alembic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Consistência dos dados; evolução controlada do schema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PKs UUID + timestamptz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Identificadores não sequenciais; tempo com fuso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ADR-026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PII cifrada e separada; pesquisa pseudonimizada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Minimização e proteção de dados sensíveis (LGPD)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Braço codificado + chave selada à parte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Ocultação da alocação; nenhuma permissão revela o braço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ADR-028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argon2id + JWT (access/refresh) + MFA TOTP (staff)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Autenticação forte e sessão curta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ADR-029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Erros em problem+json (RFC 9457) + idempotência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Contrato previsível; criações seguras a repetição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Auditoria append-only (revogar UPDATE/DELETE)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Trilha confiável e não adulterável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Assíncrono com Redis + worker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Tarefas longas fora do caminho da requisição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14. Fundamentação</w:t>
      </w:r>
    </w:p>
    <w:p>
      <w:pPr>
        <w:spacing w:after="120" w:line="276"/>
      </w:pPr>
      <w:r>
        <w:t xml:space="preserve">As escolhas de segurança seguem padrões reconhecidos: LGPD (BRASIL, 2018) e Resoluções CNS 466/2012 e 510/2016; OWASP API Security Top 10 (OWASP, 2023); problem+json (NOTTINGHAM; WILDE; DALAL, 2023); OpenAPI 3.1. A postura sobre frequências binaurais permanece a das etapas anteriores — intervenção experimental e complementar, com evidência limitada e heterogênea (XIONG et al., 2025; BASEANU et al., 2024). Reforça-se: são decisões de engenharia; a conformidade jurídica formal deve ser revista com o NIT e assessoria especializada.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15. Próximos passos — Etapa 6</w:t>
      </w:r>
    </w:p>
    <w:p>
      <w:pPr>
        <w:spacing w:after="120" w:line="276"/>
      </w:pPr>
      <w:r>
        <w:t xml:space="preserve">Mediante aprovação, a Etapa 6 detalhará o motor de recomendação por regras: entradas (objetivo, perfil, histórico, tolerabilidade), regras transparentes e versionadas que selecionam apenas dentro da biblioteca validada (faixas seguras), registro completo (entrada→regra→saída) e a instrumentação para um modelo de ML futuro — sem overclaim. Entregue como documento Word + markdown, com implementação de referência executável.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Referências</w:t>
      </w:r>
    </w:p>
    <w:p>
      <w:pPr>
        <w:spacing w:after="120" w:line="276"/>
      </w:pPr>
      <w:r>
        <w:rPr>
          <w:i/>
          <w:iCs/>
          <w:color w:val="5A6B78"/>
          <w:sz w:val="18"/>
          <w:szCs w:val="18"/>
        </w:rPr>
        <w:t xml:space="preserve">Padrão ABNT NBR 6023.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BASEANU, I. C. C.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The Efficiency of Binaural Beats on Anxiety and Depression: a systematic review. </w:t>
      </w:r>
      <w:r>
        <w:rPr>
          <w:i/>
          <w:iCs/>
          <w:sz w:val="20"/>
          <w:szCs w:val="20"/>
        </w:rPr>
        <w:t xml:space="preserve">Applied Sciences</w:t>
      </w:r>
      <w:r>
        <w:rPr>
          <w:sz w:val="20"/>
          <w:szCs w:val="20"/>
        </w:rPr>
        <w:t xml:space="preserve">, v. 14, n. 13, art. 5675, 2024. DOI: 10.3390/app14135675.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BRASIL. </w:t>
      </w:r>
      <w:r>
        <w:rPr>
          <w:i/>
          <w:iCs/>
          <w:sz w:val="20"/>
          <w:szCs w:val="20"/>
        </w:rPr>
        <w:t xml:space="preserve">Lei nº 13.709, de 14 de agosto de 2018</w:t>
      </w:r>
      <w:r>
        <w:rPr>
          <w:sz w:val="20"/>
          <w:szCs w:val="20"/>
        </w:rPr>
        <w:t xml:space="preserve">. Lei Geral de Proteção de Dados Pessoais (LGPD). Brasília, DF: Presidência da República, 2018.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NOTTINGHAM, M.; WILDE, E.; DALAL, S. </w:t>
      </w:r>
      <w:r>
        <w:rPr>
          <w:i/>
          <w:iCs/>
          <w:sz w:val="20"/>
          <w:szCs w:val="20"/>
        </w:rPr>
        <w:t xml:space="preserve">Problem Details for HTTP APIs</w:t>
      </w:r>
      <w:r>
        <w:rPr>
          <w:sz w:val="20"/>
          <w:szCs w:val="20"/>
        </w:rPr>
        <w:t xml:space="preserve">. RFC 9457. Internet Engineering Task Force (IETF), 2023.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OWASP FOUNDATION. </w:t>
      </w:r>
      <w:r>
        <w:rPr>
          <w:i/>
          <w:iCs/>
          <w:sz w:val="20"/>
          <w:szCs w:val="20"/>
        </w:rPr>
        <w:t xml:space="preserve">OWASP API Security Top 10 — 2023</w:t>
      </w:r>
      <w:r>
        <w:rPr>
          <w:sz w:val="20"/>
          <w:szCs w:val="20"/>
        </w:rPr>
        <w:t xml:space="preserve">. Disponível em: https://owasp.org/API-Security/. Acesso em: 2026.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XIONG,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Binaural beats for perioperative anxiety and pain: a systematic review and meta-analysis. </w:t>
      </w:r>
      <w:r>
        <w:rPr>
          <w:i/>
          <w:iCs/>
          <w:sz w:val="20"/>
          <w:szCs w:val="20"/>
        </w:rPr>
        <w:t xml:space="preserve">Complementary Therapies in Medicine</w:t>
      </w:r>
      <w:r>
        <w:rPr>
          <w:sz w:val="20"/>
          <w:szCs w:val="20"/>
        </w:rPr>
        <w:t xml:space="preserve">, v. 95, art. 103299, 2025. DOI: 10.1016/j.ctim.2025.103299.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8"/>
        <w:sz w:val="16"/>
        <w:szCs w:val="16"/>
      </w:rPr>
      <w:t xml:space="preserve">Página </w:t>
    </w:r>
    <w:r>
      <w:rPr>
        <w:color w:val="5A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8"/>
        <w:sz w:val="16"/>
        <w:szCs w:val="16"/>
      </w:rPr>
      <w:t xml:space="preserve"> de </w:t>
    </w:r>
    <w:r>
      <w:rPr>
        <w:color w:val="5A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8"/>
        <w:sz w:val="16"/>
        <w:szCs w:val="16"/>
      </w:rPr>
      <w:t xml:space="preserve">Sereno — Backend e segurança · Etapa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0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B4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fe9f8a6cfcb4f369d5af49d1126a64a260d1d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2026-07-02T22:58:16.628Z</dcterms:created>
  <dcterms:modified xsi:type="dcterms:W3CDTF">2026-07-02T22:58:16.641Z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