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01A2B"/>
          <w:sz w:val="40"/>
          <w:szCs w:val="40"/>
        </w:rPr>
        <w:t xml:space="preserve">Sereno — Plataforma de Neuromodulação Não Invasiva</w:t>
      </w:r>
    </w:p>
    <w:p>
      <w:pPr>
        <w:spacing w:after="200"/>
      </w:pPr>
      <w:r>
        <w:rPr>
          <w:b/>
          <w:bCs/>
          <w:color w:val="1B4B5A"/>
          <w:sz w:val="30"/>
          <w:szCs w:val="30"/>
        </w:rPr>
        <w:t xml:space="preserve">Motor de Recomendação — ETAPA 6</w:t>
      </w:r>
    </w:p>
    <w:p>
      <w:pPr>
        <w:spacing w:after="40"/>
      </w:pPr>
      <w:r>
        <w:rPr>
          <w:i/>
          <w:iCs/>
          <w:color w:val="5A6B78"/>
          <w:sz w:val="20"/>
          <w:szCs w:val="20"/>
        </w:rPr>
        <w:t xml:space="preserve">Recomendação por regras transparentes e versionadas, restrita à biblioteca validada, com registro completo e instrumentação para ML futuro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2600"/>
        <w:gridCol w:w="6426"/>
      </w:tblGrid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 6 de 7 — motor de recomendação por regras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 2 (biblioteca de áudio validada), 4 (métricas), 5 (recommendation_log, ocultação de alocação)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Artefato executável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recommender.py (regras + guardrails + coerência, com testes que passam)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Documento / Versão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 6 — v1.0 (ruleset v1.0.0)</w:t>
            </w:r>
          </w:p>
        </w:tc>
      </w:tr>
    </w:tbl>
    <w:p>
      <w:pPr>
        <w:spacing w:after="160" w:before="160"/>
      </w:pP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9026"/>
      </w:tblGrid>
      <w:tr>
        <w:tc>
          <w:tcPr>
            <w:tcW w:type="dxa" w:w="9026"/>
            <w:shd w:fill="E3F1F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01A2B"/>
              </w:rPr>
              <w:t xml:space="preserve">Aviso de escopo e uso</w:t>
            </w:r>
          </w:p>
          <w:p>
            <w:pPr>
              <w:spacing w:after="0" w:line="268"/>
            </w:pPr>
            <w:r>
              <w:t xml:space="preserve">Ferramenta complementar; não substitui avaliação ou tratamento profissional. A associação banda↔estado (alfa→relaxamento; teta→indução do sono; delta→sono profundo) é convenção da literatura, não eficácia comprovada. O recomendador seleciona apenas dentro de protocolos experimentais já validados e não faz alegações clínicas.</w:t>
            </w:r>
          </w:p>
        </w:tc>
      </w:tr>
    </w:tbl>
    <w:p>
      <w:r>
        <w:br w:type="page"/>
      </w:r>
    </w:p>
    <w:p>
      <w:pPr>
        <w:pStyle w:val="Heading1"/>
        <w:spacing w:after="120" w:before="120"/>
      </w:pPr>
      <w:r>
        <w:rPr>
          <w:b/>
          <w:bCs/>
          <w:color w:val="101A2B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1. Objetivo desta etapa</w:t>
      </w:r>
    </w:p>
    <w:p>
      <w:pPr>
        <w:spacing w:after="120" w:line="276"/>
      </w:pPr>
      <w:r>
        <w:t xml:space="preserve">Esta etapa especifica e implementa de referência o motor que sugere qual protocolo o participante utiliza. A decisão central, tomada nas etapas anteriores, é reafirmada: recomendação por regras transparentes e auditáveis, não por “IA que aprende”. O motor seleciona apenas dentro da biblioteca de áudio já validada (Etapa 2), registra tudo para análise de coerência (desfecho exploratório da Etapa 1) e fica instrumentado para um modelo de ML futuro — sem tomar decisões por ML agora e sem overclaim.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2. Princípios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</w:rPr>
        <w:t xml:space="preserve">Regras, não ML. </w:t>
      </w:r>
      <w:r>
        <w:t xml:space="preserve">Com N≈40 e 4 semanas não há base para treinar/validar um modelo; regras explícitas são transparentes e reproduzíveis.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</w:rPr>
        <w:t xml:space="preserve">Segurança primeiro. </w:t>
      </w:r>
      <w:r>
        <w:t xml:space="preserve">Guardrails são avaliados antes das regras; a saída é obrigatoriamente um protocolo da biblioteca validada (faixas seguras).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</w:rPr>
        <w:t xml:space="preserve">Cegamento preservado. </w:t>
      </w:r>
      <w:r>
        <w:t xml:space="preserve">O motor opera sobre handles/bandas neutros e é idêntico nos dois braços; a resolução handle→arquivo (ativo/sham) ocorre na camada de ocultação (Etapa 5). Personalizar não vaza a alocação.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</w:rPr>
        <w:t xml:space="preserve">Sem overclaim, com evidência. </w:t>
      </w:r>
      <w:r>
        <w:t xml:space="preserve">A associação banda↔estado é convencional, não comprovada; cada saída carrega nota de evidência e aviso de ferramenta complementar.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</w:rPr>
        <w:t xml:space="preserve">Auditável e versionado. </w:t>
      </w:r>
      <w:r>
        <w:t xml:space="preserve">Cada decisão registra entrada, regra, versão do conjunto de regras e saída; humano no loop para revisão.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3. Modelo de entrada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2200"/>
        <w:gridCol w:w="1700"/>
        <w:gridCol w:w="5126"/>
      </w:tblGrid>
      <w:tr>
        <w:trPr>
          <w:tblHeader/>
        </w:trPr>
        <w:tc>
          <w:tcPr>
            <w:tcW w:type="dxa" w:w="22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goal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5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“sleep” | “anxiety” (objetivo declarado)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sleep_issue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enum | vazio</w:t>
            </w:r>
          </w:p>
        </w:tc>
        <w:tc>
          <w:tcPr>
            <w:tcW w:type="dxa" w:w="5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“onset” (adormecer) | “maintenance” (manter o sono)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time_of_day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5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“day” | “evening” | “night”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recent_adverse_severity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enum | vazio</w:t>
            </w:r>
          </w:p>
        </w:tc>
        <w:tc>
          <w:tcPr>
            <w:tcW w:type="dxa" w:w="5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None | mild | moderate | severe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last_liked / last_intensity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bool / 0–4</w:t>
            </w:r>
          </w:p>
        </w:tc>
        <w:tc>
          <w:tcPr>
            <w:tcW w:type="dxa" w:w="5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Tolerabilidade da última sessão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contraindicated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bool</w:t>
            </w:r>
          </w:p>
        </w:tc>
        <w:tc>
          <w:tcPr>
            <w:tcW w:type="dxa" w:w="5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Rede de segurança (excluídos já na triagem)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4. Catálogo de regras (versionado — ruleset v1.0.0)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1500"/>
        <w:gridCol w:w="3100"/>
        <w:gridCol w:w="1300"/>
        <w:gridCol w:w="3126"/>
      </w:tblGrid>
      <w:tr>
        <w:trPr>
          <w:tblHeader/>
        </w:trPr>
        <w:tc>
          <w:tcPr>
            <w:tcW w:type="dxa" w:w="15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1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Condição</w:t>
            </w:r>
          </w:p>
        </w:tc>
        <w:tc>
          <w:tcPr>
            <w:tcW w:type="dxa" w:w="13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Protocolo</w:t>
            </w:r>
          </w:p>
        </w:tc>
        <w:tc>
          <w:tcPr>
            <w:tcW w:type="dxa" w:w="31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/ justificativa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G1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contraindicação sinalizada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guardrail: sem recomendação; orientar profissional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G2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evento adverso ≥ moderado ou baixa tolerabilidade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alpha-10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guardrail: de-escalona (brando) + sinaliza revisão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R1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objetivo = ansiedade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alpha-10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alfa (relaxamento)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R2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sono &amp; adormecer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theta-6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teta (indução do sono)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R3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sono &amp; manutenção/noite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delta-2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delta (sono profundo)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R4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sono (padrão)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theta-6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teta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D0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nenhuma regra aplicável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alpha-10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protocolo brando padrão</w:t>
            </w:r>
          </w:p>
        </w:tc>
      </w:tr>
    </w:tbl>
    <w:p>
      <w:pPr>
        <w:spacing w:after="120" w:line="276"/>
      </w:pPr>
      <w:r>
        <w:rPr>
          <w:color w:val="5A6B78"/>
          <w:sz w:val="19"/>
          <w:szCs w:val="19"/>
        </w:rPr>
        <w:t xml:space="preserve">As regras são avaliadas por ordem de prioridade (guardrails primeiro); a primeira que casa determina a saída.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5. Guardrails de segurança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Contraindicação → não recomenda sessão e orienta procurar profissional.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Evento adverso ≥ moderado ou baixa tolerabilidade (intensidade alta e não gostou) → de-escalona para o protocolo mais brando e sinaliza revisão humana.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</w:rPr>
        <w:t xml:space="preserve">Invariante inviolável: </w:t>
      </w:r>
      <w:r>
        <w:t xml:space="preserve">a saída precisa pertencer à biblioteca validada; qualquer protocolo fora dela é bloqueado por asserção (falha em vez de recomendar algo não validado).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Toda saída acompanha nota de evidência e aviso de ferramenta complementar.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6. Fluxo de decisão</w:t>
      </w:r>
    </w:p>
    <w:p>
      <w:pPr>
        <w:spacing w:after="40" w:before="60"/>
        <w:jc w:val="center"/>
      </w:pPr>
      <w:r>
        <w:drawing>
          <wp:inline distT="0" distB="0" distL="0" distR="0">
            <wp:extent cx="51435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B78"/>
          <w:sz w:val="18"/>
          <w:szCs w:val="18"/>
        </w:rPr>
        <w:t xml:space="preserve">Figura 1 — Fluxo do recomendador: entradas → guardrails → regras → invariante de segurança → saída → registro → (ML futuro, offline).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7. Registro e schema de log</w:t>
      </w:r>
    </w:p>
    <w:p>
      <w:pPr>
        <w:spacing w:after="120" w:line="276"/>
      </w:pPr>
      <w:r>
        <w:t xml:space="preserve">Cada decisão é registrada de forma completa e persistida em recommendation_log (Etapa 5), com participante, sessão, data/hora e se a sugestão foi aceita. Campos: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input_snapshot (entrada integral) · rule_id · ruleset_version · suggested_protocol · is_guardrail · flag_review · rationale · evidence_note · disclaimer · feature_vector (para ML futuro).</w:t>
      </w:r>
    </w:p>
    <w:p>
      <w:pPr>
        <w:spacing w:after="60" w:line="276"/>
      </w:pPr>
      <w:r>
        <w:t xml:space="preserve">Exemplo de saída registrada: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9026"/>
      </w:tblGrid>
      <w:tr>
        <w:tc>
          <w:tcPr>
            <w:tcW w:type="dxa" w:w="9026"/>
            <w:shd w:fill="F1F3F6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"action": "recommend",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"suggested_protocol": "theta-6",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"band": "theta",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"rule_id": "R2-sleep-onset",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"ruleset_version": "1.0.0",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"is_guardrail": false, "flag_review":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"rationale": "Objetivo sono, dificuldade de adormecer -&gt; banda teta.",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"evidence_note": "Associacao convencional banda-estado; eficacia nao comprovada.",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"disclaimer": "Ferramenta complementar; nao substitui cuidado profissional.",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"input_snapshot": { "goal": "sleep", "sleep_issue": "onset", "time_of_day": "night", ...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"feature_vector": { "goal": "sleep", "sleep_issue": "onset", ...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8. Coerência e avaliação (exploratório)</w:t>
      </w:r>
    </w:p>
    <w:p>
      <w:pPr>
        <w:spacing w:after="120" w:line="276"/>
      </w:pPr>
      <w:r>
        <w:t xml:space="preserve">O desfecho “coerência do algoritmo” (Etapa 1) é exploratório — mede consistência, não eficácia. A partir dos logs, calcula-se: (a) alinhamento objetivo→banda (a banda sugerida corresponde à associação convencional do objetivo?); (b) taxa de aceitação da sugestão; e (c) relação entre aceitar/recusar e o relaxamento autorreferido. Esses números descrevem o comportamento do motor e a aceitação pelo usuário, sem afirmar efeito clínico.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9. Caminho para ML futuro (fora do MVP)</w:t>
      </w:r>
    </w:p>
    <w:p>
      <w:pPr>
        <w:spacing w:after="120" w:line="276"/>
      </w:pPr>
      <w:r>
        <w:t xml:space="preserve">O motor já registra o vetor de atributos de cada decisão, criando uma base para, no futuro, avaliar offline um modelo. Condições que ficam desde já estabelecidas: um ML só entraria após validação adequada (valor preditivo, segurança, ausência de viés), sempre com humano no loop, versionando modelo/dados; e nunca decidindo ao vivo sem essa validação. No MVP, ML não toma nenhuma decisão.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10. Cegamento e o recomendador</w:t>
      </w:r>
    </w:p>
    <w:p>
      <w:pPr>
        <w:spacing w:after="120" w:line="276"/>
      </w:pPr>
      <w:r>
        <w:t xml:space="preserve">O motor é idêntico nos dois braços e opera sobre handles/bandas neutros; ele não conhece nem usa a alocação. A conversão handle→arquivo (ativo/sham) acontece na camada de ocultação (Etapa 5). Assim, a personalização por regras não introduz pista da alocação nem quebra o cegamento — a mesma lógica gera a mesma sugestão para participantes equivalentes, independentemente do braço.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11. Prova executada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Regras: ansiedade→alpha-10; sono/adormecer→theta-6; sono/manutenção/noite→delta-2; sono padrão→theta-6.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Guardrails: evento adverso moderado e baixa tolerabilidade → de-escalona para alpha-10 com sinal de revisão; contraindicação → sem recomendação.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Invariantes: toda recomendação permanece na biblioteca validada; todo log tem versão do conjunto de regras, snapshot e feature_vector; toda saída traz aviso e nota de evidência.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Coerência (exemplo): alinhamento objetivo→banda 100%; taxa de aceitação e relaxamento por aceitação calculados a partir dos logs.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12. Registro de decisões (ADR) — incremento da Etapa 6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  <w:tc>
          <w:tcPr>
            <w:tcW w:type="dxa" w:w="46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 (resumo)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ADR-032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Recomendador por regras (não ML)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Transparente e auditável; N/duração não validam ML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ADR-033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Seleção restrita à biblioteca validada (invariante)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Segurança: nunca sugerir fora das faixas validadas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ADR-034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Guardrails avaliados primeiro (contraindicação; de-escalonamento)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Prioriza segurança sobre preferência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ADR-035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Registro completo + feature_vector; ML nunca decide ao vivo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Instrumenta ML futuro sem risco no presente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ADR-036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Conjunto de regras versionado (ruleset_version)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Reprodutibilidade e análise de coerência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13. Fundamentação</w:t>
      </w:r>
    </w:p>
    <w:p>
      <w:pPr>
        <w:spacing w:after="120" w:line="276"/>
      </w:pPr>
      <w:r>
        <w:t xml:space="preserve">As bandas usadas seguem associações convencionais na literatura (alfa↔relaxamento; teta↔indução do sono; delta↔sono profundo), amplamente citadas, porém sem eficácia comprovada para frequências binaurais; o mecanismo de arrastamento é contestado (INGENDOH; POSNY; HEINE, 2023), e a evidência geral é limitada e heterogênea (XIONG et al., 2025; BASEANU et al., 2024). Por isso o motor trata essas associações como heurísticas de seleção dentro de protocolos experimentais, e a coerência é medida como desfecho exploratório — não como demonstração de efeito. O uso permanece complementar; não substitui cuidado profissional.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14. Próximos passos — Etapa 7</w:t>
      </w:r>
    </w:p>
    <w:p>
      <w:pPr>
        <w:spacing w:after="120" w:line="276"/>
      </w:pPr>
      <w:r>
        <w:t xml:space="preserve">Mediante aprovação, a Etapa 7 fechará o ciclo científico: plano de análise estatística com a extensão do CONSORT para ensaios-piloto (foco em viabilidade, adesão, usabilidade e segurança; ansiedade e sono como exploratórios), o cálculo dos índices de integridade do cegamento, e um Research Center mínimo (painel do pesquisador e exportação já previstos). Entregue como documento Word + markdown.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Apêndice A — Núcleo do motor e amostra de regra</w:t>
      </w:r>
    </w:p>
    <w:p>
      <w:pPr>
        <w:spacing w:after="120" w:line="276"/>
      </w:pPr>
      <w:r>
        <w:t xml:space="preserve">Trecho central de recommender.py (módulo completo entregue à parte). Avaliação e invariante de segurança: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9026"/>
      </w:tblGrid>
      <w:tr>
        <w:tc>
          <w:tcPr>
            <w:tcW w:type="dxa" w:w="9026"/>
            <w:shd w:fill="F1F3F6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def recommend(i: RecommendationInput) -&gt; dict: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fired = next((r for r in RULES if r.predicate(i)), _DEFAULT)  # guardrails primeiro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protocol = fired.protocol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if fired.action == 'recommend':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    assert protocol in LIBRARY   # nunca sair da biblioteca validada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return { 'suggested_protocol': protocol, 'rule_id': fired.rule_id,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         'ruleset_version': RULESET_VERSION, 'rationale': fired.rationale,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         'evidence_note': EVIDENCE_NOTE, 'disclaimer': DISCLAIMER,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         'input_snapshot': asdict(i), 'feature_vector': i.feature_vector()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# Regra de guardrail (de-escalonamento por segurança):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Rule('G2-safety-deescalate',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 lambda i: i.recent_adverse_severity in ('moderate','severe') or _low_tolerability(i),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 GENTLE_DEFAULT, 'de-escalonar para o protocolo mais brando + revisao',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 is_guardrail=True, flag_review=True)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Referências</w:t>
      </w:r>
    </w:p>
    <w:p>
      <w:pPr>
        <w:spacing w:after="120" w:line="276"/>
      </w:pPr>
      <w:r>
        <w:rPr>
          <w:i/>
          <w:iCs/>
          <w:color w:val="5A6B78"/>
          <w:sz w:val="18"/>
          <w:szCs w:val="18"/>
        </w:rPr>
        <w:t xml:space="preserve">Padrão ABNT NBR 6023.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BASEANU, I. C. C.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The Efficiency of Binaural Beats on Anxiety and Depression: a systematic review. </w:t>
      </w:r>
      <w:r>
        <w:rPr>
          <w:i/>
          <w:iCs/>
          <w:sz w:val="20"/>
          <w:szCs w:val="20"/>
        </w:rPr>
        <w:t xml:space="preserve">Applied Sciences</w:t>
      </w:r>
      <w:r>
        <w:rPr>
          <w:sz w:val="20"/>
          <w:szCs w:val="20"/>
        </w:rPr>
        <w:t xml:space="preserve">, v. 14, n. 13, art. 5675, 2024. DOI: 10.3390/app14135675.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INGENDOH, R. M.; POSNY, E. S.; HEINE, A. Binaural beats to entrain the brain? A systematic review of the effects of binaural beat stimulation on brain oscillatory activity. </w:t>
      </w:r>
      <w:r>
        <w:rPr>
          <w:i/>
          <w:iCs/>
          <w:sz w:val="20"/>
          <w:szCs w:val="20"/>
        </w:rPr>
        <w:t xml:space="preserve">PLOS ONE</w:t>
      </w:r>
      <w:r>
        <w:rPr>
          <w:sz w:val="20"/>
          <w:szCs w:val="20"/>
        </w:rPr>
        <w:t xml:space="preserve">, 2023. (Já constante do referencial do projeto.)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XIONG, J.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Binaural beats for perioperative anxiety and pain: a systematic review and meta-analysis. </w:t>
      </w:r>
      <w:r>
        <w:rPr>
          <w:i/>
          <w:iCs/>
          <w:sz w:val="20"/>
          <w:szCs w:val="20"/>
        </w:rPr>
        <w:t xml:space="preserve">Complementary Therapies in Medicine</w:t>
      </w:r>
      <w:r>
        <w:rPr>
          <w:sz w:val="20"/>
          <w:szCs w:val="20"/>
        </w:rPr>
        <w:t xml:space="preserve">, v. 95, art. 103299, 2025. DOI: 10.1016/j.ctim.2025.103299.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8"/>
        <w:sz w:val="16"/>
        <w:szCs w:val="16"/>
      </w:rPr>
      <w:t xml:space="preserve">Página </w:t>
    </w:r>
    <w:r>
      <w:rPr>
        <w:color w:val="5A6B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B78"/>
        <w:sz w:val="16"/>
        <w:szCs w:val="16"/>
      </w:rPr>
      <w:t xml:space="preserve"> de </w:t>
    </w:r>
    <w:r>
      <w:rPr>
        <w:color w:val="5A6B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B78"/>
        <w:sz w:val="16"/>
        <w:szCs w:val="16"/>
      </w:rPr>
      <w:t xml:space="preserve">Sereno — Motor de recomendação · Etapa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b/>
      <w:bCs/>
      <w:color w:val="101A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1B4B5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9d0e64a2f332e52307316698bcf4c6cc85e3e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2026-07-02T23:05:34.174Z</dcterms:created>
  <dcterms:modified xsi:type="dcterms:W3CDTF">2026-07-02T23:05:34.187Z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