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01A2B"/>
          <w:sz w:val="40"/>
          <w:szCs w:val="40"/>
        </w:rPr>
        <w:t xml:space="preserve">Sereno — Plataforma de Neuromodulação Não Invasiva</w:t>
      </w:r>
    </w:p>
    <w:p>
      <w:pPr>
        <w:spacing w:after="200"/>
      </w:pPr>
      <w:r>
        <w:rPr>
          <w:b/>
          <w:bCs/>
          <w:color w:val="1B4B5A"/>
          <w:sz w:val="30"/>
          <w:szCs w:val="30"/>
        </w:rPr>
        <w:t xml:space="preserve">Plano de Análise e Research Center — ETAPA 7</w:t>
      </w:r>
    </w:p>
    <w:p>
      <w:pPr>
        <w:spacing w:after="40"/>
      </w:pPr>
      <w:r>
        <w:rPr>
          <w:i/>
          <w:iCs/>
          <w:color w:val="5A6B78"/>
          <w:sz w:val="20"/>
          <w:szCs w:val="20"/>
        </w:rPr>
        <w:t xml:space="preserve">Análise do piloto (extensão CONSORT), integridade do cegamento, Research Center mínimo e encerramento do programa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2600"/>
        <w:gridCol w:w="6426"/>
      </w:tblGrid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Etapa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Etapa 7 de 7 — plano de análise + Research Center (encerra o programa)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Depende de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Etapas 4 (escores/exportação), 5 (backend/painel), 6 (recomendador) e o protocolo de IC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Artefato executável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analysis_plan.py (índice de Bang + seleção de teste, com testes que passam)</w:t>
            </w:r>
          </w:p>
        </w:tc>
      </w:tr>
      <w:tr>
        <w:tc>
          <w:tcPr>
            <w:tcW w:type="dxa" w:w="2600"/>
            <w:shd w:fill="EEF2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sz w:val="19"/>
                <w:szCs w:val="19"/>
              </w:rPr>
              <w:t xml:space="preserve">Documento / Versão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Etapa 7 — v1.0</w:t>
            </w:r>
          </w:p>
        </w:tc>
      </w:tr>
    </w:tbl>
    <w:p>
      <w:pPr>
        <w:spacing w:after="160" w:before="160"/>
      </w:pP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9026"/>
      </w:tblGrid>
      <w:tr>
        <w:tc>
          <w:tcPr>
            <w:tcW w:type="dxa" w:w="9026"/>
            <w:shd w:fill="E3F1F3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01A2B"/>
              </w:rPr>
              <w:t xml:space="preserve">Aviso de escopo e uso</w:t>
            </w:r>
          </w:p>
          <w:p>
            <w:pPr>
              <w:spacing w:after="0" w:line="268"/>
            </w:pPr>
            <w:r>
              <w:t xml:space="preserve">Este é um piloto de VIABILIDADE, não dimensionado para eficácia; ansiedade e sono são desfechos exploratórios (geradores de hipótese). Ferramenta complementar; não substitui cuidado profissional. As menções à LGPD, ao CEP e à propriedade intelectual são orientação de engenharia/metodologia, não aconselhamento jurídico.</w:t>
            </w:r>
          </w:p>
        </w:tc>
      </w:tr>
    </w:tbl>
    <w:p>
      <w:r>
        <w:br w:type="page"/>
      </w:r>
    </w:p>
    <w:p>
      <w:pPr>
        <w:pStyle w:val="Heading1"/>
        <w:spacing w:after="120" w:before="120"/>
      </w:pPr>
      <w:r>
        <w:rPr>
          <w:b/>
          <w:bCs/>
          <w:color w:val="101A2B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1. Objetivo e enquadramento</w:t>
      </w:r>
    </w:p>
    <w:p>
      <w:pPr>
        <w:spacing w:after="120" w:line="276"/>
      </w:pPr>
      <w:r>
        <w:t xml:space="preserve">Esta etapa fecha o ciclo científico do MVP: define como os dados do piloto serão analisados e reportados, como se mede a integridade do cegamento, e qual é o painel mínimo de pesquisa. O enquadramento é decisivo e reafirma o que foi dito desde a Etapa 1: trata-se de um estudo-piloto de viabilidade. Os desfechos primários são viabilidade, adesão, usabilidade e segurança (analisados de forma descritiva). Ansiedade e sono são exploratórios — geram hipóteses, não conclusões de eficácia. O piloto não tem poder estatístico para demonstrar efeito clínico, e a análise é planejada para não sugerir o contrário.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2. Extensão do CONSORT para ensaios-piloto</w:t>
      </w:r>
    </w:p>
    <w:p>
      <w:pPr>
        <w:spacing w:after="120" w:line="276"/>
      </w:pPr>
      <w:r>
        <w:t xml:space="preserve">O relato seguirá a extensão do CONSORT para ensaios randomizados piloto e de viabilidade (ELDRIDGE et al., 2016): fluxograma de participantes, objetivos de viabilidade explícitos, e critérios de progressão para um ensaio definitivo. Essa diretriz orienta um relato honesto de um piloto — focado em “é viável e como melhorar?”, não em “funciona?”.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3. Desfechos e plano de análise</w:t>
      </w:r>
    </w:p>
    <w:p>
      <w:pPr>
        <w:spacing w:after="120" w:line="276"/>
      </w:pPr>
      <w:r>
        <w:t xml:space="preserve">Cada desfecho tem medida e método definidos. Ferramentas: Jamovi/JASP/R; α = 5% nos exploratórios.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2000"/>
        <w:gridCol w:w="1500"/>
        <w:gridCol w:w="2600"/>
        <w:gridCol w:w="2926"/>
      </w:tblGrid>
      <w:tr>
        <w:trPr>
          <w:tblHeader/>
        </w:trPr>
        <w:tc>
          <w:tcPr>
            <w:tcW w:type="dxa" w:w="20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Desfecho</w:t>
            </w:r>
          </w:p>
        </w:tc>
        <w:tc>
          <w:tcPr>
            <w:tcW w:type="dxa" w:w="15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6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Medida</w:t>
            </w:r>
          </w:p>
        </w:tc>
        <w:tc>
          <w:tcPr>
            <w:tcW w:type="dxa" w:w="2926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Análise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Viabilidade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Primário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Recrutamento, elegibilidade, aceite, retenção, completude</w:t>
            </w:r>
          </w:p>
        </w:tc>
        <w:tc>
          <w:tcPr>
            <w:tcW w:type="dxa" w:w="2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Proporções com IC95% (Wilson)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Adesão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Primário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Sessões concluídas / prescrito</w:t>
            </w:r>
          </w:p>
        </w:tc>
        <w:tc>
          <w:tcPr>
            <w:tcW w:type="dxa" w:w="2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Proporções e descritivos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Usabilidade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Primário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SUS</w:t>
            </w:r>
          </w:p>
        </w:tc>
        <w:tc>
          <w:tcPr>
            <w:tcW w:type="dxa" w:w="2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Descritivo (referência ~68)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Segurança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Primário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Incidência de eventos adversos</w:t>
            </w:r>
          </w:p>
        </w:tc>
        <w:tc>
          <w:tcPr>
            <w:tcW w:type="dxa" w:w="2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Descritivo; proporções com IC95%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Integridade do cegamento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Metodológico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Braço adivinhado (seguimento)</w:t>
            </w:r>
          </w:p>
        </w:tc>
        <w:tc>
          <w:tcPr>
            <w:tcW w:type="dxa" w:w="2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Índice de Bang (+ James validado)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Ansiedade / Sono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Exploratório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GAD-7 / PSQI (base × seguimento)</w:t>
            </w:r>
          </w:p>
        </w:tc>
        <w:tc>
          <w:tcPr>
            <w:tcW w:type="dxa" w:w="2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Intra-braço (t pareado/Wilcoxon) e entre braços (t de Welch/Mann-Whitney), por normalidade; tamanhos de efeito</w:t>
            </w:r>
          </w:p>
        </w:tc>
      </w:tr>
    </w:tbl>
    <w:p>
      <w:pPr>
        <w:spacing w:after="40" w:before="6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6B78"/>
          <w:sz w:val="18"/>
          <w:szCs w:val="18"/>
        </w:rPr>
        <w:t xml:space="preserve">Figura 1 — Do dado à decisão: análise (primários, cegamento, exploratórios) → síntese CONSORT-piloto → Research Center.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4. Integridade do cegamento (Bang e James)</w:t>
      </w:r>
    </w:p>
    <w:p>
      <w:pPr>
        <w:spacing w:after="120" w:line="276"/>
      </w:pPr>
      <w:r>
        <w:t xml:space="preserve">Ao final, coleta-se o braço que o participante acredita ter recebido e calcula-se um índice de cegamento. Implementou-se e validou-se o índice de Bang (direcional): por braço, BI = (2·acertos + “não sei”)/N − 1, no intervalo [−1, 1] — 0 indica cegamento aparentemente mantido; positivo tende à adivinhação correta; negativo, à oposta.</w:t>
      </w:r>
    </w:p>
    <w:p>
      <w:pPr>
        <w:spacing w:after="120" w:line="276"/>
      </w:pPr>
      <w:r>
        <w:rPr>
          <w:b/>
          <w:bCs/>
        </w:rPr>
        <w:t xml:space="preserve">Nota de rigor sobre o índice de James: </w:t>
      </w:r>
      <w:r>
        <w:t xml:space="preserve">sua forma exata é um estatístico do tipo kappa cuja normalização é sutil (JAMES et al., 1996). Para não arriscar uma fórmula incorreta, este pacote implementa o índice de Bang (validado por casos-âncora) e recomenda calcular o de James com implementação validada (por exemplo, o pacote R “BI”) na análise final. É uma escolha deliberada de rigor — melhor deferir do que reportar um número possivelmente errado.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5. Critérios de progressão (semáforo)</w:t>
      </w:r>
    </w:p>
    <w:p>
      <w:pPr>
        <w:spacing w:after="120" w:line="276"/>
      </w:pPr>
      <w:r>
        <w:t xml:space="preserve">Um piloto deve dizer se vale seguir para o ensaio definitivo. Propõem-se critérios em semáforo — a serem pré-especificados com a orientadora e registrados no protocolo/CEP (os limiares abaixo são ilustrativos):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2600"/>
        <w:gridCol w:w="2100"/>
        <w:gridCol w:w="2100"/>
        <w:gridCol w:w="2226"/>
      </w:tblGrid>
      <w:tr>
        <w:trPr>
          <w:tblHeader/>
        </w:trPr>
        <w:tc>
          <w:tcPr>
            <w:tcW w:type="dxa" w:w="26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21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Prosseguir</w:t>
            </w:r>
          </w:p>
        </w:tc>
        <w:tc>
          <w:tcPr>
            <w:tcW w:type="dxa" w:w="21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Ajustar</w:t>
            </w:r>
          </w:p>
        </w:tc>
        <w:tc>
          <w:tcPr>
            <w:tcW w:type="dxa" w:w="2226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Parar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Recrutamento (da meta)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≥ 80%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50–79%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&lt; 50%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Adesão (do prescrito)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≥ 75%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50–74%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&lt; 50%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Retenção (seguimento)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≥ 80%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60–79%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&lt; 60%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Completude dos dados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≥ 90%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70–89%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&lt; 70%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Usabilidade (SUS)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≥ 68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50–67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&lt; 50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Segurança (EA graves relacionados)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nenhum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poucos, manejáveis</w:t>
            </w:r>
          </w:p>
        </w:tc>
        <w:tc>
          <w:tcPr>
            <w:tcW w:type="dxa" w:w="2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sinal de dano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01A2B"/>
        </w:rPr>
        <w:t xml:space="preserve">6. Populações, dados faltantes e multiplicidade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Populações: a análise de viabilidade considera todos os randomizados; desfechos exploratórios, os que completaram as medidas (com sensibilidade quando cabível).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Dados faltantes: relatados de forma transparente; no piloto evita-se imputação complexa (foco em quantificar a completude).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Multiplicidade: como os desfechos clínicos são exploratórios, não se corrige formalmente para múltiplos testes, mas a interpretação é cautelosa (efeitos com IC, sem inferência confirmatória).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7. Research Center mínimo</w:t>
      </w:r>
    </w:p>
    <w:p>
      <w:pPr>
        <w:spacing w:after="120" w:line="276"/>
      </w:pPr>
      <w:r>
        <w:t xml:space="preserve">O painel do pesquisador (Etapa 5) fornece o mínimo para conduzir o piloto com segurança e cegamento: acesso por papel (RBAC), sem alocação até o desbloqueio; dashboards de recrutamento, adesão, eventos adversos e completude; exportação pseudonimizada com braço codificado; trilha de auditoria; e o procedimento de desbloqueio controlado, que abre a chave A/B apenas no fechamento (data lock).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8. Prova executada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Índice de Bang (âncoras): todos corretos → +1; todos incorretos → −1; todos “não sei” → 0; metade/metade → 0.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Taxas com IC95% (Wilson): exemplo 14/20 = 70,0% (IC95% 48,1–85,5).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Seleção de teste (dados sintéticos): diferenças normais → t pareado; grupos assimétricos → Mann-Whitney; tabela 2×2 com esperadas &lt; 5 → Fisher exato.</w:t>
      </w:r>
    </w:p>
    <w:p>
      <w:pPr>
        <w:spacing w:after="120" w:line="276"/>
      </w:pPr>
      <w:r>
        <w:rPr>
          <w:i/>
          <w:iCs/>
          <w:color w:val="5A6B78"/>
          <w:sz w:val="19"/>
          <w:szCs w:val="19"/>
        </w:rPr>
        <w:t xml:space="preserve">Os números de exemplo são sintéticos e não representam resultados do estudo.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9. Encerramento do programa — índice de entregáveis</w:t>
      </w:r>
    </w:p>
    <w:p>
      <w:pPr>
        <w:spacing w:after="120" w:line="276"/>
      </w:pPr>
      <w:r>
        <w:t xml:space="preserve">As sete etapas estão concluídas. Cada uma entregou documento (Word + markdown) e, quando fazia sentido, código de referência executado e validado.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7526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Entregáveis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1 · Arquitetura</w:t>
            </w:r>
          </w:p>
        </w:tc>
        <w:tc>
          <w:tcPr>
            <w:tcW w:type="dxa" w:w="7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Etapa1_Arquitetura.docx + diagrama (requisitos, modelo de dados, LGPD)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2 · Player-instrumento</w:t>
            </w:r>
          </w:p>
        </w:tc>
        <w:tc>
          <w:tcPr>
            <w:tcW w:type="dxa" w:w="7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Etapa2_Player_Instrumento.docx + binaural_instrument.py + fft_validation.png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3 · UX / identidade</w:t>
            </w:r>
          </w:p>
        </w:tc>
        <w:tc>
          <w:tcPr>
            <w:tcW w:type="dxa" w:w="7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Etapa3_UX_Identidade.docx + mockups.png + flow.png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4 · Instrumentos / métricas</w:t>
            </w:r>
          </w:p>
        </w:tc>
        <w:tc>
          <w:tcPr>
            <w:tcW w:type="dxa" w:w="7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Etapa4_Instrumentos_Metricas.docx + instruments_scoring.py + dataflow.png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5 · Backend / segurança</w:t>
            </w:r>
          </w:p>
        </w:tc>
        <w:tc>
          <w:tcPr>
            <w:tcW w:type="dxa" w:w="7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Etapa5_Backend_Seguranca.docx + models.py + schema.sql + openapi.yaml + security_demo.py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6 · Recomendador</w:t>
            </w:r>
          </w:p>
        </w:tc>
        <w:tc>
          <w:tcPr>
            <w:tcW w:type="dxa" w:w="7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Etapa6_Recomendador.docx + recommender.py + flow6.png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7 · Análise / Research Center</w:t>
            </w:r>
          </w:p>
        </w:tc>
        <w:tc>
          <w:tcPr>
            <w:tcW w:type="dxa" w:w="75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Etapa7_Analise_ResearchCenter.docx + analysis_plan.py + analysis.png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Reafirmação de escopo. </w:t>
      </w:r>
      <w:r>
        <w:t xml:space="preserve">Todo o programa foi mantido no MVP do piloto de IC de 4 semanas (não na plataforma internacional maximalista da visão original) — por disciplina de engenharia. O app é ferramenta complementar; frequências binaurais são experimentais; e as menções regulatórias (SaMD/ANVISA) e de propriedade intelectual (INPI/NIT) são orientação de engenharia, não aconselhamento jurídico.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10. Registro de decisões (ADR) — incremento da Etapa 7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1000"/>
        <w:gridCol w:w="3400"/>
        <w:gridCol w:w="4626"/>
      </w:tblGrid>
      <w:tr>
        <w:trPr>
          <w:tblHeader/>
        </w:trPr>
        <w:tc>
          <w:tcPr>
            <w:tcW w:type="dxa" w:w="10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00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Decisão</w:t>
            </w:r>
          </w:p>
        </w:tc>
        <w:tc>
          <w:tcPr>
            <w:tcW w:type="dxa" w:w="4626"/>
            <w:shd w:fill="101A2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Justificativa (resumo)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ADR-037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Enquadramento CONSORT-piloto; primários de viabilidade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Relato honesto de piloto; não confundir com eficácia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ADR-038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Cegamento por índice de Bang (validado); James por ferramenta validada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Rigor: não reportar fórmula possivelmente incorreta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ADR-039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Critérios de progressão pré-especificados (semáforo)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Decisão transparente sobre seguir ao ensaio definitivo</w:t>
            </w:r>
          </w:p>
        </w:tc>
      </w:tr>
      <w:tr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ADR-040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Exploratórios como geradores de hipótese; α=5%; sem correção de multiplicidade, com cautela</w:t>
            </w:r>
          </w:p>
        </w:tc>
        <w:tc>
          <w:tcPr>
            <w:tcW w:type="dxa" w:w="4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sz w:val="19"/>
                <w:szCs w:val="19"/>
              </w:rPr>
              <w:t xml:space="preserve">Evita inferência confirmatória indevida em piloto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01A2B"/>
        </w:rPr>
        <w:t xml:space="preserve">11. Fundamentação</w:t>
      </w:r>
    </w:p>
    <w:p>
      <w:pPr>
        <w:spacing w:after="120" w:line="276"/>
      </w:pPr>
      <w:r>
        <w:t xml:space="preserve">O plano segue a extensão do CONSORT para pilotos (ELDRIDGE et al., 2016) e avalia o cegamento com o índice de Bang (BANG; NI; DAVIS, 2004), deferindo o índice de James a ferramenta validada (JAMES et al., 1996). A postura sobre frequências binaurais permanece a das etapas anteriores — intervenção experimental e complementar, com evidência limitada e heterogênea (XIONG et al., 2025; BASEANU et al., 2024) — razão pela qual os desfechos clínicos são exploratórios.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12. Próximos passos (além do MVP)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Submeter à Plataforma Brasil / CEP (Res. CNS 466/2012 e 510/2016), com o plano de análise e os critérios de progressão pré-registrados.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Executar o piloto; ao final, aplicar os critérios de progressão para decidir sobre o ensaio definitivo.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Se prosseguir, dimensionar o ensaio definitivo (poder para eficácia) a partir das estimativas do piloto.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Roadmap técnico já previsto: wearables (Health Connect/HealthKit), nuvem escalável, novas modalidades e, se e quando validado, um modelo de ML — sempre com humano no loop.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t xml:space="preserve">Formalizar propriedade intelectual e enquadramento regulatório com o NIT e assessoria jurídica.</w:t>
      </w:r>
    </w:p>
    <w:p>
      <w:pPr>
        <w:pStyle w:val="Heading1"/>
        <w:spacing w:after="120" w:before="260"/>
      </w:pPr>
      <w:r>
        <w:rPr>
          <w:b/>
          <w:bCs/>
          <w:color w:val="101A2B"/>
        </w:rPr>
        <w:t xml:space="preserve">Apêndice A — Núcleo do plano de análise</w:t>
      </w:r>
    </w:p>
    <w:p>
      <w:pPr>
        <w:spacing w:after="120" w:line="276"/>
      </w:pPr>
      <w:r>
        <w:t xml:space="preserve">Trechos centrais de analysis_plan.py (módulo completo entregue à parte).</w:t>
      </w:r>
    </w:p>
    <w:tbl>
      <w:tblPr>
        <w:tblW w:type="dxa" w:w="9026"/>
        <w:tblBorders>
          <w:top w:val="single" w:color="E1E7EC" w:sz="2"/>
          <w:left w:val="single" w:color="E1E7EC" w:sz="2"/>
          <w:bottom w:val="single" w:color="E1E7EC" w:sz="2"/>
          <w:right w:val="single" w:color="E1E7EC" w:sz="2"/>
          <w:insideH w:val="single" w:color="E1E7EC" w:sz="1"/>
          <w:insideV w:val="single" w:color="E1E7EC" w:sz="1"/>
        </w:tblBorders>
      </w:tblPr>
      <w:tblGrid>
        <w:gridCol w:w="9026"/>
      </w:tblGrid>
      <w:tr>
        <w:tc>
          <w:tcPr>
            <w:tcW w:type="dxa" w:w="9026"/>
            <w:shd w:fill="F1F3F6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def bang_blinding_index(n_correct, n_incorrect, n_dont_know):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n = n_correct + n_incorrect + n_dont_know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bi = (2*n_correct + n_dont_know)/n - 1        # [-1, 1]; 0 ~ cegamento mantido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return {'bang_bi': round(bi, 3), 'n': n}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def within_arm_change(pre, post):                 # seleção por normalidade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diff = np.array(post) - np.array(pre)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if stats.shapiro(diff).pvalue &gt; 0.05: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    st, test = stats.ttest_rel(post, pre), 't pareado'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else: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    st, test = stats.wilcoxon(post, pre), 'Wilcoxon'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20303C"/>
                <w:sz w:val="16"/>
                <w:szCs w:val="16"/>
              </w:rPr>
              <w:t xml:space="preserve">    return {'test': test, 'p_value': round(float(st.pvalue), 4)}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01A2B"/>
        </w:rPr>
        <w:t xml:space="preserve">Referências</w:t>
      </w:r>
    </w:p>
    <w:p>
      <w:pPr>
        <w:spacing w:after="120" w:line="276"/>
      </w:pPr>
      <w:r>
        <w:rPr>
          <w:i/>
          <w:iCs/>
          <w:color w:val="5A6B78"/>
          <w:sz w:val="18"/>
          <w:szCs w:val="18"/>
        </w:rPr>
        <w:t xml:space="preserve">Padrão ABNT NBR 6023.</w:t>
      </w:r>
    </w:p>
    <w:p>
      <w:pPr>
        <w:spacing w:after="120" w:line="264"/>
        <w:ind w:left="360" w:hanging="360"/>
      </w:pPr>
      <w:r>
        <w:rPr>
          <w:sz w:val="20"/>
          <w:szCs w:val="20"/>
        </w:rPr>
        <w:t xml:space="preserve">BANG, H.; NI, L.; DAVIS, C. E. Assessment of blinding in clinical trials. </w:t>
      </w:r>
      <w:r>
        <w:rPr>
          <w:i/>
          <w:iCs/>
          <w:sz w:val="20"/>
          <w:szCs w:val="20"/>
        </w:rPr>
        <w:t xml:space="preserve">Controlled Clinical Trials</w:t>
      </w:r>
      <w:r>
        <w:rPr>
          <w:sz w:val="20"/>
          <w:szCs w:val="20"/>
        </w:rPr>
        <w:t xml:space="preserve">, v. 25, n. 2, p. 143-156, 2004.</w:t>
      </w:r>
    </w:p>
    <w:p>
      <w:pPr>
        <w:spacing w:after="120" w:line="264"/>
        <w:ind w:left="360" w:hanging="360"/>
      </w:pPr>
      <w:r>
        <w:rPr>
          <w:sz w:val="20"/>
          <w:szCs w:val="20"/>
        </w:rPr>
        <w:t xml:space="preserve">BASEANU, I. C. C. </w:t>
      </w:r>
      <w:r>
        <w:rPr>
          <w:i/>
          <w:iCs/>
          <w:sz w:val="20"/>
          <w:szCs w:val="20"/>
        </w:rPr>
        <w:t xml:space="preserve">et al.</w:t>
      </w:r>
      <w:r>
        <w:rPr>
          <w:sz w:val="20"/>
          <w:szCs w:val="20"/>
        </w:rPr>
        <w:t xml:space="preserve"> The Efficiency of Binaural Beats on Anxiety and Depression: a systematic review. </w:t>
      </w:r>
      <w:r>
        <w:rPr>
          <w:i/>
          <w:iCs/>
          <w:sz w:val="20"/>
          <w:szCs w:val="20"/>
        </w:rPr>
        <w:t xml:space="preserve">Applied Sciences</w:t>
      </w:r>
      <w:r>
        <w:rPr>
          <w:sz w:val="20"/>
          <w:szCs w:val="20"/>
        </w:rPr>
        <w:t xml:space="preserve">, v. 14, n. 13, art. 5675, 2024. DOI: 10.3390/app14135675.</w:t>
      </w:r>
    </w:p>
    <w:p>
      <w:pPr>
        <w:spacing w:after="120" w:line="264"/>
        <w:ind w:left="360" w:hanging="360"/>
      </w:pPr>
      <w:r>
        <w:rPr>
          <w:sz w:val="20"/>
          <w:szCs w:val="20"/>
        </w:rPr>
        <w:t xml:space="preserve">ELDRIDGE, S. M. </w:t>
      </w:r>
      <w:r>
        <w:rPr>
          <w:i/>
          <w:iCs/>
          <w:sz w:val="20"/>
          <w:szCs w:val="20"/>
        </w:rPr>
        <w:t xml:space="preserve">et al.</w:t>
      </w:r>
      <w:r>
        <w:rPr>
          <w:sz w:val="20"/>
          <w:szCs w:val="20"/>
        </w:rPr>
        <w:t xml:space="preserve"> CONSORT 2010 statement: extension to randomised pilot and feasibility trials. </w:t>
      </w:r>
      <w:r>
        <w:rPr>
          <w:i/>
          <w:iCs/>
          <w:sz w:val="20"/>
          <w:szCs w:val="20"/>
        </w:rPr>
        <w:t xml:space="preserve">BMJ</w:t>
      </w:r>
      <w:r>
        <w:rPr>
          <w:sz w:val="20"/>
          <w:szCs w:val="20"/>
        </w:rPr>
        <w:t xml:space="preserve">, v. 355, art. i5239, 2016. DOI: 10.1136/bmj.i5239.</w:t>
      </w:r>
    </w:p>
    <w:p>
      <w:pPr>
        <w:spacing w:after="120" w:line="264"/>
        <w:ind w:left="360" w:hanging="360"/>
      </w:pPr>
      <w:r>
        <w:rPr>
          <w:sz w:val="20"/>
          <w:szCs w:val="20"/>
        </w:rPr>
        <w:t xml:space="preserve">JAMES, K. E. </w:t>
      </w:r>
      <w:r>
        <w:rPr>
          <w:i/>
          <w:iCs/>
          <w:sz w:val="20"/>
          <w:szCs w:val="20"/>
        </w:rPr>
        <w:t xml:space="preserve">et al.</w:t>
      </w:r>
      <w:r>
        <w:rPr>
          <w:sz w:val="20"/>
          <w:szCs w:val="20"/>
        </w:rPr>
        <w:t xml:space="preserve"> An index for assessing blindness in a multi-centre clinical trial. </w:t>
      </w:r>
      <w:r>
        <w:rPr>
          <w:i/>
          <w:iCs/>
          <w:sz w:val="20"/>
          <w:szCs w:val="20"/>
        </w:rPr>
        <w:t xml:space="preserve">Statistics in Medicine</w:t>
      </w:r>
      <w:r>
        <w:rPr>
          <w:sz w:val="20"/>
          <w:szCs w:val="20"/>
        </w:rPr>
        <w:t xml:space="preserve">, v. 15, 1996. (Conferir volume/páginas na fonte primária.)</w:t>
      </w:r>
    </w:p>
    <w:p>
      <w:pPr>
        <w:spacing w:after="120" w:line="264"/>
        <w:ind w:left="360" w:hanging="360"/>
      </w:pPr>
      <w:r>
        <w:rPr>
          <w:sz w:val="20"/>
          <w:szCs w:val="20"/>
        </w:rPr>
        <w:t xml:space="preserve">XIONG, J. </w:t>
      </w:r>
      <w:r>
        <w:rPr>
          <w:i/>
          <w:iCs/>
          <w:sz w:val="20"/>
          <w:szCs w:val="20"/>
        </w:rPr>
        <w:t xml:space="preserve">et al.</w:t>
      </w:r>
      <w:r>
        <w:rPr>
          <w:sz w:val="20"/>
          <w:szCs w:val="20"/>
        </w:rPr>
        <w:t xml:space="preserve"> Binaural beats for perioperative anxiety and pain: a systematic review and meta-analysis. </w:t>
      </w:r>
      <w:r>
        <w:rPr>
          <w:i/>
          <w:iCs/>
          <w:sz w:val="20"/>
          <w:szCs w:val="20"/>
        </w:rPr>
        <w:t xml:space="preserve">Complementary Therapies in Medicine</w:t>
      </w:r>
      <w:r>
        <w:rPr>
          <w:sz w:val="20"/>
          <w:szCs w:val="20"/>
        </w:rPr>
        <w:t xml:space="preserve">, v. 95, art. 103299, 2025. DOI: 10.1016/j.ctim.2025.103299.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78"/>
        <w:sz w:val="16"/>
        <w:szCs w:val="16"/>
      </w:rPr>
      <w:t xml:space="preserve">Página </w:t>
    </w:r>
    <w:r>
      <w:rPr>
        <w:color w:val="5A6B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B78"/>
        <w:sz w:val="16"/>
        <w:szCs w:val="16"/>
      </w:rPr>
      <w:t xml:space="preserve"> de </w:t>
    </w:r>
    <w:r>
      <w:rPr>
        <w:color w:val="5A6B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B78"/>
        <w:sz w:val="16"/>
        <w:szCs w:val="16"/>
      </w:rPr>
      <w:t xml:space="preserve">Sereno — Análise e Research Center · Etapa 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b/>
      <w:bCs/>
      <w:color w:val="101A2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b/>
      <w:bCs/>
      <w:color w:val="1B4B5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74f26c4b1ae2729b47d1ecb6820560d9d274c7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2026-07-02T23:15:21.481Z</dcterms:created>
  <dcterms:modified xsi:type="dcterms:W3CDTF">2026-07-02T23:15:21.493Z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