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01A2B"/>
          <w:sz w:val="40"/>
          <w:szCs w:val="40"/>
        </w:rPr>
        <w:t xml:space="preserve">Sereno — Plataforma de Neuromodulação Não Invasiva</w:t>
      </w:r>
    </w:p>
    <w:p>
      <w:pPr>
        <w:spacing w:after="200"/>
      </w:pPr>
      <w:r>
        <w:rPr>
          <w:b/>
          <w:bCs/>
          <w:color w:val="1B4B5A"/>
          <w:sz w:val="30"/>
          <w:szCs w:val="30"/>
        </w:rPr>
        <w:t xml:space="preserve">DOCUMENTO-ÍNDICE CONSOLIDADO</w:t>
      </w:r>
    </w:p>
    <w:p>
      <w:pPr>
        <w:spacing w:after="40"/>
      </w:pPr>
      <w:r>
        <w:rPr>
          <w:i/>
          <w:iCs/>
          <w:color w:val="5A6B78"/>
          <w:sz w:val="20"/>
          <w:szCs w:val="20"/>
        </w:rPr>
        <w:t xml:space="preserve">Síntese das sete etapas de arquitetura e implementação do MVP para o estudo-piloto de iniciação científica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600"/>
        <w:gridCol w:w="6426"/>
      </w:tblGrid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Aplicativo de neuromodulação não invasiva (frequências binaurais) instrumentando um piloto randomizado e controlado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Instituição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Centro Universitário INTA (UNINTA) — Sobral, Ceará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Orientação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Dra. Bianca Régia Silva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Flutter/Dart (cliente) · Python/FastAPI (backend) · PostgreSQL · Redis + worker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Índice consolidado — v1.0 (referencia os documentos das Etapas 1 a 7)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E3F1F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01A2B"/>
              </w:rPr>
              <w:t xml:space="preserve">Aviso de escopo e uso</w:t>
            </w:r>
          </w:p>
          <w:p>
            <w:pPr>
              <w:spacing w:after="0" w:line="268"/>
            </w:pPr>
            <w:r>
              <w:t xml:space="preserve">Ferramenta complementar de bem-estar e pesquisa; não substitui avaliação, diagnóstico ou tratamento profissional. Frequências binaurais são intervenção experimental, com evidência limitada e heterogênea. Trata-se de um piloto de viabilidade, não dimensionado para eficácia. As menções à LGPD, à ANVISA (SaMD) e à propriedade intelectual são orientação de engenharia/metodologia, não aconselhamento jurídico.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b/>
          <w:bCs/>
          <w:color w:val="101A2B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1. Propósito deste documento</w:t>
      </w:r>
    </w:p>
    <w:p>
      <w:pPr>
        <w:spacing w:after="120" w:line="276"/>
      </w:pPr>
      <w:r>
        <w:t xml:space="preserve">Este documento consolida, em um único arquivo, o programa de sete etapas que projetou e implementou de referência o MVP do aplicativo. Ele serve como mapa de leitura: resume cada etapa, mostra como elas se encaixam, reúne as decisões-chave e aponta os artefatos (documentos e código) de cada uma. Os documentos completos de cada etapa permanecem como fontes detalhadas.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2. Visão geral do projeto</w:t>
      </w:r>
    </w:p>
    <w:p>
      <w:pPr>
        <w:spacing w:after="120" w:line="276"/>
      </w:pPr>
      <w:r>
        <w:t xml:space="preserve">O objetivo do MVP é servir de instrumento a um estudo-piloto de iniciação científica: randomizado, controlado, duplo-cego, com N≈40 estudantes/servidores universitários (18+), 4 semanas, 5 sessões/semana de ~20 min, com sintomas leves-moderados de ansiedade e/ou sono. O app entrega o estímulo (frequências binaurais) como um instrumento de medida, coleta desfechos por instrumentos validados e mantém o cegamento — do consentimento à exportação dos dados para análise.</w:t>
      </w:r>
    </w:p>
    <w:p>
      <w:pPr>
        <w:spacing w:after="120" w:line="276"/>
      </w:pPr>
      <w:r>
        <w:rPr>
          <w:b/>
          <w:bCs/>
        </w:rPr>
        <w:t xml:space="preserve">Disciplina de escopo. </w:t>
      </w:r>
      <w:r>
        <w:t xml:space="preserve">A visão de longo prazo (plataforma internacional ampla) foi deliberadamente deixada de lado em favor de um MVP bem delimitado e executável — coerente com o princípio de preferir a simplicidade suficiente à complexidade prematura. As “costuras” para crescer (wearables, nuvem, novas modalidades, ML) ficaram previstas, mas fora do MVP.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3. As três correções metodológicas que sustentam o estudo</w:t>
      </w:r>
    </w:p>
    <w:p>
      <w:pPr>
        <w:spacing w:after="120" w:line="276"/>
      </w:pPr>
      <w:r>
        <w:t xml:space="preserve">Antes de construir, três ajustes foram acordados para dar validade ao piloto: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Duplo-cego com sham ativo: o placebo reproduz o mesmo som, duração e volume, sem a diferença interaural terapêutica (Δf = 0) — só o batimento binaural distingue os braços.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GAD-7 no lugar da HAM-A: instrumento de ansiedade autoaplicável e validado, no lugar de um hetero-aplicado por clínico — mais escalável e adequado ao app.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Recomendador por regras, não “IA que aprende”: seleção transparente e auditável dentro de protocolos validados; dados registrados para um ML futuro, sem overclaim.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4. Percurso das sete etapas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Etapa 1 — Arquitetura, requisitos e modelo de dados</w:t>
      </w:r>
    </w:p>
    <w:p>
      <w:pPr>
        <w:spacing w:after="120" w:line="276"/>
      </w:pPr>
      <w:r>
        <w:t xml:space="preserve">Definiu o escopo do MVP, os requisitos funcionais e não funcionais, o mapeamento requisito↔desfecho (cada desfecho do estudo ligado ao dado que o mede), a arquitetura de alto nível (monólito modular, em vez de microserviços), o modelo de dados e o plano de LGPD/segurança. Fixou também a postura de evidência (experimental e complementar) e sinalizou o enquadramento regulatório (SaMD/ANVISA).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Etapa 2 — O player como instrumento científico</w:t>
      </w:r>
    </w:p>
    <w:p>
      <w:pPr>
        <w:spacing w:after="120" w:line="276"/>
      </w:pPr>
      <w:r>
        <w:t xml:space="preserve">Especificou e validou o estímulo: síntese determinística offline, validada por FFT e empacotada como biblioteca de áudio sem perdas, reproduzida bit-a-bit (não síntese em tempo real). Desenhou o sham ativo (Δf = 0), os requisitos de fidelidade (sem reamostragem/DSP, estéreo real, cuidado com Bluetooth) e a ocultação de alocação no app. Prova executada: picos de FFT exatos e pureza espectral.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Etapa 3 — UX, fluxo de telas e identidade visual</w:t>
      </w:r>
    </w:p>
    <w:p>
      <w:pPr>
        <w:spacing w:after="120" w:line="276"/>
      </w:pPr>
      <w:r>
        <w:t xml:space="preserve">Estabeleceu a identidade “noturna e calma”, o fluxo de telas e os mockups das telas principais. Amarrou design e método: interface da sessão idêntica nos dois braços e visualização ambiente NÃO reativa ao áudio (um visualizador reativo quebraria o cegamento). Priorizou baixa fricção (adesão) e acessibilidade (WCAG AA).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Etapa 4 — Instrumentos digitais e métricas</w:t>
      </w:r>
    </w:p>
    <w:p>
      <w:pPr>
        <w:spacing w:after="120" w:line="276"/>
      </w:pPr>
      <w:r>
        <w:t xml:space="preserve">Digitalizou e pontuou automaticamente PSQI, GAD-7 e SUS (com versionamento), o diário de sono, a telemetria de adesão e a exportação pseudonimizada com braço codificado. Registrou a nota de direitos dos instrumentos (versões validadas em português; PSQI licenciado). Prova executada: escores conferidos contra cálculo manual.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Etapa 5 — Backend, banco de dados e segurança</w:t>
      </w:r>
    </w:p>
    <w:p>
      <w:pPr>
        <w:spacing w:after="120" w:line="276"/>
      </w:pPr>
      <w:r>
        <w:t xml:space="preserve">Detalhou o modelo físico do PostgreSQL (gerado de modelos e validado), a API REST /v1 com contrato OpenAPI (validado), autenticação com argon2id + JWT + MFA, RBAC, criptografia, auditoria append-only, LGPD operacional e processamento assíncrono. Prova executada: 15 tabelas/118 colunas; OpenAPI válido; argon2/MFA/JWT/RBAC — nenhuma permissão revela o braço.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Etapa 6 — Motor de recomendação por regras</w:t>
      </w:r>
    </w:p>
    <w:p>
      <w:pPr>
        <w:spacing w:after="120" w:line="276"/>
      </w:pPr>
      <w:r>
        <w:t xml:space="preserve">Implementou o recomendador transparente e versionado, que seleciona apenas dentro da biblioteca validada, com guardrails de segurança (contraindicação; de-escalonamento por evento adverso/baixa tolerabilidade), registro completo entrada→regra→saída e instrumentação para ML futuro. É idêntico nos dois braços (blinding-safe). Prova executada: regras, guardrails e invariantes.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Etapa 7 — Plano de análise e Research Center</w:t>
      </w:r>
    </w:p>
    <w:p>
      <w:pPr>
        <w:spacing w:after="120" w:line="276"/>
      </w:pPr>
      <w:r>
        <w:t xml:space="preserve">Definiu o plano de análise sob a extensão CONSORT para pilotos (primários de viabilidade; ansiedade/sono exploratórios), a integridade do cegamento (índice de Bang validado; James por ferramenta validada), os critérios de progressão em semáforo e o Research Center mínimo. Prova executada: âncoras de Bang; IC95% de Wilson; seleção de teste por normalidade.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5. Índice de artefatos por etapa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0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45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 / figuras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1 · Arquitetura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Etapa1_Arquitetura.docx</w:t>
            </w:r>
          </w:p>
        </w:tc>
        <w:tc>
          <w:tcPr>
            <w:tcW w:type="dxa" w:w="4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diagrama de arquitetura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2 · Player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Etapa2_Player_Instrumento.docx</w:t>
            </w:r>
          </w:p>
        </w:tc>
        <w:tc>
          <w:tcPr>
            <w:tcW w:type="dxa" w:w="4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binaural_instrument.py · fft_validation.png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3 · UX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Etapa3_UX_Identidade.docx</w:t>
            </w:r>
          </w:p>
        </w:tc>
        <w:tc>
          <w:tcPr>
            <w:tcW w:type="dxa" w:w="4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mockups.png · flow.png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4 · Instrumentos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Etapa4_Instrumentos_Metricas.docx</w:t>
            </w:r>
          </w:p>
        </w:tc>
        <w:tc>
          <w:tcPr>
            <w:tcW w:type="dxa" w:w="4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instruments_scoring.py · dataflow.png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5 · Backend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Etapa5_Backend_Seguranca.docx</w:t>
            </w:r>
          </w:p>
        </w:tc>
        <w:tc>
          <w:tcPr>
            <w:tcW w:type="dxa" w:w="4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models.py · schema.sql · openapi.yaml · security_demo.py · backend.png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6 · Recomendador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Etapa6_Recomendador.docx</w:t>
            </w:r>
          </w:p>
        </w:tc>
        <w:tc>
          <w:tcPr>
            <w:tcW w:type="dxa" w:w="4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recommender.py · flow6.png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7 · Análise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Etapa7_Analise_ResearchCenter.docx</w:t>
            </w:r>
          </w:p>
        </w:tc>
        <w:tc>
          <w:tcPr>
            <w:tcW w:type="dxa" w:w="4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analysis_plan.py · analysis.png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6. Decisões arquiteturais (ADR) — visão consolidada</w:t>
      </w:r>
    </w:p>
    <w:p>
      <w:pPr>
        <w:spacing w:after="120" w:line="276"/>
      </w:pPr>
      <w:r>
        <w:t xml:space="preserve">Quarenta decisões foram registradas ao longo das etapas. As mais estruturantes: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75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Arquitetura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Monólito modular (não microserviços); distribuir só com carga real (ADR-001)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Cliente / Backend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Flutter/Dart + Python/FastAPI; PostgreSQL + SQLAlchemy/Alembic (ADR-002 a 004, 024)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Estímulo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Síntese offline validada por FFT + reprodução bit-a-bit; áudio sem perdas (ADR-012, 013)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Cegamento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Sham Δf=0; visualização não reativa; braço codificado + chave selada (ADR-007, 014, 020, 027)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Instrumentos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GAD-7 no lugar da HAM-A; escores versionados (ADR-008)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argon2id + JWT + MFA; RBAC; auditoria append-only; problem+json (ADR-028 a 031)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Recomendador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Regras (não ML); seleção só na biblioteca validada; guardrails primeiro (ADR-032 a 036)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Análise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CONSORT-piloto; Bang validado (James por ferramenta); critérios de progressão (ADR-037 a 040)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7. Postura científica e limitações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Evidência das frequências binaurais é limitada e heterogênea; a mais robusta refere-se à ansiedade aguda/procedural, com heterogeneidade alta. Efeitos em insônia/ansiedade crônica em uso domiciliar são preliminares.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Por isso o piloto é de viabilidade; ansiedade e sono são exploratórios (geradores de hipótese), não conclusões de eficácia.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Associações banda↔estado (alfa/teta/delta) são convencionais, não comprovadas para binaural; o recomendador as trata como heurística.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Mecanismo de arrastamento cortical é contestado — o que reforça a necessidade do sham ativo e do cegamento.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8. Pendências fora da engenharia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Aprovação ética (Plataforma Brasil / CEP; Res. CNS 466/2012 e 510/2016) antes de qualquer coleta.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Conformidade jurídica da LGPD (RIPD, encarregado) e, se um dia houver produto, enquadramento SaMD/ANVISA — com assessoria especializada.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Propriedade intelectual (registro de software no INPI; postura de patente/segredo) com o Núcleo de Inovação Tecnológica (NIT).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Licenciamento dos instrumentos (em especial o PSQI) e uso das versões validadas em português.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Pré-especificação e “congelamento”, no protocolo, dos limiares de progressão, da versão do conjunto de regras e da versão dos escores.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9. Próximos passos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Submeter o protocolo ao CEP com o plano de análise e os critérios de progressão pré-registrados (ver o roteiro de submissão que acompanha este índice).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Implementar o MVP conforme as etapas; usar os módulos de referência como base dos testes.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Executar o piloto; aplicar os critérios de progressão para decidir sobre o ensaio definitivo.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Se prosseguir, dimensionar o ensaio definitivo (poder para eficácia) a partir das estimativas do piloto.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8"/>
        <w:sz w:val="16"/>
        <w:szCs w:val="16"/>
      </w:rPr>
      <w:t xml:space="preserve">Página </w:t>
    </w:r>
    <w:r>
      <w:rPr>
        <w:color w:val="5A6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78"/>
        <w:sz w:val="16"/>
        <w:szCs w:val="16"/>
      </w:rPr>
      <w:t xml:space="preserve"> de </w:t>
    </w:r>
    <w:r>
      <w:rPr>
        <w:color w:val="5A6B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78"/>
        <w:sz w:val="16"/>
        <w:szCs w:val="16"/>
      </w:rPr>
      <w:t xml:space="preserve">Sereno — Documento-índice consolidado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101A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1B4B5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2026-07-03T11:04:28.244Z</dcterms:created>
  <dcterms:modified xsi:type="dcterms:W3CDTF">2026-07-03T11:04:28.258Z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