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01A2B"/>
          <w:sz w:val="38"/>
          <w:szCs w:val="38"/>
        </w:rPr>
        <w:t xml:space="preserve">Sereno — Neuromodulação Não Invasiva (piloto de IC)</w:t>
      </w:r>
    </w:p>
    <w:p>
      <w:pPr>
        <w:spacing w:after="200"/>
      </w:pPr>
      <w:r>
        <w:rPr>
          <w:b/>
          <w:bCs/>
          <w:color w:val="1B4B5A"/>
          <w:sz w:val="30"/>
          <w:szCs w:val="30"/>
        </w:rPr>
        <w:t xml:space="preserve">ROTEIRO DE SUBMISSÃO AO CEP</w:t>
      </w:r>
    </w:p>
    <w:p>
      <w:pPr>
        <w:spacing w:after="40"/>
      </w:pPr>
      <w:r>
        <w:rPr>
          <w:i/>
          <w:iCs/>
          <w:color w:val="5A6B78"/>
          <w:sz w:val="20"/>
          <w:szCs w:val="20"/>
        </w:rPr>
        <w:t xml:space="preserve">Estrutura do protocolo · esqueleto do TCLE · plano de análise — guia para a submissão via Plataforma Brasil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2600"/>
        <w:gridCol w:w="6426"/>
      </w:tblGrid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Natureza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Guia/roteiro para preparar a submissão — não substitui os modelos e exigências do CEP local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Base normativa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Res. CNS 466/2012 e 510/2016; Plataforma Brasil; LGPD (Lei 13.709/2018)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Estudo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Piloto randomizado, controlado, duplo-cego; N≈40; 4 semanas; app de frequências binaurais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Roteiro de submissão — v1.0</w:t>
            </w:r>
          </w:p>
        </w:tc>
      </w:tr>
    </w:tbl>
    <w:p>
      <w:pPr>
        <w:spacing w:after="160" w:before="160"/>
      </w:pP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9026"/>
      </w:tblGrid>
      <w:tr>
        <w:tc>
          <w:tcPr>
            <w:tcW w:type="dxa" w:w="9026"/>
            <w:shd w:fill="E3F1F3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01A2B"/>
              </w:rPr>
              <w:t xml:space="preserve">Importante</w:t>
            </w:r>
          </w:p>
          <w:p>
            <w:pPr>
              <w:spacing w:after="0" w:line="268"/>
            </w:pPr>
            <w:r>
              <w:t xml:space="preserve">Este é um guia de engenharia/metodologia, não aconselhamento jurídico. Cada CEP tem modelos e exigências próprios: valide tudo com a orientadora e com o CEP da instituição antes de submeter. Os esqueletos são rascunhos a adaptar, não documentos finais.</w:t>
            </w:r>
          </w:p>
        </w:tc>
      </w:tr>
    </w:tbl>
    <w:p>
      <w:r>
        <w:br w:type="page"/>
      </w:r>
    </w:p>
    <w:p>
      <w:pPr>
        <w:pStyle w:val="Heading1"/>
        <w:spacing w:after="120" w:before="120"/>
      </w:pPr>
      <w:r>
        <w:rPr>
          <w:b/>
          <w:bCs/>
          <w:color w:val="101A2B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1. Objetivo e como usar este roteiro</w:t>
      </w:r>
    </w:p>
    <w:p>
      <w:pPr>
        <w:spacing w:after="120" w:line="276"/>
      </w:pPr>
      <w:r>
        <w:t xml:space="preserve">Este documento organiza o que é preciso preparar para submeter o estudo-piloto ao Comitê de Ética em Pesquisa (CEP), via Plataforma Brasil. Ele reúne a estrutura do protocolo, um esqueleto de TCLE e a síntese do plano de análise. Não substitui os modelos do CEP local nem a revisão da orientadora — serve para acelerar e não deixar lacunas.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2. Onde submeter e base normativa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Submissão pela Plataforma Brasil; avaliação pelo CEP da instituição (e CONEP, se aplicável a áreas específicas).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Base: Resolução CNS 466/2012 (pesquisa com seres humanos) e 510/2016; proteção de dados pela LGPD (Lei 13.709/2018).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A Folha de Rosto é gerada pela Plataforma Brasil e assinada pela instituição proponente.</w:t>
      </w:r>
    </w:p>
    <w:p>
      <w:pPr>
        <w:spacing w:after="120" w:line="276"/>
      </w:pPr>
      <w:r>
        <w:rPr>
          <w:b/>
          <w:bCs/>
        </w:rPr>
        <w:t xml:space="preserve">Registro do ensaio: </w:t>
      </w:r>
      <w:r>
        <w:t xml:space="preserve">recomenda-se registrar o ensaio no ReBEC (Registro Brasileiro de Ensaios Clínicos) — boa prática alinhada ao CONSORT e exigida por muitos periódicos.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3. Documentos da submissão (checklist)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48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Folha de rosto (Plataforma Brasil)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Gerada no sistema; assinada pela instituição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Projeto detalhado (protocolo)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Ver estrutura na seção 4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TCLE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Ver esqueleto na seção 5; duas vias, rubricadas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Instrumentos de coleta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PSQI, GAD-7, SUS (versões validadas em PT-BR) + telas do app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Cronograma e orçamento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Fases, prazos e financiamento/custeio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Anuência da instituição / coparticipante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Declarações de infraestrutura e concordância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Currículo (Lattes) do pesquisador e orientadora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Conforme exigência do CEP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Declarações do pesquisador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Sigilo, uso de dados, destino do material, LGPD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4. Estrutura do protocolo (projeto detalhado)</w:t>
      </w:r>
    </w:p>
    <w:p>
      <w:pPr>
        <w:spacing w:after="120" w:line="276"/>
      </w:pPr>
      <w:r>
        <w:t xml:space="preserve">Seções recomendadas, já preenchidas com as decisões do projeto (a detalhar com a orientadora):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Seção</w:t>
            </w:r>
          </w:p>
        </w:tc>
        <w:tc>
          <w:tcPr>
            <w:tcW w:type="dxa" w:w="64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Título e resumo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Título; resumo estruturado; palavras-chave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Introdução e justificativa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Ansiedade/insônia em universitários; frequências binaurais como intervenção experimental complementar; lacuna e relevância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Hipótese e objetivos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Objetivo primário: viabilidade/adesão/usabilidade/segurança. Secundários (exploratórios): ansiedade (GAD-7) e sono (PSQI)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Desenho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Piloto randomizado, controlado, duplo-cego, com sham ativo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População e amostra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N≈40; 18+; vínculo institucional; sintomas leves-moderados; justificativa do tamanho (piloto de viabilidade)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Critérios de inclusão/exclusão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Inclusão: idade, sintomas, smartphone e fones estéreo. Exclusão: epilepsia/crises não controladas, ideação suicida ativa, uso conflitante, etc.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Randomização e cegamento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Blocos permutados 1:1; alocação oculta no servidor (handle neutro); participante, avaliação e análise cegos; item de integridade do cegamento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Intervenção e controle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Frequências binaurais (alfa/teta/delta) × sham ativo (Δf=0), mesmo veículo/duração/volume; ~20 min, 5×/sem, 4 semanas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Desfechos e instrumentos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Viabilidade/adesão (telemetria), usabilidade (SUS), segurança (eventos adversos), ansiedade (GAD-7), sono (PSQI + diário)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Coleta de dados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No app; pontuação automática versionada; exportação pseudonimizada com braço codificado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Análise estatística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Ver seção 6 (descritivos + IC95%; Bang; exploratórios por normalidade; α=5%)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Riscos e benefícios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Ver seção 7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Aspectos éticos e LGPD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Consentimento, sigilo, minimização, criptografia, direitos do titular, retenção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Cronograma, orçamento, referências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Fases; custeio; referências em ABNT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5. Esqueleto do TCLE</w:t>
      </w:r>
    </w:p>
    <w:p>
      <w:pPr>
        <w:spacing w:after="120" w:line="276"/>
      </w:pPr>
      <w:r>
        <w:rPr>
          <w:b/>
          <w:bCs/>
        </w:rPr>
        <w:t xml:space="preserve">MODELO/RASCUNHO — adaptar com a orientadora e ao modelo do CEP. </w:t>
      </w:r>
      <w:r>
        <w:t xml:space="preserve">A Resolução 466/2012 exige, em linguagem acessível, os elementos abaixo. Placeholders entre colchetes.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9026"/>
      </w:tblGrid>
      <w:tr>
        <w:tc>
          <w:tcPr>
            <w:tcW w:type="dxa" w:w="9026"/>
            <w:shd w:fill="FBF6E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20" w:line="268"/>
            </w:pPr>
            <w:r>
              <w:rPr>
                <w:b/>
                <w:bCs/>
                <w:color w:val="3A3A2E"/>
                <w:sz w:val="20"/>
                <w:szCs w:val="20"/>
              </w:rPr>
              <w:t xml:space="preserve">TERMO DE CONSENTIMENTO LIVRE E ESCLARECIDO (TCLE)</w:t>
            </w:r>
          </w:p>
          <w:p>
            <w:pPr>
              <w:spacing w:after="120" w:line="268"/>
            </w:pPr>
            <w:r>
              <w:rPr>
                <w:color w:val="3A3A2E"/>
                <w:sz w:val="20"/>
                <w:szCs w:val="20"/>
              </w:rPr>
              <w:t xml:space="preserve">Você está sendo convidado(a) a participar da pesquisa “[título]”, sob responsabilidade de [pesquisador] e orientação de [orientadora], da [instituição]. Leia com atenção; sua participação é voluntária.</w:t>
            </w:r>
          </w:p>
          <w:p>
            <w:pPr>
              <w:spacing w:after="100" w:line="268"/>
            </w:pPr>
            <w:r>
              <w:rPr>
                <w:color w:val="3A3A2E"/>
                <w:sz w:val="20"/>
                <w:szCs w:val="20"/>
              </w:rPr>
              <w:t xml:space="preserve">Justificativa e objetivos. Esta pesquisa avalia a viabilidade de um aplicativo que usa frequências binaurais (sons) como apoio ao relaxamento e ao sono. É uma ferramenta complementar e experimental; não substitui avaliação ou tratamento de saúde.</w:t>
            </w:r>
          </w:p>
          <w:p>
            <w:pPr>
              <w:spacing w:after="100" w:line="268"/>
            </w:pPr>
            <w:r>
              <w:rPr>
                <w:color w:val="3A3A2E"/>
                <w:sz w:val="20"/>
                <w:szCs w:val="20"/>
              </w:rPr>
              <w:t xml:space="preserve">Procedimentos. Se aceitar, você responderá questionários iniciais e, por 4 semanas, fará sessões de áudio de cerca de 20 minutos, 5 vezes por semana, usando fones de ouvido, além de um breve diário e questionários ao final. Você será alocado(a), por sorteio, a um de dois grupos de som; nem você nem a equipe saberão qual, até o fim do estudo.</w:t>
            </w:r>
          </w:p>
          <w:p>
            <w:pPr>
              <w:spacing w:after="100" w:line="268"/>
            </w:pPr>
            <w:r>
              <w:rPr>
                <w:color w:val="3A3A2E"/>
                <w:sz w:val="20"/>
                <w:szCs w:val="20"/>
              </w:rPr>
              <w:t xml:space="preserve">Desconfortos e riscos. Os riscos são baixos: possível desconforto auditivo se o volume estiver alto (há limite e orientação), leve cansaço ou dor de cabeça. Você pode interromper uma sessão a qualquer momento. [Descrever conduta em caso de desconforto e encaminhamento.]</w:t>
            </w:r>
          </w:p>
          <w:p>
            <w:pPr>
              <w:spacing w:after="100" w:line="268"/>
            </w:pPr>
            <w:r>
              <w:rPr>
                <w:color w:val="3A3A2E"/>
                <w:sz w:val="20"/>
                <w:szCs w:val="20"/>
              </w:rPr>
              <w:t xml:space="preserve">Benefícios. Você pode ou não perceber benefício direto. A pesquisa contribui para o conhecimento sobre tecnologias de apoio ao bem-estar.</w:t>
            </w:r>
          </w:p>
          <w:p>
            <w:pPr>
              <w:spacing w:after="100" w:line="268"/>
            </w:pPr>
            <w:r>
              <w:rPr>
                <w:color w:val="3A3A2E"/>
                <w:sz w:val="20"/>
                <w:szCs w:val="20"/>
              </w:rPr>
              <w:t xml:space="preserve">Sigilo e proteção de dados (LGPD). Seus dados serão tratados de forma confidencial e pseudonimizada; o acesso é restrito à equipe; os resultados serão divulgados sem identificar você. [Descrever armazenamento, retenção e seus direitos de acesso, correção e eliminação.]</w:t>
            </w:r>
          </w:p>
          <w:p>
            <w:pPr>
              <w:spacing w:after="100" w:line="268"/>
            </w:pPr>
            <w:r>
              <w:rPr>
                <w:color w:val="3A3A2E"/>
                <w:sz w:val="20"/>
                <w:szCs w:val="20"/>
              </w:rPr>
              <w:t xml:space="preserve">Voluntariedade e retirada. Sua participação é livre; você pode recusar ou retirar o consentimento a qualquer momento, sem qualquer prejuízo.</w:t>
            </w:r>
          </w:p>
          <w:p>
            <w:pPr>
              <w:spacing w:after="100" w:line="268"/>
            </w:pPr>
            <w:r>
              <w:rPr>
                <w:color w:val="3A3A2E"/>
                <w:sz w:val="20"/>
                <w:szCs w:val="20"/>
              </w:rPr>
              <w:t xml:space="preserve">Ressarcimento e indenização. [Descrever ressarcimento de eventuais despesas e a garantia de indenização por danos decorrentes da pesquisa, conforme a Res. 466/2012.]</w:t>
            </w:r>
          </w:p>
          <w:p>
            <w:pPr>
              <w:spacing w:after="100" w:line="268"/>
            </w:pPr>
            <w:r>
              <w:rPr>
                <w:color w:val="3A3A2E"/>
                <w:sz w:val="20"/>
                <w:szCs w:val="20"/>
              </w:rPr>
              <w:t xml:space="preserve">Contatos. Pesquisador(a): [nome, telefone, e-mail]. Comitê de Ética em Pesquisa (CEP) da [instituição]: [endereço, telefone, e-mail].</w:t>
            </w:r>
          </w:p>
          <w:p>
            <w:pPr>
              <w:spacing w:after="40" w:line="268"/>
            </w:pPr>
            <w:r>
              <w:rPr>
                <w:color w:val="3A3A2E"/>
                <w:sz w:val="20"/>
                <w:szCs w:val="20"/>
              </w:rPr>
              <w:t xml:space="preserve">Consentimento. Declaro que li/entendi as informações e concordo em participar. Recebo uma via deste termo. [Assinatura do participante e do pesquisador; rubrica em todas as páginas; data.]</w:t>
            </w:r>
          </w:p>
        </w:tc>
      </w:tr>
    </w:tbl>
    <w:p>
      <w:pPr>
        <w:spacing w:after="120" w:line="276"/>
      </w:pPr>
      <w:r>
        <w:rPr>
          <w:color w:val="5A6B78"/>
          <w:sz w:val="19"/>
          <w:szCs w:val="19"/>
        </w:rPr>
        <w:t xml:space="preserve">No app, o TCLE é apresentado de forma eletrônica (Etapa 3), com registro de versão, data/hora e aceite, e opção de revogação — o que deve ser descrito ao CEP, mantendo a via/registro conforme exigido.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6. Plano de análise (síntese para o CEP)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Primários (viabilidade, adesão, usabilidade, segurança): proporções com IC95% (Wilson) e estatística descritiva.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Integridade do cegamento: índice de Bang (validado); índice de James por implementação validada.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Exploratórios (ansiedade GAD-7, sono PSQI): mudança intra-braço (t pareado/Wilcoxon) e entre braços (t de Welch/Mann-Whitney), conforme normalidade; categóricos por qui-quadrado/Fisher; α=5%; efeitos com IC.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Multiplicidade não corrigida (desfechos exploratórios), com interpretação cautelosa; dados faltantes relatados de forma transparente.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Ferramentas: Jamovi/JASP/R. Critérios de progressão (semáforo) pré-especificados para decidir sobre um ensaio definitivo.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7. Riscos, benefícios e monitoramento de segurança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Riscos: desconforto auditivo (mitigado por teto de volume e orientação), leve cansaço/cefaleia; risco baixo de piora de sintomas (mitigado por critérios de exclusão e captura de eventos adversos).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Rede de segurança: sinalização de recursos de apoio (ex.: CVV 188) e plano de encaminhamento; exclusão de ideação suicida ativa e de epilepsia/crises não controladas.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Monitoramento: registro e revisão de eventos adversos ao longo do estudo; critérios de interrupção descritos no protocolo.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Benefícios: possível relaxamento; contribuição científica; sem promessa de eficácia.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8. Confidencialidade e LGPD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Pseudonimização (código de estudo); PII separada e cifrada; dado de pesquisa apartado do operacional.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Criptografia em trânsito e em repouso; acesso por papel; trilha de auditoria; residência de dados no Brasil.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Direitos do titular (acesso, correção, revogação, eliminação); retenção e descarte descritos; RIPD/encarregado recomendados.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9. Cronograma e critérios de progressão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Fase 1: aprovação ética e registro (ReBEC); Fase 2: implementação/validação do app; Fase 3: recrutamento e intervenção (4 semanas/participante); Fase 4: análise e relatório.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Critérios de progressão (semáforo) para o ensaio definitivo: recrutamento, adesão, retenção, completude, usabilidade e segurança — limiares pré-especificados (ver Etapa 7).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10. Checklist final antes de submeter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Protocolo revisado pela orientadora; desfechos e análise pré-especificados e “congelados” (versões de escore e de regras).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TCLE adaptado ao modelo do CEP, em linguagem acessível, com contatos do pesquisador e do CEP.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Instrumentos em versões validadas em PT-BR; licenciamento do PSQI verificado.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Documentos da Plataforma Brasil completos (folha de rosto, anuências, declarações, Lattes).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Registro no ReBEC providenciado; plano de gestão de dados (LGPD) descrito.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Referências</w:t>
      </w:r>
    </w:p>
    <w:p>
      <w:pPr>
        <w:spacing w:after="120" w:line="276"/>
      </w:pPr>
      <w:r>
        <w:rPr>
          <w:i/>
          <w:iCs/>
          <w:color w:val="5A6B78"/>
          <w:sz w:val="18"/>
          <w:szCs w:val="18"/>
        </w:rPr>
        <w:t xml:space="preserve">Padrão ABNT NBR 6023.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BRASIL. Conselho Nacional de Saúde. </w:t>
      </w:r>
      <w:r>
        <w:rPr>
          <w:i/>
          <w:iCs/>
          <w:sz w:val="20"/>
          <w:szCs w:val="20"/>
        </w:rPr>
        <w:t xml:space="preserve">Resolução nº 466, de 12 de dezembro de 2012</w:t>
      </w:r>
      <w:r>
        <w:rPr>
          <w:sz w:val="20"/>
          <w:szCs w:val="20"/>
        </w:rPr>
        <w:t xml:space="preserve">. Diretrizes e normas regulamentadoras de pesquisas envolvendo seres humanos. Brasília, DF, 2012.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BRASIL. Conselho Nacional de Saúde. </w:t>
      </w:r>
      <w:r>
        <w:rPr>
          <w:i/>
          <w:iCs/>
          <w:sz w:val="20"/>
          <w:szCs w:val="20"/>
        </w:rPr>
        <w:t xml:space="preserve">Resolução nº 510, de 7 de abril de 2016</w:t>
      </w:r>
      <w:r>
        <w:rPr>
          <w:sz w:val="20"/>
          <w:szCs w:val="20"/>
        </w:rPr>
        <w:t xml:space="preserve">. Brasília, DF, 2016.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BRASIL. </w:t>
      </w:r>
      <w:r>
        <w:rPr>
          <w:i/>
          <w:iCs/>
          <w:sz w:val="20"/>
          <w:szCs w:val="20"/>
        </w:rPr>
        <w:t xml:space="preserve">Lei nº 13.709, de 14 de agosto de 2018</w:t>
      </w:r>
      <w:r>
        <w:rPr>
          <w:sz w:val="20"/>
          <w:szCs w:val="20"/>
        </w:rPr>
        <w:t xml:space="preserve">. Lei Geral de Proteção de Dados Pessoais (LGPD). Brasília, DF, 2018.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ELDRIDGE, S. M. </w:t>
      </w:r>
      <w:r>
        <w:rPr>
          <w:i/>
          <w:iCs/>
          <w:sz w:val="20"/>
          <w:szCs w:val="20"/>
        </w:rPr>
        <w:t xml:space="preserve">et al.</w:t>
      </w:r>
      <w:r>
        <w:rPr>
          <w:sz w:val="20"/>
          <w:szCs w:val="20"/>
        </w:rPr>
        <w:t xml:space="preserve"> CONSORT 2010 statement: extension to randomised pilot and feasibility trials. </w:t>
      </w:r>
      <w:r>
        <w:rPr>
          <w:i/>
          <w:iCs/>
          <w:sz w:val="20"/>
          <w:szCs w:val="20"/>
        </w:rPr>
        <w:t xml:space="preserve">BMJ</w:t>
      </w:r>
      <w:r>
        <w:rPr>
          <w:sz w:val="20"/>
          <w:szCs w:val="20"/>
        </w:rPr>
        <w:t xml:space="preserve">, v. 355, art. i5239, 2016. DOI: 10.1136/bmj.i5239.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8"/>
        <w:sz w:val="16"/>
        <w:szCs w:val="16"/>
      </w:rPr>
      <w:t xml:space="preserve">Página </w:t>
    </w:r>
    <w:r>
      <w:rPr>
        <w:color w:val="5A6B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B78"/>
        <w:sz w:val="16"/>
        <w:szCs w:val="16"/>
      </w:rPr>
      <w:t xml:space="preserve"> de </w:t>
    </w:r>
    <w:r>
      <w:rPr>
        <w:color w:val="5A6B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B78"/>
        <w:sz w:val="16"/>
        <w:szCs w:val="16"/>
      </w:rPr>
      <w:t xml:space="preserve">Sereno — Roteiro de submissão ao CEP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b/>
      <w:bCs/>
      <w:color w:val="101A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1B4B5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2026-07-03T11:07:00.871Z</dcterms:created>
  <dcterms:modified xsi:type="dcterms:W3CDTF">2026-07-03T11:07:00.897Z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