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7AF61">
      <w:pPr>
        <w:pStyle w:val="2"/>
        <w:keepNext w:val="0"/>
        <w:keepLines w:val="0"/>
        <w:widowControl/>
        <w:suppressLineNumbers w:val="0"/>
      </w:pPr>
      <w:bookmarkStart w:id="0" w:name="_GoBack"/>
      <w:r>
        <w:t>人文与艺术领域质量评估的黄金法则</w:t>
      </w:r>
    </w:p>
    <w:p w14:paraId="5323F92A">
      <w:pPr>
        <w:pStyle w:val="3"/>
        <w:keepNext w:val="0"/>
        <w:keepLines w:val="0"/>
        <w:widowControl/>
        <w:suppressLineNumbers w:val="0"/>
      </w:pPr>
      <w:r>
        <w:t>一、引言：人文与艺术质量评估的探索</w:t>
      </w:r>
    </w:p>
    <w:p w14:paraId="7C23E534">
      <w:pPr>
        <w:pStyle w:val="6"/>
        <w:keepNext w:val="0"/>
        <w:keepLines w:val="0"/>
        <w:widowControl/>
        <w:suppressLineNumbers w:val="0"/>
      </w:pPr>
      <w:r>
        <w:t>对人文和艺术领域质量的评估是一个复杂且多维度的过程，其核心在于理解和界定“质量”本身。本报告旨在深入探讨这一领域的评估规则和“黄金法则”，区分学术研究与艺术实践的评估范畴，并揭示质量评估的多元性质。</w:t>
      </w:r>
    </w:p>
    <w:p w14:paraId="0157358E">
      <w:pPr>
        <w:pStyle w:val="4"/>
        <w:keepNext w:val="0"/>
        <w:keepLines w:val="0"/>
        <w:widowControl/>
        <w:suppressLineNumbers w:val="0"/>
      </w:pPr>
      <w:r>
        <w:t>定义范围：学术研究与艺术实践</w:t>
      </w:r>
    </w:p>
    <w:p w14:paraId="2D413A9A">
      <w:pPr>
        <w:pStyle w:val="6"/>
        <w:keepNext w:val="0"/>
        <w:keepLines w:val="0"/>
        <w:widowControl/>
        <w:suppressLineNumbers w:val="0"/>
      </w:pPr>
      <w:r>
        <w:t>在探讨人文与艺术领域的质量评估时，首先需要明确其双重焦点：一是学术研究成果的评估，例如历史专著、哲学论文；二是创意艺术作品的评估，例如绘画、音乐作品、舞蹈表演。这两种评估对象虽然同属广义的“人文与艺术”范畴，但其评估标准和方法存在显著差异。</w:t>
      </w:r>
    </w:p>
    <w:p w14:paraId="58EF7ADB">
      <w:pPr>
        <w:pStyle w:val="6"/>
        <w:keepNext w:val="0"/>
        <w:keepLines w:val="0"/>
        <w:widowControl/>
        <w:suppressLineNumbers w:val="0"/>
      </w:pPr>
      <w:r>
        <w:t>研究表明，在研究领域，系统化、方法论化的方法受到高度重视，而在艺术领域，创造力和灵感则扮演着更为重要的角色 。这种区分表明，评估的“黄金法则”并非一成不变，而是需要根据具体评估对象进行调整。然而，值得注意的是，人文领域的学术研究，尽管其主题可能涉及艺术或文化，但在其学术严谨性方面，与科学领域的学术研究遵循着相似的基本评估原则 。这意味着，对于学术产出，评估侧重于论证的严谨性、证据的支持和方法的合理性；而对于艺术创作，评估则更注重其美学影响、技术技巧和表达深度。因此，有效的评估体系必须足够灵活，能够应用适当的视角，避免将科学实证主义的衡量标准强加于本质上定性的艺术实践，同时仍要求学术工作具备应有的学术严谨性。</w:t>
      </w:r>
    </w:p>
    <w:p w14:paraId="739AC438">
      <w:pPr>
        <w:pStyle w:val="4"/>
        <w:keepNext w:val="0"/>
        <w:keepLines w:val="0"/>
        <w:widowControl/>
        <w:suppressLineNumbers w:val="0"/>
      </w:pPr>
      <w:r>
        <w:t>质量评估的多面性</w:t>
      </w:r>
    </w:p>
    <w:p w14:paraId="22D46886">
      <w:pPr>
        <w:pStyle w:val="6"/>
        <w:keepNext w:val="0"/>
        <w:keepLines w:val="0"/>
        <w:widowControl/>
        <w:suppressLineNumbers w:val="0"/>
      </w:pPr>
      <w:r>
        <w:t>“质量”并非一个单一的、普遍定义的实体，而是一个相对的、关联的概念，其内涵受到评估目的和受众的深刻影响 。例如，学术研究的质量通常指其对特定学科内部科学共同体的有用性，而社会质量则指其对政府、企业、文化机构等更广泛群体的有用性 。这种相对性在跨学科研究中尤为明显，因为在这些领域中，关于“质量”的定义或理解往往缺乏统一的标准 。</w:t>
      </w:r>
    </w:p>
    <w:p w14:paraId="52CCE658">
      <w:pPr>
        <w:pStyle w:val="6"/>
        <w:keepNext w:val="0"/>
        <w:keepLines w:val="0"/>
        <w:widowControl/>
        <w:suppressLineNumbers w:val="0"/>
      </w:pPr>
      <w:r>
        <w:t>这种对质量相对性和情境依赖性的认识，超越了简单的清单式评估方法。这意味着“黄金法则”不能是僵化、普遍的规定，而应是指导性原则，必须根据具体的“使用情境”进行调整，例如评估一份拨款提案、一场学生表演或一件公共艺术装置。学术研究质量与社会质量之间的区别进一步说明，评估的</w:t>
      </w:r>
      <w:r>
        <w:rPr>
          <w:b/>
          <w:bCs/>
        </w:rPr>
        <w:t>目的</w:t>
      </w:r>
      <w:r>
        <w:t>决定了哪些质量方面应被优先考虑。这表明，人文和艺术领域不断变化的社会角色，要求评估框架具有动态适应性，能够捕捉各种形式的价值和影响。</w:t>
      </w:r>
    </w:p>
    <w:p w14:paraId="5D0ECC63">
      <w:pPr>
        <w:pStyle w:val="6"/>
        <w:keepNext w:val="0"/>
        <w:keepLines w:val="0"/>
        <w:widowControl/>
        <w:suppressLineNumbers w:val="0"/>
      </w:pPr>
      <w:r>
        <w:t>本报告旨在综合这些多样化的标准，提炼出可操作的原则，同时承认其固有的复杂性和学科差异，从而为建立健全而细致的评估框架提供指导。</w:t>
      </w:r>
    </w:p>
    <w:p w14:paraId="1B2DA393">
      <w:pPr>
        <w:pStyle w:val="3"/>
        <w:keepNext w:val="0"/>
        <w:keepLines w:val="0"/>
        <w:widowControl/>
        <w:suppressLineNumbers w:val="0"/>
      </w:pPr>
      <w:r>
        <w:t>二、学术质量评估的基本原则</w:t>
      </w:r>
    </w:p>
    <w:p w14:paraId="1E14A4EA">
      <w:pPr>
        <w:pStyle w:val="6"/>
        <w:keepNext w:val="0"/>
        <w:keepLines w:val="0"/>
        <w:widowControl/>
        <w:suppressLineNumbers w:val="0"/>
      </w:pPr>
      <w:r>
        <w:t>对学术质量的评估已经从单纯衡量死记硬背的知识，转向评估对21世纪成功至关重要的深层认知技能和可迁移能力。</w:t>
      </w:r>
    </w:p>
    <w:p w14:paraId="5D19B0C7">
      <w:pPr>
        <w:pStyle w:val="4"/>
        <w:keepNext w:val="0"/>
        <w:keepLines w:val="0"/>
        <w:widowControl/>
        <w:suppressLineNumbers w:val="0"/>
      </w:pPr>
      <w:r>
        <w:t>学术背景下高质量评估的核心标准</w:t>
      </w:r>
    </w:p>
    <w:p w14:paraId="7906CFF3">
      <w:pPr>
        <w:pStyle w:val="6"/>
        <w:keepNext w:val="0"/>
        <w:keepLines w:val="0"/>
        <w:widowControl/>
        <w:suppressLineNumbers w:val="0"/>
      </w:pPr>
      <w:r>
        <w:t>高质量的学术评估已不再仅仅关注学生能否在试卷上填涂气泡，而是着重于他们是否具备21世纪所需的技能，例如解决问题、批判性思维、创业精神和创造力 。评估的“黄金法则”必须优先考虑复杂认知过程（如分析、综合、批判）和可迁移技能（如沟通、协作、解决问题）的体现，而非仅仅是内容掌握。</w:t>
      </w:r>
    </w:p>
    <w:p w14:paraId="27B832D3">
      <w:pPr>
        <w:pStyle w:val="6"/>
        <w:keepNext w:val="0"/>
        <w:keepLines w:val="0"/>
        <w:widowControl/>
        <w:suppressLineNumbers w:val="0"/>
      </w:pPr>
      <w:r>
        <w:t>具体而言，高质量评估应包含以下几个关键标准 ：</w:t>
      </w:r>
    </w:p>
    <w:p w14:paraId="348DD37B">
      <w:pPr>
        <w:keepNext w:val="0"/>
        <w:keepLines w:val="0"/>
        <w:widowControl/>
        <w:numPr>
          <w:ilvl w:val="0"/>
          <w:numId w:val="1"/>
        </w:numPr>
        <w:suppressLineNumbers w:val="0"/>
        <w:spacing w:before="0" w:beforeAutospacing="1" w:after="0" w:afterAutospacing="1"/>
        <w:ind w:left="1440" w:hanging="360"/>
      </w:pPr>
    </w:p>
    <w:p w14:paraId="5D21829B">
      <w:pPr>
        <w:pStyle w:val="6"/>
        <w:keepNext w:val="0"/>
        <w:keepLines w:val="0"/>
        <w:widowControl/>
        <w:suppressLineNumbers w:val="0"/>
        <w:ind w:left="720"/>
      </w:pPr>
      <w:r>
        <w:rPr>
          <w:b/>
          <w:bCs/>
        </w:rPr>
        <w:t>高阶认知技能的评估：</w:t>
      </w:r>
      <w:r>
        <w:t xml:space="preserve"> 评估学生将所学知识迁移到新情境和新问题的能力，例如分析、综合、比较、联系、批判、假设、证明和解释其思想的能力。</w:t>
      </w:r>
    </w:p>
    <w:p w14:paraId="5DA8EE59">
      <w:pPr>
        <w:keepNext w:val="0"/>
        <w:keepLines w:val="0"/>
        <w:widowControl/>
        <w:numPr>
          <w:ilvl w:val="0"/>
          <w:numId w:val="1"/>
        </w:numPr>
        <w:suppressLineNumbers w:val="0"/>
        <w:spacing w:before="0" w:beforeAutospacing="1" w:after="0" w:afterAutospacing="1"/>
        <w:ind w:left="1440" w:hanging="360"/>
      </w:pPr>
    </w:p>
    <w:p w14:paraId="684138BD">
      <w:pPr>
        <w:keepNext w:val="0"/>
        <w:keepLines w:val="0"/>
        <w:widowControl/>
        <w:numPr>
          <w:ilvl w:val="0"/>
          <w:numId w:val="1"/>
        </w:numPr>
        <w:suppressLineNumbers w:val="0"/>
        <w:spacing w:before="0" w:beforeAutospacing="1" w:after="0" w:afterAutospacing="1"/>
        <w:ind w:left="1440" w:hanging="360"/>
      </w:pPr>
    </w:p>
    <w:p w14:paraId="7E307042">
      <w:pPr>
        <w:pStyle w:val="6"/>
        <w:keepNext w:val="0"/>
        <w:keepLines w:val="0"/>
        <w:widowControl/>
        <w:suppressLineNumbers w:val="0"/>
        <w:ind w:left="720"/>
      </w:pPr>
      <w:r>
        <w:rPr>
          <w:b/>
          <w:bCs/>
        </w:rPr>
        <w:t>关键能力的高保真度评估：</w:t>
      </w:r>
      <w:r>
        <w:t xml:space="preserve"> 直接评估在现实世界中使用的关键能力，而非通过人工代理。这要求直接评估口头、书面和多媒体沟通、协作、研究、实验和新技术应用等技能。</w:t>
      </w:r>
    </w:p>
    <w:p w14:paraId="72F75EC5">
      <w:pPr>
        <w:keepNext w:val="0"/>
        <w:keepLines w:val="0"/>
        <w:widowControl/>
        <w:numPr>
          <w:ilvl w:val="0"/>
          <w:numId w:val="1"/>
        </w:numPr>
        <w:suppressLineNumbers w:val="0"/>
        <w:spacing w:before="0" w:beforeAutospacing="1" w:after="0" w:afterAutospacing="1"/>
        <w:ind w:left="1440" w:hanging="360"/>
      </w:pPr>
    </w:p>
    <w:p w14:paraId="2C60D6CE">
      <w:pPr>
        <w:keepNext w:val="0"/>
        <w:keepLines w:val="0"/>
        <w:widowControl/>
        <w:numPr>
          <w:ilvl w:val="0"/>
          <w:numId w:val="1"/>
        </w:numPr>
        <w:suppressLineNumbers w:val="0"/>
        <w:spacing w:before="0" w:beforeAutospacing="1" w:after="0" w:afterAutospacing="1"/>
        <w:ind w:left="1440" w:hanging="360"/>
      </w:pPr>
    </w:p>
    <w:p w14:paraId="1A7132DE">
      <w:pPr>
        <w:pStyle w:val="6"/>
        <w:keepNext w:val="0"/>
        <w:keepLines w:val="0"/>
        <w:widowControl/>
        <w:suppressLineNumbers w:val="0"/>
        <w:ind w:left="720"/>
      </w:pPr>
      <w:r>
        <w:rPr>
          <w:b/>
          <w:bCs/>
        </w:rPr>
        <w:t>教学敏感和教育有价值的项目：</w:t>
      </w:r>
      <w:r>
        <w:t xml:space="preserve"> 考试设计应确保其基础概念是可教可学的，而非主要依赖应试技巧或反映学生的课外经验。</w:t>
      </w:r>
    </w:p>
    <w:p w14:paraId="47505D81">
      <w:pPr>
        <w:keepNext w:val="0"/>
        <w:keepLines w:val="0"/>
        <w:widowControl/>
        <w:numPr>
          <w:ilvl w:val="0"/>
          <w:numId w:val="1"/>
        </w:numPr>
        <w:suppressLineNumbers w:val="0"/>
        <w:spacing w:before="0" w:beforeAutospacing="1" w:after="0" w:afterAutospacing="1"/>
        <w:ind w:left="1440" w:hanging="360"/>
      </w:pPr>
    </w:p>
    <w:p w14:paraId="2878E503">
      <w:pPr>
        <w:keepNext w:val="0"/>
        <w:keepLines w:val="0"/>
        <w:widowControl/>
        <w:numPr>
          <w:ilvl w:val="0"/>
          <w:numId w:val="1"/>
        </w:numPr>
        <w:suppressLineNumbers w:val="0"/>
        <w:spacing w:before="0" w:beforeAutospacing="1" w:after="0" w:afterAutospacing="1"/>
        <w:ind w:left="1440" w:hanging="360"/>
      </w:pPr>
    </w:p>
    <w:p w14:paraId="5DF3A96C">
      <w:pPr>
        <w:pStyle w:val="6"/>
        <w:keepNext w:val="0"/>
        <w:keepLines w:val="0"/>
        <w:widowControl/>
        <w:suppressLineNumbers w:val="0"/>
        <w:ind w:left="720"/>
      </w:pPr>
      <w:r>
        <w:rPr>
          <w:b/>
          <w:bCs/>
        </w:rPr>
        <w:t>有效、可靠和公平的评估：</w:t>
      </w:r>
      <w:r>
        <w:t xml:space="preserve"> 评估应准确衡量学生的能力，恰当地评估其旨在衡量的知识和技能，避免偏见，并设计以减少可能损害有效性的不必要表现障碍。</w:t>
      </w:r>
    </w:p>
    <w:p w14:paraId="40B0ED7B">
      <w:pPr>
        <w:keepNext w:val="0"/>
        <w:keepLines w:val="0"/>
        <w:widowControl/>
        <w:numPr>
          <w:ilvl w:val="0"/>
          <w:numId w:val="1"/>
        </w:numPr>
        <w:suppressLineNumbers w:val="0"/>
        <w:spacing w:before="0" w:beforeAutospacing="1" w:after="0" w:afterAutospacing="1"/>
        <w:ind w:left="1440" w:hanging="360"/>
      </w:pPr>
    </w:p>
    <w:p w14:paraId="596B01EE">
      <w:pPr>
        <w:pStyle w:val="6"/>
        <w:keepNext w:val="0"/>
        <w:keepLines w:val="0"/>
        <w:widowControl/>
        <w:suppressLineNumbers w:val="0"/>
      </w:pPr>
      <w:r>
        <w:t>这种评估理念的转变，源于知识经济对更高阶技能的需求，这反过来要求评估方法能够直接在真实情境中衡量这些能力。因此，学术评估的“黄金法则”应指导评估设计，使其真正具有“教育价值”并促进深度学习。</w:t>
      </w:r>
    </w:p>
    <w:p w14:paraId="1545F7DD">
      <w:pPr>
        <w:pStyle w:val="4"/>
        <w:keepNext w:val="0"/>
        <w:keepLines w:val="0"/>
        <w:widowControl/>
        <w:suppressLineNumbers w:val="0"/>
      </w:pPr>
      <w:r>
        <w:t>跨学科研究质量的原则</w:t>
      </w:r>
    </w:p>
    <w:p w14:paraId="48E57BE9">
      <w:pPr>
        <w:pStyle w:val="6"/>
        <w:keepNext w:val="0"/>
        <w:keepLines w:val="0"/>
        <w:widowControl/>
        <w:suppressLineNumbers w:val="0"/>
      </w:pPr>
      <w:r>
        <w:t>评估跨越多个学科的研究需要一个超越传统狭隘学科标准的扩展框架。在跨学科研究（TDR）背景下，质量评估的四个主要原则浮现出来：</w:t>
      </w:r>
    </w:p>
    <w:p w14:paraId="0736E656">
      <w:pPr>
        <w:keepNext w:val="0"/>
        <w:keepLines w:val="0"/>
        <w:widowControl/>
        <w:numPr>
          <w:ilvl w:val="0"/>
          <w:numId w:val="2"/>
        </w:numPr>
        <w:suppressLineNumbers w:val="0"/>
        <w:spacing w:before="0" w:beforeAutospacing="1" w:after="0" w:afterAutospacing="1"/>
        <w:ind w:left="1440" w:hanging="360"/>
      </w:pPr>
    </w:p>
    <w:p w14:paraId="34E408D6">
      <w:pPr>
        <w:pStyle w:val="6"/>
        <w:keepNext w:val="0"/>
        <w:keepLines w:val="0"/>
        <w:widowControl/>
        <w:suppressLineNumbers w:val="0"/>
        <w:ind w:left="720"/>
      </w:pPr>
      <w:r>
        <w:rPr>
          <w:b/>
          <w:bCs/>
        </w:rPr>
        <w:t>相关性：</w:t>
      </w:r>
      <w:r>
        <w:t xml:space="preserve"> 包括社会意义和适用性。</w:t>
      </w:r>
    </w:p>
    <w:p w14:paraId="500C790C">
      <w:pPr>
        <w:keepNext w:val="0"/>
        <w:keepLines w:val="0"/>
        <w:widowControl/>
        <w:numPr>
          <w:ilvl w:val="0"/>
          <w:numId w:val="2"/>
        </w:numPr>
        <w:suppressLineNumbers w:val="0"/>
        <w:spacing w:before="0" w:beforeAutospacing="1" w:after="0" w:afterAutospacing="1"/>
        <w:ind w:left="1440" w:hanging="360"/>
      </w:pPr>
    </w:p>
    <w:p w14:paraId="3338F335">
      <w:pPr>
        <w:keepNext w:val="0"/>
        <w:keepLines w:val="0"/>
        <w:widowControl/>
        <w:numPr>
          <w:ilvl w:val="0"/>
          <w:numId w:val="2"/>
        </w:numPr>
        <w:suppressLineNumbers w:val="0"/>
        <w:spacing w:before="0" w:beforeAutospacing="1" w:after="0" w:afterAutospacing="1"/>
        <w:ind w:left="1440" w:hanging="360"/>
      </w:pPr>
    </w:p>
    <w:p w14:paraId="1B360E1C">
      <w:pPr>
        <w:pStyle w:val="6"/>
        <w:keepNext w:val="0"/>
        <w:keepLines w:val="0"/>
        <w:widowControl/>
        <w:suppressLineNumbers w:val="0"/>
        <w:ind w:left="720"/>
      </w:pPr>
      <w:r>
        <w:rPr>
          <w:b/>
          <w:bCs/>
        </w:rPr>
        <w:t>可信度：</w:t>
      </w:r>
      <w:r>
        <w:t xml:space="preserve"> 除了传统的科学严谨性标准外，还包括整合性和反思性。</w:t>
      </w:r>
    </w:p>
    <w:p w14:paraId="779EC313">
      <w:pPr>
        <w:keepNext w:val="0"/>
        <w:keepLines w:val="0"/>
        <w:widowControl/>
        <w:numPr>
          <w:ilvl w:val="0"/>
          <w:numId w:val="2"/>
        </w:numPr>
        <w:suppressLineNumbers w:val="0"/>
        <w:spacing w:before="0" w:beforeAutospacing="1" w:after="0" w:afterAutospacing="1"/>
        <w:ind w:left="1440" w:hanging="360"/>
      </w:pPr>
    </w:p>
    <w:p w14:paraId="47F46D85">
      <w:pPr>
        <w:keepNext w:val="0"/>
        <w:keepLines w:val="0"/>
        <w:widowControl/>
        <w:numPr>
          <w:ilvl w:val="0"/>
          <w:numId w:val="2"/>
        </w:numPr>
        <w:suppressLineNumbers w:val="0"/>
        <w:spacing w:before="0" w:beforeAutospacing="1" w:after="0" w:afterAutospacing="1"/>
        <w:ind w:left="1440" w:hanging="360"/>
      </w:pPr>
    </w:p>
    <w:p w14:paraId="3897F129">
      <w:pPr>
        <w:pStyle w:val="6"/>
        <w:keepNext w:val="0"/>
        <w:keepLines w:val="0"/>
        <w:widowControl/>
        <w:suppressLineNumbers w:val="0"/>
        <w:ind w:left="720"/>
      </w:pPr>
      <w:r>
        <w:rPr>
          <w:b/>
          <w:bCs/>
        </w:rPr>
        <w:t>合法性：</w:t>
      </w:r>
      <w:r>
        <w:t xml:space="preserve"> 包括利益相关者利益的包容性和公平代表性。</w:t>
      </w:r>
    </w:p>
    <w:p w14:paraId="1E19C72A">
      <w:pPr>
        <w:keepNext w:val="0"/>
        <w:keepLines w:val="0"/>
        <w:widowControl/>
        <w:numPr>
          <w:ilvl w:val="0"/>
          <w:numId w:val="2"/>
        </w:numPr>
        <w:suppressLineNumbers w:val="0"/>
        <w:spacing w:before="0" w:beforeAutospacing="1" w:after="0" w:afterAutospacing="1"/>
        <w:ind w:left="1440" w:hanging="360"/>
      </w:pPr>
    </w:p>
    <w:p w14:paraId="1C1E6F3D">
      <w:pPr>
        <w:keepNext w:val="0"/>
        <w:keepLines w:val="0"/>
        <w:widowControl/>
        <w:numPr>
          <w:ilvl w:val="0"/>
          <w:numId w:val="2"/>
        </w:numPr>
        <w:suppressLineNumbers w:val="0"/>
        <w:spacing w:before="0" w:beforeAutospacing="1" w:after="0" w:afterAutospacing="1"/>
        <w:ind w:left="1440" w:hanging="360"/>
      </w:pPr>
    </w:p>
    <w:p w14:paraId="3F0899CE">
      <w:pPr>
        <w:pStyle w:val="6"/>
        <w:keepNext w:val="0"/>
        <w:keepLines w:val="0"/>
        <w:widowControl/>
        <w:suppressLineNumbers w:val="0"/>
        <w:ind w:left="720"/>
      </w:pPr>
      <w:r>
        <w:rPr>
          <w:b/>
          <w:bCs/>
        </w:rPr>
        <w:t>有效性：</w:t>
      </w:r>
      <w:r>
        <w:t xml:space="preserve"> 衡量研究的实际影响和成果 。</w:t>
      </w:r>
    </w:p>
    <w:p w14:paraId="7BB0895B">
      <w:pPr>
        <w:keepNext w:val="0"/>
        <w:keepLines w:val="0"/>
        <w:widowControl/>
        <w:numPr>
          <w:ilvl w:val="0"/>
          <w:numId w:val="2"/>
        </w:numPr>
        <w:suppressLineNumbers w:val="0"/>
        <w:spacing w:before="0" w:beforeAutospacing="1" w:after="0" w:afterAutospacing="1"/>
        <w:ind w:left="1440" w:hanging="360"/>
      </w:pPr>
    </w:p>
    <w:p w14:paraId="076F5896">
      <w:pPr>
        <w:pStyle w:val="6"/>
        <w:keepNext w:val="0"/>
        <w:keepLines w:val="0"/>
        <w:widowControl/>
        <w:suppressLineNumbers w:val="0"/>
      </w:pPr>
      <w:r>
        <w:t>传统上，学科内部的研究质量定义较为狭窄，主要标准是科学卓越性和科学相关性。然而，当使用来自多个学科的认识论和方法时，单一学科的标准可能不足，甚至可能相互矛盾 。这表明，学术评估的“黄金法则”，特别是对于跨学科或应用型工作，必须包含这种对“影响”和“价值”的更广泛定义。全球挑战日益复杂，这促使了跨学科方法的兴起，而这些方法又要求新的评估原则能够充分捕捉其独特的贡献，并避免惩罚那些不完全符合传统学术框架的工作。</w:t>
      </w:r>
    </w:p>
    <w:p w14:paraId="40BD7CF6">
      <w:pPr>
        <w:pStyle w:val="4"/>
        <w:keepNext w:val="0"/>
        <w:keepLines w:val="0"/>
        <w:widowControl/>
        <w:suppressLineNumbers w:val="0"/>
      </w:pPr>
      <w:r>
        <w:t>同行评审与外部指标的核心作用</w:t>
      </w:r>
    </w:p>
    <w:p w14:paraId="39A9E841">
      <w:pPr>
        <w:pStyle w:val="6"/>
        <w:keepNext w:val="0"/>
        <w:keepLines w:val="0"/>
        <w:widowControl/>
        <w:suppressLineNumbers w:val="0"/>
      </w:pPr>
      <w:r>
        <w:t>同行评审仍然是不可或缺的评估工具，但其有效性可以通过外部指标的支持得到增强，尤其是在人文学科领域。报告普遍建议使用三类指标：产出、使用和认可，同时将同行评审作为评估程序的核心 。当前的学术研究评估仍然主要基于学术产出（出版物和出版期刊的声望）、引用和同行评估 。</w:t>
      </w:r>
    </w:p>
    <w:p w14:paraId="6D7B7D4A">
      <w:pPr>
        <w:pStyle w:val="6"/>
        <w:keepNext w:val="0"/>
        <w:keepLines w:val="0"/>
        <w:widowControl/>
        <w:suppressLineNumbers w:val="0"/>
      </w:pPr>
      <w:r>
        <w:t>同行评审与外部质量指标的结合，揭示了学术评估日益混合的趋势。这里的“黄金法则”是充分利用专家判断的定性深度和定量指标（产出、使用、认可）的结构化信息。然而，人文学科的评估需要更广泛的质量指标，以适应其产品、目标群体和出版文化的多样性。例如，应充分考虑专著和非英语国际出版物，这意味着不能优先考虑主要基于英语期刊出版物数据库的文献计量指标 。这种对人文学科多样化产出和现有文献计量数据库局限性的认识，揭示了一个关键挑战：不加批判地依赖为STEM领域设计的指标可能会错误地评估人文学科的质量。这种对指标的日益依赖，加上问责制的压力，推动了指标的采用，但如果不进行仔细调整，这些指标可能会无意中损害人文学科的公平评估。</w:t>
      </w:r>
    </w:p>
    <w:p w14:paraId="16E87C80">
      <w:pPr>
        <w:pStyle w:val="3"/>
        <w:keepNext w:val="0"/>
        <w:keepLines w:val="0"/>
        <w:widowControl/>
        <w:suppressLineNumbers w:val="0"/>
      </w:pPr>
      <w:r>
        <w:t>三、艺术价值与评估的哲学视角</w:t>
      </w:r>
    </w:p>
    <w:p w14:paraId="5B9DBD0F">
      <w:pPr>
        <w:pStyle w:val="6"/>
        <w:keepNext w:val="0"/>
        <w:keepLines w:val="0"/>
        <w:widowControl/>
        <w:suppressLineNumbers w:val="0"/>
      </w:pPr>
      <w:r>
        <w:t>艺术价值是一种独特的价值形式，不能简化为货币价值或实用性，而是由美学、道德、认知和政治等多个维度复杂交织而成。</w:t>
      </w:r>
    </w:p>
    <w:p w14:paraId="4B6B063B">
      <w:pPr>
        <w:pStyle w:val="4"/>
        <w:keepNext w:val="0"/>
        <w:keepLines w:val="0"/>
        <w:widowControl/>
        <w:suppressLineNumbers w:val="0"/>
      </w:pPr>
      <w:r>
        <w:t>艺术价值的决定因素</w:t>
      </w:r>
    </w:p>
    <w:p w14:paraId="55A897E4">
      <w:pPr>
        <w:pStyle w:val="6"/>
        <w:keepNext w:val="0"/>
        <w:keepLines w:val="0"/>
        <w:widowControl/>
        <w:suppressLineNumbers w:val="0"/>
      </w:pPr>
      <w:r>
        <w:t>哲学探讨艺术的价值，在于审视一件艺术品作为艺术品本身的价值，而非其货币价值或实用性等其他形式的价值 。艺术价值被定义为“一件艺术品作为艺术品的好坏”，它是一种“归属性善”，由美学、道德、认知和政治等多种决定性价值构成 。</w:t>
      </w:r>
    </w:p>
    <w:p w14:paraId="36C6C959">
      <w:pPr>
        <w:pStyle w:val="6"/>
        <w:keepNext w:val="0"/>
        <w:keepLines w:val="0"/>
        <w:widowControl/>
        <w:suppressLineNumbers w:val="0"/>
      </w:pPr>
      <w:r>
        <w:t>历史上，艺术品的价值观念与其定义紧密相连。早期艺术品因其准确的再现或精湛的技艺而受重视，有时也兼具宗教或政治功能。到了18世纪，随着美学的兴起，焦点转向美学体验和对美的判断，强调艺术的自主性，并排除了政治或道德评论对艺术价值的影响。然而，当代艺术挑战了这些界限，重新将社会、伦理和政治信息纳入艺术评估 。</w:t>
      </w:r>
    </w:p>
    <w:p w14:paraId="1E430C02">
      <w:pPr>
        <w:pStyle w:val="6"/>
        <w:keepNext w:val="0"/>
        <w:keepLines w:val="0"/>
        <w:widowControl/>
        <w:suppressLineNumbers w:val="0"/>
      </w:pPr>
      <w:r>
        <w:t>对艺术价值的全面评估必须考虑其美学品质、伦理内涵、所传达的知识及其政治共鸣。艺术本身在形式和目的上的演变，也必然导致其评估框架的演变，从而拓宽了“艺术价值”的范畴。</w:t>
      </w:r>
    </w:p>
    <w:p w14:paraId="709C07DC">
      <w:pPr>
        <w:pStyle w:val="4"/>
        <w:keepNext w:val="0"/>
        <w:keepLines w:val="0"/>
        <w:widowControl/>
        <w:suppressLineNumbers w:val="0"/>
      </w:pPr>
      <w:r>
        <w:t>艺术批评的关键哲学方法</w:t>
      </w:r>
    </w:p>
    <w:p w14:paraId="3983AF61">
      <w:pPr>
        <w:pStyle w:val="6"/>
        <w:keepNext w:val="0"/>
        <w:keepLines w:val="0"/>
        <w:widowControl/>
        <w:suppressLineNumbers w:val="0"/>
      </w:pPr>
      <w:r>
        <w:t>多元的批评哲学为判断艺术质量提供了不同的视角，通常侧重于艺术品的不同方面。E.B. Feldman 提出了三种用于论证批判判断的主要哲学方法 ：</w:t>
      </w:r>
    </w:p>
    <w:p w14:paraId="5F11CF9B">
      <w:pPr>
        <w:keepNext w:val="0"/>
        <w:keepLines w:val="0"/>
        <w:widowControl/>
        <w:numPr>
          <w:ilvl w:val="0"/>
          <w:numId w:val="3"/>
        </w:numPr>
        <w:suppressLineNumbers w:val="0"/>
        <w:spacing w:before="0" w:beforeAutospacing="1" w:after="0" w:afterAutospacing="1"/>
        <w:ind w:left="1440" w:hanging="360"/>
      </w:pPr>
    </w:p>
    <w:p w14:paraId="1A59D983">
      <w:pPr>
        <w:pStyle w:val="6"/>
        <w:keepNext w:val="0"/>
        <w:keepLines w:val="0"/>
        <w:widowControl/>
        <w:suppressLineNumbers w:val="0"/>
        <w:ind w:left="720"/>
      </w:pPr>
      <w:r>
        <w:rPr>
          <w:b/>
          <w:bCs/>
        </w:rPr>
        <w:t>形式主义 (Formalism)：</w:t>
      </w:r>
      <w:r>
        <w:t xml:space="preserve"> 强调视觉组织、形式品质以及部分与整体之间的关系。形式主义者认为，艺术品的价值在于其探索媒介固有属性的能力（例如绘画中的平面性，雕塑中的体积感）。</w:t>
      </w:r>
    </w:p>
    <w:p w14:paraId="170565D0">
      <w:pPr>
        <w:keepNext w:val="0"/>
        <w:keepLines w:val="0"/>
        <w:widowControl/>
        <w:numPr>
          <w:ilvl w:val="0"/>
          <w:numId w:val="3"/>
        </w:numPr>
        <w:suppressLineNumbers w:val="0"/>
        <w:spacing w:before="0" w:beforeAutospacing="1" w:after="0" w:afterAutospacing="1"/>
        <w:ind w:left="1440" w:hanging="360"/>
      </w:pPr>
    </w:p>
    <w:p w14:paraId="4428EC23">
      <w:pPr>
        <w:keepNext w:val="0"/>
        <w:keepLines w:val="0"/>
        <w:widowControl/>
        <w:numPr>
          <w:ilvl w:val="0"/>
          <w:numId w:val="3"/>
        </w:numPr>
        <w:suppressLineNumbers w:val="0"/>
        <w:spacing w:before="0" w:beforeAutospacing="1" w:after="0" w:afterAutospacing="1"/>
        <w:ind w:left="1440" w:hanging="360"/>
      </w:pPr>
    </w:p>
    <w:p w14:paraId="23B80838">
      <w:pPr>
        <w:pStyle w:val="6"/>
        <w:keepNext w:val="0"/>
        <w:keepLines w:val="0"/>
        <w:widowControl/>
        <w:suppressLineNumbers w:val="0"/>
        <w:ind w:left="720"/>
      </w:pPr>
      <w:r>
        <w:rPr>
          <w:b/>
          <w:bCs/>
        </w:rPr>
        <w:t>表现主义 (Expressivism)：</w:t>
      </w:r>
      <w:r>
        <w:t xml:space="preserve"> 强调唤起情感和有力地传达思想的重要性。它关注艺术品体验中情感的深度和强度，旨在使日常生活更具意义和深刻性 。</w:t>
      </w:r>
    </w:p>
    <w:p w14:paraId="47BBD389">
      <w:pPr>
        <w:keepNext w:val="0"/>
        <w:keepLines w:val="0"/>
        <w:widowControl/>
        <w:numPr>
          <w:ilvl w:val="0"/>
          <w:numId w:val="3"/>
        </w:numPr>
        <w:suppressLineNumbers w:val="0"/>
        <w:spacing w:before="0" w:beforeAutospacing="1" w:after="0" w:afterAutospacing="1"/>
        <w:ind w:left="1440" w:hanging="360"/>
      </w:pPr>
    </w:p>
    <w:p w14:paraId="6D9EC240">
      <w:pPr>
        <w:keepNext w:val="0"/>
        <w:keepLines w:val="0"/>
        <w:widowControl/>
        <w:numPr>
          <w:ilvl w:val="0"/>
          <w:numId w:val="3"/>
        </w:numPr>
        <w:suppressLineNumbers w:val="0"/>
        <w:spacing w:before="0" w:beforeAutospacing="1" w:after="0" w:afterAutospacing="1"/>
        <w:ind w:left="1440" w:hanging="360"/>
      </w:pPr>
    </w:p>
    <w:p w14:paraId="2FA9F76C">
      <w:pPr>
        <w:pStyle w:val="6"/>
        <w:keepNext w:val="0"/>
        <w:keepLines w:val="0"/>
        <w:widowControl/>
        <w:suppressLineNumbers w:val="0"/>
        <w:ind w:left="720"/>
      </w:pPr>
      <w:r>
        <w:rPr>
          <w:b/>
          <w:bCs/>
        </w:rPr>
        <w:t>工具主义 (Instrumentalism)：</w:t>
      </w:r>
      <w:r>
        <w:t xml:space="preserve"> 关注艺术服务于教学目的，推动事业发展，或促进社会/政治变革。艺术在服务于人类持久需求（通常通过强大的社会机构）时表现最佳 。</w:t>
      </w:r>
    </w:p>
    <w:p w14:paraId="3D4664EF">
      <w:pPr>
        <w:keepNext w:val="0"/>
        <w:keepLines w:val="0"/>
        <w:widowControl/>
        <w:numPr>
          <w:ilvl w:val="0"/>
          <w:numId w:val="3"/>
        </w:numPr>
        <w:suppressLineNumbers w:val="0"/>
        <w:spacing w:before="0" w:beforeAutospacing="1" w:after="0" w:afterAutospacing="1"/>
        <w:ind w:left="1440" w:hanging="360"/>
      </w:pPr>
    </w:p>
    <w:p w14:paraId="41B0C0B6">
      <w:pPr>
        <w:pStyle w:val="6"/>
        <w:keepNext w:val="0"/>
        <w:keepLines w:val="0"/>
        <w:widowControl/>
        <w:suppressLineNumbers w:val="0"/>
      </w:pPr>
      <w:r>
        <w:t>此外，艺术价值与道德价值的互动也是一个重要的争论点 。激进自主论者认为对艺术品的道德评估完全不恰当，与艺术领域无关。温和自主论者则认为艺术品可以进行道德评估，但这不影响其艺术价值。道德论者则认为作品的道德价值是其艺术价值的决定因素，特别是当道德态度在艺术品设计中扮演结构性角色时。伦理主义者甚至认为道德优点</w:t>
      </w:r>
    </w:p>
    <w:p w14:paraId="28869E08">
      <w:pPr>
        <w:pStyle w:val="6"/>
        <w:keepNext w:val="0"/>
        <w:keepLines w:val="0"/>
        <w:widowControl/>
        <w:suppressLineNumbers w:val="0"/>
      </w:pPr>
      <w:r>
        <w:rPr>
          <w:b/>
          <w:bCs/>
        </w:rPr>
        <w:t>总是</w:t>
      </w:r>
      <w:r>
        <w:t>美学优点，因此总是构成艺术价值 。而反道德论者则认为道德缺陷或不道德属性可以积极地促进艺术价值，例如通过认知增益来增强道德理解 。</w:t>
      </w:r>
    </w:p>
    <w:p w14:paraId="5A85F3B4">
      <w:pPr>
        <w:pStyle w:val="6"/>
        <w:keepNext w:val="0"/>
        <w:keepLines w:val="0"/>
        <w:widowControl/>
        <w:suppressLineNumbers w:val="0"/>
      </w:pPr>
      <w:r>
        <w:t>这些多元甚至有时冲突的艺术哲学表明，艺术评估中没有单一普适的“黄金法则”。有效的艺术评估要求评估者识别艺术品的主要</w:t>
      </w:r>
      <w:r>
        <w:rPr>
          <w:b/>
          <w:bCs/>
        </w:rPr>
        <w:t>意图</w:t>
      </w:r>
      <w:r>
        <w:t>或主导的哲学基础，然后应用最相关的批判框架。例如，仅仅根据“美”来判断一件带有强烈政治色彩的作品（形式主义），可能会忽略其核心价值。这意味着艺术批评的“黄金法则”必须灵活且对语境敏感，允许采用多视角方法。这些哲学之间的持续辩论也表明，艺术评估是一个动态的、解释性的过程，而非静态地应用固定规则。</w:t>
      </w:r>
    </w:p>
    <w:p w14:paraId="145A56C9">
      <w:pPr>
        <w:pStyle w:val="4"/>
        <w:keepNext w:val="0"/>
        <w:keepLines w:val="0"/>
        <w:widowControl/>
        <w:suppressLineNumbers w:val="0"/>
      </w:pPr>
      <w:r>
        <w:t>艺术批评标准演变</w:t>
      </w:r>
    </w:p>
    <w:p w14:paraId="1989A0D3">
      <w:pPr>
        <w:pStyle w:val="6"/>
        <w:keepNext w:val="0"/>
        <w:keepLines w:val="0"/>
        <w:widowControl/>
        <w:suppressLineNumbers w:val="0"/>
      </w:pPr>
      <w:r>
        <w:t>艺术批评经历了显著的转变，从最初狭隘地关注美学原则，发展到更广泛地考虑文化、历史和社会语境。</w:t>
      </w:r>
    </w:p>
    <w:p w14:paraId="391AFE6F">
      <w:pPr>
        <w:keepNext w:val="0"/>
        <w:keepLines w:val="0"/>
        <w:widowControl/>
        <w:numPr>
          <w:ilvl w:val="0"/>
          <w:numId w:val="4"/>
        </w:numPr>
        <w:suppressLineNumbers w:val="0"/>
        <w:spacing w:before="0" w:beforeAutospacing="1" w:after="0" w:afterAutospacing="1"/>
        <w:ind w:left="1440" w:hanging="360"/>
      </w:pPr>
    </w:p>
    <w:p w14:paraId="4F256DBE">
      <w:pPr>
        <w:pStyle w:val="6"/>
        <w:keepNext w:val="0"/>
        <w:keepLines w:val="0"/>
        <w:widowControl/>
        <w:suppressLineNumbers w:val="0"/>
        <w:ind w:left="720"/>
      </w:pPr>
      <w:r>
        <w:rPr>
          <w:b/>
          <w:bCs/>
        </w:rPr>
        <w:t>古希腊时期：</w:t>
      </w:r>
      <w:r>
        <w:t xml:space="preserve"> 艺术批评的早期形式可追溯到古希腊，柏拉图和亚里士多德等哲学家奠定了美学理论的基础，强调艺术中的美、比例和和谐 。</w:t>
      </w:r>
    </w:p>
    <w:p w14:paraId="2C208B05">
      <w:pPr>
        <w:keepNext w:val="0"/>
        <w:keepLines w:val="0"/>
        <w:widowControl/>
        <w:numPr>
          <w:ilvl w:val="0"/>
          <w:numId w:val="4"/>
        </w:numPr>
        <w:suppressLineNumbers w:val="0"/>
        <w:spacing w:before="0" w:beforeAutospacing="1" w:after="0" w:afterAutospacing="1"/>
        <w:ind w:left="1440" w:hanging="360"/>
      </w:pPr>
    </w:p>
    <w:p w14:paraId="59D8967D">
      <w:pPr>
        <w:keepNext w:val="0"/>
        <w:keepLines w:val="0"/>
        <w:widowControl/>
        <w:numPr>
          <w:ilvl w:val="0"/>
          <w:numId w:val="4"/>
        </w:numPr>
        <w:suppressLineNumbers w:val="0"/>
        <w:spacing w:before="0" w:beforeAutospacing="1" w:after="0" w:afterAutospacing="1"/>
        <w:ind w:left="1440" w:hanging="360"/>
      </w:pPr>
    </w:p>
    <w:p w14:paraId="499910E7">
      <w:pPr>
        <w:pStyle w:val="6"/>
        <w:keepNext w:val="0"/>
        <w:keepLines w:val="0"/>
        <w:widowControl/>
        <w:suppressLineNumbers w:val="0"/>
        <w:ind w:left="720"/>
      </w:pPr>
      <w:r>
        <w:rPr>
          <w:b/>
          <w:bCs/>
        </w:rPr>
        <w:t>文艺复兴和启蒙时期：</w:t>
      </w:r>
      <w:r>
        <w:t xml:space="preserve"> 艺术批评变得更加规范化，鉴赏力和品味成为指导原则。康德等哲学家引入了美学判断的概念，认为艺术应根据其唤起美感和崇高感的能力来评估 。</w:t>
      </w:r>
    </w:p>
    <w:p w14:paraId="61851739">
      <w:pPr>
        <w:keepNext w:val="0"/>
        <w:keepLines w:val="0"/>
        <w:widowControl/>
        <w:numPr>
          <w:ilvl w:val="0"/>
          <w:numId w:val="4"/>
        </w:numPr>
        <w:suppressLineNumbers w:val="0"/>
        <w:spacing w:before="0" w:beforeAutospacing="1" w:after="0" w:afterAutospacing="1"/>
        <w:ind w:left="1440" w:hanging="360"/>
      </w:pPr>
    </w:p>
    <w:p w14:paraId="3ADEE48D">
      <w:pPr>
        <w:keepNext w:val="0"/>
        <w:keepLines w:val="0"/>
        <w:widowControl/>
        <w:numPr>
          <w:ilvl w:val="0"/>
          <w:numId w:val="4"/>
        </w:numPr>
        <w:suppressLineNumbers w:val="0"/>
        <w:spacing w:before="0" w:beforeAutospacing="1" w:after="0" w:afterAutospacing="1"/>
        <w:ind w:left="1440" w:hanging="360"/>
      </w:pPr>
    </w:p>
    <w:p w14:paraId="16325DF6">
      <w:pPr>
        <w:pStyle w:val="6"/>
        <w:keepNext w:val="0"/>
        <w:keepLines w:val="0"/>
        <w:widowControl/>
        <w:suppressLineNumbers w:val="0"/>
        <w:ind w:left="720"/>
      </w:pPr>
      <w:r>
        <w:rPr>
          <w:b/>
          <w:bCs/>
        </w:rPr>
        <w:t>现代艺术：</w:t>
      </w:r>
      <w:r>
        <w:t xml:space="preserve"> 19世纪末20世纪初，现代艺术兴起，拒绝传统的再现技术，探索新的表达形式。马克思主义、女性主义和后殖民主义等激进理论影响了现代艺术批评，强调社会和历史语境的重要性 。</w:t>
      </w:r>
    </w:p>
    <w:p w14:paraId="24DD2D86">
      <w:pPr>
        <w:keepNext w:val="0"/>
        <w:keepLines w:val="0"/>
        <w:widowControl/>
        <w:numPr>
          <w:ilvl w:val="0"/>
          <w:numId w:val="4"/>
        </w:numPr>
        <w:suppressLineNumbers w:val="0"/>
        <w:spacing w:before="0" w:beforeAutospacing="1" w:after="0" w:afterAutospacing="1"/>
        <w:ind w:left="1440" w:hanging="360"/>
      </w:pPr>
    </w:p>
    <w:p w14:paraId="652931AF">
      <w:pPr>
        <w:keepNext w:val="0"/>
        <w:keepLines w:val="0"/>
        <w:widowControl/>
        <w:numPr>
          <w:ilvl w:val="0"/>
          <w:numId w:val="4"/>
        </w:numPr>
        <w:suppressLineNumbers w:val="0"/>
        <w:spacing w:before="0" w:beforeAutospacing="1" w:after="0" w:afterAutospacing="1"/>
        <w:ind w:left="1440" w:hanging="360"/>
      </w:pPr>
    </w:p>
    <w:p w14:paraId="76DE704B">
      <w:pPr>
        <w:pStyle w:val="6"/>
        <w:keepNext w:val="0"/>
        <w:keepLines w:val="0"/>
        <w:widowControl/>
        <w:suppressLineNumbers w:val="0"/>
        <w:ind w:left="720"/>
      </w:pPr>
      <w:r>
        <w:rPr>
          <w:b/>
          <w:bCs/>
        </w:rPr>
        <w:t>当代艺术：</w:t>
      </w:r>
      <w:r>
        <w:t xml:space="preserve"> 当代艺术批评的特点是批评方法和理论的多元化，包括后结构主义、后现代主义和酷儿理论等。全球化和数字媒体也深刻影响了艺术批评，使得艺术和批判性论述得以全球传播 。</w:t>
      </w:r>
    </w:p>
    <w:p w14:paraId="5286AE84">
      <w:pPr>
        <w:keepNext w:val="0"/>
        <w:keepLines w:val="0"/>
        <w:widowControl/>
        <w:numPr>
          <w:ilvl w:val="0"/>
          <w:numId w:val="4"/>
        </w:numPr>
        <w:suppressLineNumbers w:val="0"/>
        <w:spacing w:before="0" w:beforeAutospacing="1" w:after="0" w:afterAutospacing="1"/>
        <w:ind w:left="1440" w:hanging="360"/>
      </w:pPr>
    </w:p>
    <w:p w14:paraId="2968425F">
      <w:pPr>
        <w:pStyle w:val="6"/>
        <w:keepNext w:val="0"/>
        <w:keepLines w:val="0"/>
        <w:widowControl/>
        <w:suppressLineNumbers w:val="0"/>
      </w:pPr>
      <w:r>
        <w:t>艺术批评的这种历史轨迹清晰地表明，艺术批评并非一成不变，而是不断演变。这是一个重要的“黄金法则”：评估标准必须是动态的，并能响应艺术实践和社会价值观的变化。新的艺术运动（如观念艺术、行为艺术）和批判理论（如后殖民主义）直接挑战并扩展了“艺术价值”的传统观念，迫使批评家除了纯粹的美学或技术品质外，还要考虑文化相关性和社会影响等因素。这意味着评估者必须了解当代艺术理论和实践，以提供相关和公平的评估，避免过时的判断。艺术评论家在评估艺术品时，通常会考虑原创性、技术技能、情感影响和文化相关性等因素 。</w:t>
      </w:r>
    </w:p>
    <w:p w14:paraId="00E0060B">
      <w:pPr>
        <w:pStyle w:val="3"/>
        <w:keepNext w:val="0"/>
        <w:keepLines w:val="0"/>
        <w:widowControl/>
        <w:suppressLineNumbers w:val="0"/>
      </w:pPr>
      <w:r>
        <w:t>四、人文研究评估的“黄金法则”</w:t>
      </w:r>
    </w:p>
    <w:p w14:paraId="2B9C1F54">
      <w:pPr>
        <w:pStyle w:val="4"/>
        <w:keepNext w:val="0"/>
        <w:keepLines w:val="0"/>
        <w:widowControl/>
        <w:suppressLineNumbers w:val="0"/>
      </w:pPr>
      <w:r>
        <w:t>文学与艺术史研究的共识标准</w:t>
      </w:r>
    </w:p>
    <w:p w14:paraId="0A7030A9">
      <w:pPr>
        <w:pStyle w:val="6"/>
        <w:keepNext w:val="0"/>
        <w:keepLines w:val="0"/>
        <w:widowControl/>
        <w:suppressLineNumbers w:val="0"/>
      </w:pPr>
      <w:r>
        <w:t>一项重要的德尔菲研究揭示了人文学科研究中的共享和学科特定标准，凸显了这些领域评估的定性性质以及对某些定量衡量的抵制。Hug, Ochsner, &amp; Daniel (2013) 的德尔菲研究针对德国文学、英国文学和艺术史三个学科，确定了</w:t>
      </w:r>
      <w:r>
        <w:rPr>
          <w:b/>
          <w:bCs/>
        </w:rPr>
        <w:t>19项优秀研究标准，具体细化为70个方面</w:t>
      </w:r>
      <w:r>
        <w:t xml:space="preserve"> 。</w:t>
      </w:r>
    </w:p>
    <w:p w14:paraId="6A4093A0">
      <w:pPr>
        <w:pStyle w:val="6"/>
        <w:keepNext w:val="0"/>
        <w:keepLines w:val="0"/>
        <w:widowControl/>
        <w:suppressLineNumbers w:val="0"/>
      </w:pPr>
      <w:r>
        <w:t>该研究发现，</w:t>
      </w:r>
      <w:r>
        <w:rPr>
          <w:b/>
          <w:bCs/>
        </w:rPr>
        <w:t>11项标准在所有三个学科中达成共识（共享标准）</w:t>
      </w:r>
      <w:r>
        <w:t>，</w:t>
      </w:r>
      <w:r>
        <w:rPr>
          <w:b/>
          <w:bCs/>
        </w:rPr>
        <w:t>6项标准仅在一个或两个学科中达成共识（学科特定标准）</w:t>
      </w:r>
      <w:r>
        <w:t>。值得注意的是，</w:t>
      </w:r>
      <w:r>
        <w:rPr>
          <w:b/>
          <w:bCs/>
        </w:rPr>
        <w:t>“生产力”和“与社会的关系及影响”这两项标准在任何学科中均未达成共识</w:t>
      </w:r>
      <w:r>
        <w:t xml:space="preserve"> 。此外，研究还指出，在已识别的相关方面中，只有55%可以量化 。</w:t>
      </w:r>
    </w:p>
    <w:p w14:paraId="2DC881D5">
      <w:pPr>
        <w:pStyle w:val="6"/>
        <w:keepNext w:val="0"/>
        <w:keepLines w:val="0"/>
        <w:widowControl/>
        <w:suppressLineNumbers w:val="0"/>
      </w:pPr>
      <w:r>
        <w:t>这项研究结果意义深远。11项共享标准的存在表明不同人文学科对学术严谨性存在共同理解，这可视为人文研究的“黄金法则”。然而，对“生产力”和“与社会的关系及影响”的明确</w:t>
      </w:r>
      <w:r>
        <w:rPr>
          <w:b/>
          <w:bCs/>
        </w:rPr>
        <w:t>不认可</w:t>
      </w:r>
      <w:r>
        <w:t>，与普遍重视社会影响的趋势（如跨学科研究原则）形成鲜明对比。这揭示了人文学科研究者对定性评估的深层偏好，抵制过度简化复杂贡献的定量指标。只有55%的方面可量化这一事实，直接支持了对“量化抵制”的观点。这意味着，在评估人文学科研究时，定量指标可以作为辅助，但绝不能占据主导地位，定性同行评审对于捕捉人文研究的细微价值至关重要。过度依赖易于量化的指标可能会无意中贬低那些重要但难以衡量的学术贡献。</w:t>
      </w:r>
    </w:p>
    <w:p w14:paraId="574D9B6B">
      <w:pPr>
        <w:pStyle w:val="6"/>
        <w:keepNext w:val="0"/>
        <w:keepLines w:val="0"/>
        <w:widowControl/>
        <w:suppressLineNumbers w:val="0"/>
      </w:pPr>
      <w:r>
        <w:t>以下表格总结了德尔菲研究中人文研究质量评估的关键共识标准：</w:t>
      </w:r>
    </w:p>
    <w:p w14:paraId="1738BEE7">
      <w:pPr>
        <w:pStyle w:val="6"/>
        <w:keepNext w:val="0"/>
        <w:keepLines w:val="0"/>
        <w:widowControl/>
        <w:suppressLineNumbers w:val="0"/>
      </w:pPr>
      <w:r>
        <w:rPr>
          <w:b/>
          <w:bCs/>
        </w:rPr>
        <w:t>表1：人文研究质量的关键共识标准（基于德尔菲研究）</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8"/>
        <w:gridCol w:w="1354"/>
        <w:gridCol w:w="1616"/>
        <w:gridCol w:w="4428"/>
      </w:tblGrid>
      <w:tr w14:paraId="537D9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49480F93">
            <w:pPr>
              <w:keepNext w:val="0"/>
              <w:keepLines w:val="0"/>
              <w:widowControl/>
              <w:suppressLineNumbers w:val="0"/>
              <w:jc w:val="left"/>
            </w:pPr>
            <w:r>
              <w:rPr>
                <w:rFonts w:ascii="宋体" w:hAnsi="宋体" w:eastAsia="宋体" w:cs="宋体"/>
                <w:kern w:val="0"/>
                <w:sz w:val="24"/>
                <w:szCs w:val="24"/>
                <w:lang w:val="en-US" w:eastAsia="zh-CN" w:bidi="ar"/>
              </w:rPr>
              <w:t>标准类别</w:t>
            </w:r>
          </w:p>
        </w:tc>
        <w:tc>
          <w:tcPr>
            <w:tcW w:w="0" w:type="auto"/>
            <w:shd w:val="clear" w:color="auto" w:fill="auto"/>
            <w:vAlign w:val="center"/>
          </w:tcPr>
          <w:p w14:paraId="2D78BF98">
            <w:pPr>
              <w:keepNext w:val="0"/>
              <w:keepLines w:val="0"/>
              <w:widowControl/>
              <w:suppressLineNumbers w:val="0"/>
              <w:jc w:val="left"/>
            </w:pPr>
            <w:r>
              <w:rPr>
                <w:rFonts w:ascii="宋体" w:hAnsi="宋体" w:eastAsia="宋体" w:cs="宋体"/>
                <w:kern w:val="0"/>
                <w:sz w:val="24"/>
                <w:szCs w:val="24"/>
                <w:lang w:val="en-US" w:eastAsia="zh-CN" w:bidi="ar"/>
              </w:rPr>
              <w:t>具体标准/方面</w:t>
            </w:r>
          </w:p>
        </w:tc>
        <w:tc>
          <w:tcPr>
            <w:tcW w:w="0" w:type="auto"/>
            <w:shd w:val="clear" w:color="auto" w:fill="auto"/>
            <w:vAlign w:val="center"/>
          </w:tcPr>
          <w:p w14:paraId="6467FD54">
            <w:pPr>
              <w:keepNext w:val="0"/>
              <w:keepLines w:val="0"/>
              <w:widowControl/>
              <w:suppressLineNumbers w:val="0"/>
              <w:jc w:val="left"/>
            </w:pPr>
            <w:r>
              <w:rPr>
                <w:rFonts w:ascii="宋体" w:hAnsi="宋体" w:eastAsia="宋体" w:cs="宋体"/>
                <w:kern w:val="0"/>
                <w:sz w:val="24"/>
                <w:szCs w:val="24"/>
                <w:lang w:val="en-US" w:eastAsia="zh-CN" w:bidi="ar"/>
              </w:rPr>
              <w:t>共识水平</w:t>
            </w:r>
          </w:p>
        </w:tc>
        <w:tc>
          <w:tcPr>
            <w:tcW w:w="0" w:type="auto"/>
            <w:shd w:val="clear" w:color="auto" w:fill="auto"/>
            <w:vAlign w:val="center"/>
          </w:tcPr>
          <w:p w14:paraId="6BBBEB4B">
            <w:pPr>
              <w:keepNext w:val="0"/>
              <w:keepLines w:val="0"/>
              <w:widowControl/>
              <w:suppressLineNumbers w:val="0"/>
              <w:jc w:val="left"/>
            </w:pPr>
            <w:r>
              <w:rPr>
                <w:rFonts w:ascii="宋体" w:hAnsi="宋体" w:eastAsia="宋体" w:cs="宋体"/>
                <w:kern w:val="0"/>
                <w:sz w:val="24"/>
                <w:szCs w:val="24"/>
                <w:lang w:val="en-US" w:eastAsia="zh-CN" w:bidi="ar"/>
              </w:rPr>
              <w:t>附注</w:t>
            </w:r>
          </w:p>
        </w:tc>
      </w:tr>
      <w:tr w14:paraId="1D75D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F34C12">
            <w:pPr>
              <w:keepNext w:val="0"/>
              <w:keepLines w:val="0"/>
              <w:widowControl/>
              <w:suppressLineNumbers w:val="0"/>
              <w:jc w:val="left"/>
            </w:pPr>
            <w:r>
              <w:rPr>
                <w:rFonts w:ascii="宋体" w:hAnsi="宋体" w:eastAsia="宋体" w:cs="宋体"/>
                <w:kern w:val="0"/>
                <w:sz w:val="24"/>
                <w:szCs w:val="24"/>
                <w:lang w:val="en-US" w:eastAsia="zh-CN" w:bidi="ar"/>
              </w:rPr>
              <w:t>共享标准</w:t>
            </w:r>
          </w:p>
        </w:tc>
        <w:tc>
          <w:tcPr>
            <w:tcW w:w="0" w:type="auto"/>
            <w:shd w:val="clear" w:color="auto" w:fill="auto"/>
            <w:vAlign w:val="center"/>
          </w:tcPr>
          <w:p w14:paraId="5CE443D2">
            <w:pPr>
              <w:keepNext w:val="0"/>
              <w:keepLines w:val="0"/>
              <w:widowControl/>
              <w:suppressLineNumbers w:val="0"/>
              <w:jc w:val="left"/>
            </w:pPr>
            <w:r>
              <w:rPr>
                <w:rFonts w:ascii="宋体" w:hAnsi="宋体" w:eastAsia="宋体" w:cs="宋体"/>
                <w:kern w:val="0"/>
                <w:sz w:val="24"/>
                <w:szCs w:val="24"/>
                <w:lang w:val="en-US" w:eastAsia="zh-CN" w:bidi="ar"/>
              </w:rPr>
              <w:t>11项未明确列出的标准</w:t>
            </w:r>
          </w:p>
        </w:tc>
        <w:tc>
          <w:tcPr>
            <w:tcW w:w="0" w:type="auto"/>
            <w:shd w:val="clear" w:color="auto" w:fill="auto"/>
            <w:vAlign w:val="center"/>
          </w:tcPr>
          <w:p w14:paraId="5E499D86">
            <w:pPr>
              <w:keepNext w:val="0"/>
              <w:keepLines w:val="0"/>
              <w:widowControl/>
              <w:suppressLineNumbers w:val="0"/>
              <w:jc w:val="left"/>
            </w:pPr>
            <w:r>
              <w:rPr>
                <w:rFonts w:ascii="宋体" w:hAnsi="宋体" w:eastAsia="宋体" w:cs="宋体"/>
                <w:kern w:val="0"/>
                <w:sz w:val="24"/>
                <w:szCs w:val="24"/>
                <w:lang w:val="en-US" w:eastAsia="zh-CN" w:bidi="ar"/>
              </w:rPr>
              <w:t>在所有3个学科中达成共识</w:t>
            </w:r>
          </w:p>
        </w:tc>
        <w:tc>
          <w:tcPr>
            <w:tcW w:w="0" w:type="auto"/>
            <w:shd w:val="clear" w:color="auto" w:fill="auto"/>
            <w:vAlign w:val="center"/>
          </w:tcPr>
          <w:p w14:paraId="5A6A34EB">
            <w:pPr>
              <w:keepNext w:val="0"/>
              <w:keepLines w:val="0"/>
              <w:widowControl/>
              <w:suppressLineNumbers w:val="0"/>
              <w:jc w:val="left"/>
            </w:pPr>
            <w:r>
              <w:rPr>
                <w:rFonts w:ascii="宋体" w:hAnsi="宋体" w:eastAsia="宋体" w:cs="宋体"/>
                <w:kern w:val="0"/>
                <w:sz w:val="24"/>
                <w:szCs w:val="24"/>
                <w:lang w:val="en-US" w:eastAsia="zh-CN" w:bidi="ar"/>
              </w:rPr>
              <w:t>德尔菲研究中达成共识的11项标准，具体内容未在研究材料中详细列出。</w:t>
            </w:r>
          </w:p>
        </w:tc>
      </w:tr>
      <w:tr w14:paraId="37CD5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2F1A6C">
            <w:pPr>
              <w:keepNext w:val="0"/>
              <w:keepLines w:val="0"/>
              <w:widowControl/>
              <w:suppressLineNumbers w:val="0"/>
              <w:jc w:val="left"/>
            </w:pPr>
            <w:r>
              <w:rPr>
                <w:rFonts w:ascii="宋体" w:hAnsi="宋体" w:eastAsia="宋体" w:cs="宋体"/>
                <w:kern w:val="0"/>
                <w:sz w:val="24"/>
                <w:szCs w:val="24"/>
                <w:lang w:val="en-US" w:eastAsia="zh-CN" w:bidi="ar"/>
              </w:rPr>
              <w:t>学科特定标准</w:t>
            </w:r>
          </w:p>
        </w:tc>
        <w:tc>
          <w:tcPr>
            <w:tcW w:w="0" w:type="auto"/>
            <w:shd w:val="clear" w:color="auto" w:fill="auto"/>
            <w:vAlign w:val="center"/>
          </w:tcPr>
          <w:p w14:paraId="0841C67F">
            <w:pPr>
              <w:keepNext w:val="0"/>
              <w:keepLines w:val="0"/>
              <w:widowControl/>
              <w:suppressLineNumbers w:val="0"/>
              <w:jc w:val="left"/>
            </w:pPr>
            <w:r>
              <w:rPr>
                <w:rFonts w:ascii="宋体" w:hAnsi="宋体" w:eastAsia="宋体" w:cs="宋体"/>
                <w:kern w:val="0"/>
                <w:sz w:val="24"/>
                <w:szCs w:val="24"/>
                <w:lang w:val="en-US" w:eastAsia="zh-CN" w:bidi="ar"/>
              </w:rPr>
              <w:t>6项未明确列出的标准</w:t>
            </w:r>
          </w:p>
        </w:tc>
        <w:tc>
          <w:tcPr>
            <w:tcW w:w="0" w:type="auto"/>
            <w:shd w:val="clear" w:color="auto" w:fill="auto"/>
            <w:vAlign w:val="center"/>
          </w:tcPr>
          <w:p w14:paraId="7D28C57F">
            <w:pPr>
              <w:keepNext w:val="0"/>
              <w:keepLines w:val="0"/>
              <w:widowControl/>
              <w:suppressLineNumbers w:val="0"/>
              <w:jc w:val="left"/>
            </w:pPr>
            <w:r>
              <w:rPr>
                <w:rFonts w:ascii="宋体" w:hAnsi="宋体" w:eastAsia="宋体" w:cs="宋体"/>
                <w:kern w:val="0"/>
                <w:sz w:val="24"/>
                <w:szCs w:val="24"/>
                <w:lang w:val="en-US" w:eastAsia="zh-CN" w:bidi="ar"/>
              </w:rPr>
              <w:t>在1-2个学科中达成共识</w:t>
            </w:r>
          </w:p>
        </w:tc>
        <w:tc>
          <w:tcPr>
            <w:tcW w:w="0" w:type="auto"/>
            <w:shd w:val="clear" w:color="auto" w:fill="auto"/>
            <w:vAlign w:val="center"/>
          </w:tcPr>
          <w:p w14:paraId="2E6DD886">
            <w:pPr>
              <w:keepNext w:val="0"/>
              <w:keepLines w:val="0"/>
              <w:widowControl/>
              <w:suppressLineNumbers w:val="0"/>
              <w:jc w:val="left"/>
            </w:pPr>
            <w:r>
              <w:rPr>
                <w:rFonts w:ascii="宋体" w:hAnsi="宋体" w:eastAsia="宋体" w:cs="宋体"/>
                <w:kern w:val="0"/>
                <w:sz w:val="24"/>
                <w:szCs w:val="24"/>
                <w:lang w:val="en-US" w:eastAsia="zh-CN" w:bidi="ar"/>
              </w:rPr>
              <w:t>德尔菲研究中达成共识的6项学科特定标准，具体内容未在研究材料中详细列出。</w:t>
            </w:r>
          </w:p>
        </w:tc>
      </w:tr>
      <w:tr w14:paraId="670DD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CE912B">
            <w:pPr>
              <w:keepNext w:val="0"/>
              <w:keepLines w:val="0"/>
              <w:widowControl/>
              <w:suppressLineNumbers w:val="0"/>
              <w:jc w:val="left"/>
            </w:pPr>
            <w:r>
              <w:rPr>
                <w:rFonts w:ascii="宋体" w:hAnsi="宋体" w:eastAsia="宋体" w:cs="宋体"/>
                <w:kern w:val="0"/>
                <w:sz w:val="24"/>
                <w:szCs w:val="24"/>
                <w:lang w:val="en-US" w:eastAsia="zh-CN" w:bidi="ar"/>
              </w:rPr>
              <w:t>未达成共识标准</w:t>
            </w:r>
          </w:p>
        </w:tc>
        <w:tc>
          <w:tcPr>
            <w:tcW w:w="0" w:type="auto"/>
            <w:shd w:val="clear" w:color="auto" w:fill="auto"/>
            <w:vAlign w:val="center"/>
          </w:tcPr>
          <w:p w14:paraId="3F2D2CB6">
            <w:pPr>
              <w:keepNext w:val="0"/>
              <w:keepLines w:val="0"/>
              <w:widowControl/>
              <w:suppressLineNumbers w:val="0"/>
              <w:jc w:val="left"/>
            </w:pPr>
            <w:r>
              <w:rPr>
                <w:rFonts w:ascii="宋体" w:hAnsi="宋体" w:eastAsia="宋体" w:cs="宋体"/>
                <w:kern w:val="0"/>
                <w:sz w:val="24"/>
                <w:szCs w:val="24"/>
                <w:lang w:val="en-US" w:eastAsia="zh-CN" w:bidi="ar"/>
              </w:rPr>
              <w:t>生产力</w:t>
            </w:r>
          </w:p>
        </w:tc>
        <w:tc>
          <w:tcPr>
            <w:tcW w:w="0" w:type="auto"/>
            <w:shd w:val="clear" w:color="auto" w:fill="auto"/>
            <w:vAlign w:val="center"/>
          </w:tcPr>
          <w:p w14:paraId="1CCEEC5B">
            <w:pPr>
              <w:keepNext w:val="0"/>
              <w:keepLines w:val="0"/>
              <w:widowControl/>
              <w:suppressLineNumbers w:val="0"/>
              <w:jc w:val="left"/>
            </w:pPr>
            <w:r>
              <w:rPr>
                <w:rFonts w:ascii="宋体" w:hAnsi="宋体" w:eastAsia="宋体" w:cs="宋体"/>
                <w:kern w:val="0"/>
                <w:sz w:val="24"/>
                <w:szCs w:val="24"/>
                <w:lang w:val="en-US" w:eastAsia="zh-CN" w:bidi="ar"/>
              </w:rPr>
              <w:t>在任何学科中均未达成共识</w:t>
            </w:r>
          </w:p>
        </w:tc>
        <w:tc>
          <w:tcPr>
            <w:tcW w:w="0" w:type="auto"/>
            <w:shd w:val="clear" w:color="auto" w:fill="auto"/>
            <w:vAlign w:val="center"/>
          </w:tcPr>
          <w:p w14:paraId="5C107483">
            <w:pPr>
              <w:keepNext w:val="0"/>
              <w:keepLines w:val="0"/>
              <w:widowControl/>
              <w:suppressLineNumbers w:val="0"/>
              <w:jc w:val="left"/>
            </w:pPr>
            <w:r>
              <w:rPr>
                <w:rFonts w:ascii="宋体" w:hAnsi="宋体" w:eastAsia="宋体" w:cs="宋体"/>
                <w:kern w:val="0"/>
                <w:sz w:val="24"/>
                <w:szCs w:val="24"/>
                <w:lang w:val="en-US" w:eastAsia="zh-CN" w:bidi="ar"/>
              </w:rPr>
              <w:t>反映了人文学者对纯粹量化指标的抵制。</w:t>
            </w:r>
          </w:p>
        </w:tc>
      </w:tr>
      <w:tr w14:paraId="609A0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30AF02">
            <w:pPr>
              <w:keepNext w:val="0"/>
              <w:keepLines w:val="0"/>
              <w:widowControl/>
              <w:suppressLineNumbers w:val="0"/>
              <w:jc w:val="left"/>
            </w:pPr>
            <w:r>
              <w:rPr>
                <w:rFonts w:ascii="宋体" w:hAnsi="宋体" w:eastAsia="宋体" w:cs="宋体"/>
                <w:kern w:val="0"/>
                <w:sz w:val="24"/>
                <w:szCs w:val="24"/>
                <w:lang w:val="en-US" w:eastAsia="zh-CN" w:bidi="ar"/>
              </w:rPr>
              <w:t>未达成共识标准</w:t>
            </w:r>
          </w:p>
        </w:tc>
        <w:tc>
          <w:tcPr>
            <w:tcW w:w="0" w:type="auto"/>
            <w:shd w:val="clear" w:color="auto" w:fill="auto"/>
            <w:vAlign w:val="center"/>
          </w:tcPr>
          <w:p w14:paraId="0BDC81A8">
            <w:pPr>
              <w:keepNext w:val="0"/>
              <w:keepLines w:val="0"/>
              <w:widowControl/>
              <w:suppressLineNumbers w:val="0"/>
              <w:jc w:val="left"/>
            </w:pPr>
            <w:r>
              <w:rPr>
                <w:rFonts w:ascii="宋体" w:hAnsi="宋体" w:eastAsia="宋体" w:cs="宋体"/>
                <w:kern w:val="0"/>
                <w:sz w:val="24"/>
                <w:szCs w:val="24"/>
                <w:lang w:val="en-US" w:eastAsia="zh-CN" w:bidi="ar"/>
              </w:rPr>
              <w:t>与社会的关系及影响</w:t>
            </w:r>
          </w:p>
        </w:tc>
        <w:tc>
          <w:tcPr>
            <w:tcW w:w="0" w:type="auto"/>
            <w:shd w:val="clear" w:color="auto" w:fill="auto"/>
            <w:vAlign w:val="center"/>
          </w:tcPr>
          <w:p w14:paraId="688FAF7F">
            <w:pPr>
              <w:keepNext w:val="0"/>
              <w:keepLines w:val="0"/>
              <w:widowControl/>
              <w:suppressLineNumbers w:val="0"/>
              <w:jc w:val="left"/>
            </w:pPr>
            <w:r>
              <w:rPr>
                <w:rFonts w:ascii="宋体" w:hAnsi="宋体" w:eastAsia="宋体" w:cs="宋体"/>
                <w:kern w:val="0"/>
                <w:sz w:val="24"/>
                <w:szCs w:val="24"/>
                <w:lang w:val="en-US" w:eastAsia="zh-CN" w:bidi="ar"/>
              </w:rPr>
              <w:t>在任何学科中均未达成共识</w:t>
            </w:r>
          </w:p>
        </w:tc>
        <w:tc>
          <w:tcPr>
            <w:tcW w:w="0" w:type="auto"/>
            <w:shd w:val="clear" w:color="auto" w:fill="auto"/>
            <w:vAlign w:val="center"/>
          </w:tcPr>
          <w:p w14:paraId="0B0E0A5F">
            <w:pPr>
              <w:keepNext w:val="0"/>
              <w:keepLines w:val="0"/>
              <w:widowControl/>
              <w:suppressLineNumbers w:val="0"/>
              <w:jc w:val="left"/>
            </w:pPr>
            <w:r>
              <w:rPr>
                <w:rFonts w:ascii="宋体" w:hAnsi="宋体" w:eastAsia="宋体" w:cs="宋体"/>
                <w:kern w:val="0"/>
                <w:sz w:val="24"/>
                <w:szCs w:val="24"/>
                <w:lang w:val="en-US" w:eastAsia="zh-CN" w:bidi="ar"/>
              </w:rPr>
              <w:t>与跨学科研究中对社会相关性的重视形成对比。</w:t>
            </w:r>
          </w:p>
        </w:tc>
      </w:tr>
      <w:tr w14:paraId="1392C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2DB14D">
            <w:pPr>
              <w:keepNext w:val="0"/>
              <w:keepLines w:val="0"/>
              <w:widowControl/>
              <w:suppressLineNumbers w:val="0"/>
              <w:jc w:val="left"/>
            </w:pPr>
            <w:r>
              <w:rPr>
                <w:rFonts w:ascii="宋体" w:hAnsi="宋体" w:eastAsia="宋体" w:cs="宋体"/>
                <w:kern w:val="0"/>
                <w:sz w:val="24"/>
                <w:szCs w:val="24"/>
                <w:lang w:val="en-US" w:eastAsia="zh-CN" w:bidi="ar"/>
              </w:rPr>
              <w:t>总体量化程度</w:t>
            </w:r>
          </w:p>
        </w:tc>
        <w:tc>
          <w:tcPr>
            <w:tcW w:w="0" w:type="auto"/>
            <w:shd w:val="clear" w:color="auto" w:fill="auto"/>
            <w:vAlign w:val="center"/>
          </w:tcPr>
          <w:p w14:paraId="5632C80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42362471">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58105393">
            <w:pPr>
              <w:keepNext w:val="0"/>
              <w:keepLines w:val="0"/>
              <w:widowControl/>
              <w:suppressLineNumbers w:val="0"/>
              <w:jc w:val="left"/>
            </w:pPr>
            <w:r>
              <w:rPr>
                <w:rFonts w:ascii="宋体" w:hAnsi="宋体" w:eastAsia="宋体" w:cs="宋体"/>
                <w:kern w:val="0"/>
                <w:sz w:val="24"/>
                <w:szCs w:val="24"/>
                <w:lang w:val="en-US" w:eastAsia="zh-CN" w:bidi="ar"/>
              </w:rPr>
              <w:t>仅有55%的已识别相关方面可量化。</w:t>
            </w:r>
          </w:p>
        </w:tc>
      </w:tr>
    </w:tbl>
    <w:p w14:paraId="18FDBAAE">
      <w:pPr>
        <w:keepNext w:val="0"/>
        <w:keepLines w:val="0"/>
        <w:widowControl/>
        <w:suppressLineNumbers w:val="0"/>
        <w:jc w:val="left"/>
      </w:pPr>
      <w:r>
        <w:rPr>
          <w:rFonts w:ascii="宋体" w:hAnsi="宋体" w:eastAsia="宋体" w:cs="宋体"/>
          <w:kern w:val="0"/>
          <w:sz w:val="24"/>
          <w:szCs w:val="24"/>
          <w:lang w:val="en-US" w:eastAsia="zh-CN" w:bidi="ar"/>
        </w:rPr>
        <w:t>导出到 Google 表格</w:t>
      </w:r>
    </w:p>
    <w:p w14:paraId="07A60CCA">
      <w:pPr>
        <w:pStyle w:val="4"/>
        <w:keepNext w:val="0"/>
        <w:keepLines w:val="0"/>
        <w:widowControl/>
        <w:suppressLineNumbers w:val="0"/>
      </w:pPr>
      <w:r>
        <w:t>历史研究的特殊考量</w:t>
      </w:r>
    </w:p>
    <w:p w14:paraId="60076FB7">
      <w:pPr>
        <w:pStyle w:val="6"/>
        <w:keepNext w:val="0"/>
        <w:keepLines w:val="0"/>
        <w:widowControl/>
        <w:suppressLineNumbers w:val="0"/>
      </w:pPr>
      <w:r>
        <w:t>历史研究的质量根本上取决于严格的史料批判、语境化和发展有充分支持的分析性论证。历史研究的评估标准包括 ：</w:t>
      </w:r>
    </w:p>
    <w:p w14:paraId="38D175AA">
      <w:pPr>
        <w:keepNext w:val="0"/>
        <w:keepLines w:val="0"/>
        <w:widowControl/>
        <w:numPr>
          <w:ilvl w:val="0"/>
          <w:numId w:val="5"/>
        </w:numPr>
        <w:suppressLineNumbers w:val="0"/>
        <w:spacing w:before="0" w:beforeAutospacing="1" w:after="0" w:afterAutospacing="1"/>
        <w:ind w:left="1440" w:hanging="360"/>
      </w:pPr>
    </w:p>
    <w:p w14:paraId="6611966B">
      <w:pPr>
        <w:pStyle w:val="6"/>
        <w:keepNext w:val="0"/>
        <w:keepLines w:val="0"/>
        <w:widowControl/>
        <w:suppressLineNumbers w:val="0"/>
        <w:ind w:left="720"/>
      </w:pPr>
      <w:r>
        <w:rPr>
          <w:b/>
          <w:bCs/>
        </w:rPr>
        <w:t>有意义的主题和聚焦的研究问题：</w:t>
      </w:r>
      <w:r>
        <w:t xml:space="preserve"> 选择一个有意义的人类历史主题，并将其表达为一个聚焦且能在字数限制内有效讨论的研究问题。</w:t>
      </w:r>
    </w:p>
    <w:p w14:paraId="1157D867">
      <w:pPr>
        <w:keepNext w:val="0"/>
        <w:keepLines w:val="0"/>
        <w:widowControl/>
        <w:numPr>
          <w:ilvl w:val="0"/>
          <w:numId w:val="5"/>
        </w:numPr>
        <w:suppressLineNumbers w:val="0"/>
        <w:spacing w:before="0" w:beforeAutospacing="1" w:after="0" w:afterAutospacing="1"/>
        <w:ind w:left="1440" w:hanging="360"/>
      </w:pPr>
    </w:p>
    <w:p w14:paraId="3C7F93D8">
      <w:pPr>
        <w:keepNext w:val="0"/>
        <w:keepLines w:val="0"/>
        <w:widowControl/>
        <w:numPr>
          <w:ilvl w:val="0"/>
          <w:numId w:val="5"/>
        </w:numPr>
        <w:suppressLineNumbers w:val="0"/>
        <w:spacing w:before="0" w:beforeAutospacing="1" w:after="0" w:afterAutospacing="1"/>
        <w:ind w:left="1440" w:hanging="360"/>
      </w:pPr>
    </w:p>
    <w:p w14:paraId="0F4313CF">
      <w:pPr>
        <w:pStyle w:val="6"/>
        <w:keepNext w:val="0"/>
        <w:keepLines w:val="0"/>
        <w:widowControl/>
        <w:suppressLineNumbers w:val="0"/>
        <w:ind w:left="720"/>
      </w:pPr>
      <w:r>
        <w:rPr>
          <w:b/>
          <w:bCs/>
        </w:rPr>
        <w:t>历史背景和意义：</w:t>
      </w:r>
      <w:r>
        <w:t xml:space="preserve"> 建立主题的历史背景和意义，并解释其值得研究的原因。</w:t>
      </w:r>
    </w:p>
    <w:p w14:paraId="40C4FD14">
      <w:pPr>
        <w:keepNext w:val="0"/>
        <w:keepLines w:val="0"/>
        <w:widowControl/>
        <w:numPr>
          <w:ilvl w:val="0"/>
          <w:numId w:val="5"/>
        </w:numPr>
        <w:suppressLineNumbers w:val="0"/>
        <w:spacing w:before="0" w:beforeAutospacing="1" w:after="0" w:afterAutospacing="1"/>
        <w:ind w:left="1440" w:hanging="360"/>
      </w:pPr>
    </w:p>
    <w:p w14:paraId="696D1520">
      <w:pPr>
        <w:keepNext w:val="0"/>
        <w:keepLines w:val="0"/>
        <w:widowControl/>
        <w:numPr>
          <w:ilvl w:val="0"/>
          <w:numId w:val="5"/>
        </w:numPr>
        <w:suppressLineNumbers w:val="0"/>
        <w:spacing w:before="0" w:beforeAutospacing="1" w:after="0" w:afterAutospacing="1"/>
        <w:ind w:left="1440" w:hanging="360"/>
      </w:pPr>
    </w:p>
    <w:p w14:paraId="4E404CF1">
      <w:pPr>
        <w:pStyle w:val="6"/>
        <w:keepNext w:val="0"/>
        <w:keepLines w:val="0"/>
        <w:widowControl/>
        <w:suppressLineNumbers w:val="0"/>
        <w:ind w:left="720"/>
      </w:pPr>
      <w:r>
        <w:rPr>
          <w:b/>
          <w:bCs/>
        </w:rPr>
        <w:t>史料选择和运用：</w:t>
      </w:r>
      <w:r>
        <w:t xml:space="preserve"> 选择适当和相关的史料（包括一手和二手史料），并展示事实材料以及历史学家的观点，这些史料必须为论证和结论提供充分支持。</w:t>
      </w:r>
    </w:p>
    <w:p w14:paraId="19E12326">
      <w:pPr>
        <w:keepNext w:val="0"/>
        <w:keepLines w:val="0"/>
        <w:widowControl/>
        <w:numPr>
          <w:ilvl w:val="0"/>
          <w:numId w:val="5"/>
        </w:numPr>
        <w:suppressLineNumbers w:val="0"/>
        <w:spacing w:before="0" w:beforeAutospacing="1" w:after="0" w:afterAutospacing="1"/>
        <w:ind w:left="1440" w:hanging="360"/>
      </w:pPr>
    </w:p>
    <w:p w14:paraId="17D58420">
      <w:pPr>
        <w:keepNext w:val="0"/>
        <w:keepLines w:val="0"/>
        <w:widowControl/>
        <w:numPr>
          <w:ilvl w:val="0"/>
          <w:numId w:val="5"/>
        </w:numPr>
        <w:suppressLineNumbers w:val="0"/>
        <w:spacing w:before="0" w:beforeAutospacing="1" w:after="0" w:afterAutospacing="1"/>
        <w:ind w:left="1440" w:hanging="360"/>
      </w:pPr>
    </w:p>
    <w:p w14:paraId="23DE0B1A">
      <w:pPr>
        <w:pStyle w:val="6"/>
        <w:keepNext w:val="0"/>
        <w:keepLines w:val="0"/>
        <w:widowControl/>
        <w:suppressLineNumbers w:val="0"/>
        <w:ind w:left="720"/>
      </w:pPr>
      <w:r>
        <w:rPr>
          <w:b/>
          <w:bCs/>
        </w:rPr>
        <w:t>避免叙述性或描述性：</w:t>
      </w:r>
      <w:r>
        <w:t xml:space="preserve"> 论文不应完全或大部分是叙述性或描述性的，而应基于对历史史料的分析发展出有充分理由的论证。</w:t>
      </w:r>
    </w:p>
    <w:p w14:paraId="785AC3CB">
      <w:pPr>
        <w:keepNext w:val="0"/>
        <w:keepLines w:val="0"/>
        <w:widowControl/>
        <w:numPr>
          <w:ilvl w:val="0"/>
          <w:numId w:val="5"/>
        </w:numPr>
        <w:suppressLineNumbers w:val="0"/>
        <w:spacing w:before="0" w:beforeAutospacing="1" w:after="0" w:afterAutospacing="1"/>
        <w:ind w:left="1440" w:hanging="360"/>
      </w:pPr>
    </w:p>
    <w:p w14:paraId="64A2264C">
      <w:pPr>
        <w:keepNext w:val="0"/>
        <w:keepLines w:val="0"/>
        <w:widowControl/>
        <w:numPr>
          <w:ilvl w:val="0"/>
          <w:numId w:val="5"/>
        </w:numPr>
        <w:suppressLineNumbers w:val="0"/>
        <w:spacing w:before="0" w:beforeAutospacing="1" w:after="0" w:afterAutospacing="1"/>
        <w:ind w:left="1440" w:hanging="360"/>
      </w:pPr>
    </w:p>
    <w:p w14:paraId="3C5F1589">
      <w:pPr>
        <w:pStyle w:val="6"/>
        <w:keepNext w:val="0"/>
        <w:keepLines w:val="0"/>
        <w:widowControl/>
        <w:suppressLineNumbers w:val="0"/>
        <w:ind w:left="720"/>
      </w:pPr>
      <w:r>
        <w:rPr>
          <w:b/>
          <w:bCs/>
        </w:rPr>
        <w:t>批判性反思：</w:t>
      </w:r>
      <w:r>
        <w:t xml:space="preserve"> 展示批判性和反思性思维，超越简单描述程序，深入探讨研究过程中的思考、创造力和原创性。</w:t>
      </w:r>
    </w:p>
    <w:p w14:paraId="071178CB">
      <w:pPr>
        <w:keepNext w:val="0"/>
        <w:keepLines w:val="0"/>
        <w:widowControl/>
        <w:numPr>
          <w:ilvl w:val="0"/>
          <w:numId w:val="5"/>
        </w:numPr>
        <w:suppressLineNumbers w:val="0"/>
        <w:spacing w:before="0" w:beforeAutospacing="1" w:after="0" w:afterAutospacing="1"/>
        <w:ind w:left="1440" w:hanging="360"/>
      </w:pPr>
    </w:p>
    <w:p w14:paraId="05219EAC">
      <w:pPr>
        <w:keepNext w:val="0"/>
        <w:keepLines w:val="0"/>
        <w:widowControl/>
        <w:numPr>
          <w:ilvl w:val="0"/>
          <w:numId w:val="5"/>
        </w:numPr>
        <w:suppressLineNumbers w:val="0"/>
        <w:spacing w:before="0" w:beforeAutospacing="1" w:after="0" w:afterAutospacing="1"/>
        <w:ind w:left="1440" w:hanging="360"/>
      </w:pPr>
    </w:p>
    <w:p w14:paraId="75FFE33E">
      <w:pPr>
        <w:pStyle w:val="6"/>
        <w:keepNext w:val="0"/>
        <w:keepLines w:val="0"/>
        <w:widowControl/>
        <w:suppressLineNumbers w:val="0"/>
        <w:ind w:left="720"/>
      </w:pPr>
      <w:r>
        <w:rPr>
          <w:b/>
          <w:bCs/>
        </w:rPr>
        <w:t>规范引用：</w:t>
      </w:r>
      <w:r>
        <w:t xml:space="preserve"> 任何非原创材料都必须仔细注明出处，特别是引用和思想，并使用标准的参考文献格式，以避免学术不端行为 。</w:t>
      </w:r>
    </w:p>
    <w:p w14:paraId="2491D17C">
      <w:pPr>
        <w:keepNext w:val="0"/>
        <w:keepLines w:val="0"/>
        <w:widowControl/>
        <w:numPr>
          <w:ilvl w:val="0"/>
          <w:numId w:val="5"/>
        </w:numPr>
        <w:suppressLineNumbers w:val="0"/>
        <w:spacing w:before="0" w:beforeAutospacing="1" w:after="0" w:afterAutospacing="1"/>
        <w:ind w:left="1440" w:hanging="360"/>
      </w:pPr>
    </w:p>
    <w:p w14:paraId="569DCA86">
      <w:pPr>
        <w:pStyle w:val="6"/>
        <w:keepNext w:val="0"/>
        <w:keepLines w:val="0"/>
        <w:widowControl/>
        <w:suppressLineNumbers w:val="0"/>
      </w:pPr>
      <w:r>
        <w:t>史料评估技能至关重要，包括评估史料的显性/隐性含义（理解、解释）、有用性（相关性、证实、矛盾）、准确性、来源、可靠性、视角、语境、受众和动机 。对历史研究而言，其质量与处理证据的方法学严谨性密不可分。史料评估的任何失误（例如，忽视语境、偏见或可靠性）都会直接损害历史论证的有效性。因此，历史学中的“黄金法则”在于探究过程、对一手和二手史料的批判性参与以及论证的透明性，这些是区分严谨历史分析与简单叙述或不加批判的事实汇编的关键。</w:t>
      </w:r>
    </w:p>
    <w:p w14:paraId="54764E5E">
      <w:pPr>
        <w:pStyle w:val="4"/>
        <w:keepNext w:val="0"/>
        <w:keepLines w:val="0"/>
        <w:widowControl/>
        <w:suppressLineNumbers w:val="0"/>
      </w:pPr>
      <w:r>
        <w:t>哲学研究的评估标准</w:t>
      </w:r>
    </w:p>
    <w:p w14:paraId="746E38CF">
      <w:pPr>
        <w:pStyle w:val="6"/>
        <w:keepNext w:val="0"/>
        <w:keepLines w:val="0"/>
        <w:widowControl/>
        <w:suppressLineNumbers w:val="0"/>
      </w:pPr>
      <w:r>
        <w:t>哲学探究的质量体现在问题阐述的清晰度、论证的连贯性和强度，以及与现有思想的学术对话。哲学论文的评估标准包括 ：</w:t>
      </w:r>
    </w:p>
    <w:p w14:paraId="76E9F748">
      <w:pPr>
        <w:keepNext w:val="0"/>
        <w:keepLines w:val="0"/>
        <w:widowControl/>
        <w:numPr>
          <w:ilvl w:val="0"/>
          <w:numId w:val="6"/>
        </w:numPr>
        <w:suppressLineNumbers w:val="0"/>
        <w:spacing w:before="0" w:beforeAutospacing="1" w:after="0" w:afterAutospacing="1"/>
        <w:ind w:left="1440" w:hanging="360"/>
      </w:pPr>
    </w:p>
    <w:p w14:paraId="4171C3D8">
      <w:pPr>
        <w:pStyle w:val="6"/>
        <w:keepNext w:val="0"/>
        <w:keepLines w:val="0"/>
        <w:widowControl/>
        <w:suppressLineNumbers w:val="0"/>
        <w:ind w:left="720"/>
      </w:pPr>
      <w:r>
        <w:rPr>
          <w:b/>
          <w:bCs/>
        </w:rPr>
        <w:t>明确的问题或论点：</w:t>
      </w:r>
      <w:r>
        <w:t xml:space="preserve"> 论文是否解决了一个明确阐述的问题或论点。</w:t>
      </w:r>
    </w:p>
    <w:p w14:paraId="0861C289">
      <w:pPr>
        <w:keepNext w:val="0"/>
        <w:keepLines w:val="0"/>
        <w:widowControl/>
        <w:numPr>
          <w:ilvl w:val="0"/>
          <w:numId w:val="6"/>
        </w:numPr>
        <w:suppressLineNumbers w:val="0"/>
        <w:spacing w:before="0" w:beforeAutospacing="1" w:after="0" w:afterAutospacing="1"/>
        <w:ind w:left="1440" w:hanging="360"/>
      </w:pPr>
    </w:p>
    <w:p w14:paraId="09952430">
      <w:pPr>
        <w:keepNext w:val="0"/>
        <w:keepLines w:val="0"/>
        <w:widowControl/>
        <w:numPr>
          <w:ilvl w:val="0"/>
          <w:numId w:val="6"/>
        </w:numPr>
        <w:suppressLineNumbers w:val="0"/>
        <w:spacing w:before="0" w:beforeAutospacing="1" w:after="0" w:afterAutospacing="1"/>
        <w:ind w:left="1440" w:hanging="360"/>
      </w:pPr>
    </w:p>
    <w:p w14:paraId="6D4AA22A">
      <w:pPr>
        <w:pStyle w:val="6"/>
        <w:keepNext w:val="0"/>
        <w:keepLines w:val="0"/>
        <w:widowControl/>
        <w:suppressLineNumbers w:val="0"/>
        <w:ind w:left="720"/>
      </w:pPr>
      <w:r>
        <w:rPr>
          <w:b/>
          <w:bCs/>
        </w:rPr>
        <w:t>相关性：</w:t>
      </w:r>
      <w:r>
        <w:t xml:space="preserve"> 论文文本与解决问题（例如，是否回答了问题，各部分在多大程度上支持了答案）的相关性。</w:t>
      </w:r>
    </w:p>
    <w:p w14:paraId="1F0B02BD">
      <w:pPr>
        <w:keepNext w:val="0"/>
        <w:keepLines w:val="0"/>
        <w:widowControl/>
        <w:numPr>
          <w:ilvl w:val="0"/>
          <w:numId w:val="6"/>
        </w:numPr>
        <w:suppressLineNumbers w:val="0"/>
        <w:spacing w:before="0" w:beforeAutospacing="1" w:after="0" w:afterAutospacing="1"/>
        <w:ind w:left="1440" w:hanging="360"/>
      </w:pPr>
    </w:p>
    <w:p w14:paraId="69EEC6A4">
      <w:pPr>
        <w:keepNext w:val="0"/>
        <w:keepLines w:val="0"/>
        <w:widowControl/>
        <w:numPr>
          <w:ilvl w:val="0"/>
          <w:numId w:val="6"/>
        </w:numPr>
        <w:suppressLineNumbers w:val="0"/>
        <w:spacing w:before="0" w:beforeAutospacing="1" w:after="0" w:afterAutospacing="1"/>
        <w:ind w:left="1440" w:hanging="360"/>
      </w:pPr>
    </w:p>
    <w:p w14:paraId="5633CFE5">
      <w:pPr>
        <w:pStyle w:val="6"/>
        <w:keepNext w:val="0"/>
        <w:keepLines w:val="0"/>
        <w:widowControl/>
        <w:suppressLineNumbers w:val="0"/>
        <w:ind w:left="720"/>
      </w:pPr>
      <w:r>
        <w:rPr>
          <w:b/>
          <w:bCs/>
        </w:rPr>
        <w:t>清晰的写作和结构：</w:t>
      </w:r>
      <w:r>
        <w:t xml:space="preserve"> 论文是否清晰、结构适当，论证线索是否清晰。</w:t>
      </w:r>
    </w:p>
    <w:p w14:paraId="309D434A">
      <w:pPr>
        <w:keepNext w:val="0"/>
        <w:keepLines w:val="0"/>
        <w:widowControl/>
        <w:numPr>
          <w:ilvl w:val="0"/>
          <w:numId w:val="6"/>
        </w:numPr>
        <w:suppressLineNumbers w:val="0"/>
        <w:spacing w:before="0" w:beforeAutospacing="1" w:after="0" w:afterAutospacing="1"/>
        <w:ind w:left="1440" w:hanging="360"/>
      </w:pPr>
    </w:p>
    <w:p w14:paraId="614775C0">
      <w:pPr>
        <w:keepNext w:val="0"/>
        <w:keepLines w:val="0"/>
        <w:widowControl/>
        <w:numPr>
          <w:ilvl w:val="0"/>
          <w:numId w:val="6"/>
        </w:numPr>
        <w:suppressLineNumbers w:val="0"/>
        <w:spacing w:before="0" w:beforeAutospacing="1" w:after="0" w:afterAutospacing="1"/>
        <w:ind w:left="1440" w:hanging="360"/>
      </w:pPr>
    </w:p>
    <w:p w14:paraId="158C49D7">
      <w:pPr>
        <w:pStyle w:val="6"/>
        <w:keepNext w:val="0"/>
        <w:keepLines w:val="0"/>
        <w:widowControl/>
        <w:suppressLineNumbers w:val="0"/>
        <w:ind w:left="720"/>
      </w:pPr>
      <w:r>
        <w:rPr>
          <w:b/>
          <w:bCs/>
        </w:rPr>
        <w:t>论证的连贯性和强度：</w:t>
      </w:r>
      <w:r>
        <w:t xml:space="preserve"> 所捍卫的立场是否连贯，所提供的论证是否充分。</w:t>
      </w:r>
    </w:p>
    <w:p w14:paraId="7FB1F92F">
      <w:pPr>
        <w:keepNext w:val="0"/>
        <w:keepLines w:val="0"/>
        <w:widowControl/>
        <w:numPr>
          <w:ilvl w:val="0"/>
          <w:numId w:val="6"/>
        </w:numPr>
        <w:suppressLineNumbers w:val="0"/>
        <w:spacing w:before="0" w:beforeAutospacing="1" w:after="0" w:afterAutospacing="1"/>
        <w:ind w:left="1440" w:hanging="360"/>
      </w:pPr>
    </w:p>
    <w:p w14:paraId="23E2584F">
      <w:pPr>
        <w:keepNext w:val="0"/>
        <w:keepLines w:val="0"/>
        <w:widowControl/>
        <w:numPr>
          <w:ilvl w:val="0"/>
          <w:numId w:val="6"/>
        </w:numPr>
        <w:suppressLineNumbers w:val="0"/>
        <w:spacing w:before="0" w:beforeAutospacing="1" w:after="0" w:afterAutospacing="1"/>
        <w:ind w:left="1440" w:hanging="360"/>
      </w:pPr>
    </w:p>
    <w:p w14:paraId="0934722A">
      <w:pPr>
        <w:pStyle w:val="6"/>
        <w:keepNext w:val="0"/>
        <w:keepLines w:val="0"/>
        <w:widowControl/>
        <w:suppressLineNumbers w:val="0"/>
        <w:ind w:left="720"/>
      </w:pPr>
      <w:r>
        <w:rPr>
          <w:b/>
          <w:bCs/>
        </w:rPr>
        <w:t>学科能力：</w:t>
      </w:r>
      <w:r>
        <w:t xml:space="preserve"> 作者是否具备学科能力，对他人作品的解释是否正确。</w:t>
      </w:r>
    </w:p>
    <w:p w14:paraId="18301128">
      <w:pPr>
        <w:keepNext w:val="0"/>
        <w:keepLines w:val="0"/>
        <w:widowControl/>
        <w:numPr>
          <w:ilvl w:val="0"/>
          <w:numId w:val="6"/>
        </w:numPr>
        <w:suppressLineNumbers w:val="0"/>
        <w:spacing w:before="0" w:beforeAutospacing="1" w:after="0" w:afterAutospacing="1"/>
        <w:ind w:left="1440" w:hanging="360"/>
      </w:pPr>
    </w:p>
    <w:p w14:paraId="4F76F33A">
      <w:pPr>
        <w:keepNext w:val="0"/>
        <w:keepLines w:val="0"/>
        <w:widowControl/>
        <w:numPr>
          <w:ilvl w:val="0"/>
          <w:numId w:val="6"/>
        </w:numPr>
        <w:suppressLineNumbers w:val="0"/>
        <w:spacing w:before="0" w:beforeAutospacing="1" w:after="0" w:afterAutospacing="1"/>
        <w:ind w:left="1440" w:hanging="360"/>
      </w:pPr>
    </w:p>
    <w:p w14:paraId="72A6F3DA">
      <w:pPr>
        <w:pStyle w:val="6"/>
        <w:keepNext w:val="0"/>
        <w:keepLines w:val="0"/>
        <w:widowControl/>
        <w:suppressLineNumbers w:val="0"/>
        <w:ind w:left="720"/>
      </w:pPr>
      <w:r>
        <w:rPr>
          <w:b/>
          <w:bCs/>
        </w:rPr>
        <w:t>规范引用：</w:t>
      </w:r>
      <w:r>
        <w:t xml:space="preserve"> 是否恰当引用其他哲学家的相关作品，并正确清晰地注明他人作品的出处。</w:t>
      </w:r>
    </w:p>
    <w:p w14:paraId="408A36D0">
      <w:pPr>
        <w:keepNext w:val="0"/>
        <w:keepLines w:val="0"/>
        <w:widowControl/>
        <w:numPr>
          <w:ilvl w:val="0"/>
          <w:numId w:val="6"/>
        </w:numPr>
        <w:suppressLineNumbers w:val="0"/>
        <w:spacing w:before="0" w:beforeAutospacing="1" w:after="0" w:afterAutospacing="1"/>
        <w:ind w:left="1440" w:hanging="360"/>
      </w:pPr>
    </w:p>
    <w:p w14:paraId="072F7DC9">
      <w:pPr>
        <w:keepNext w:val="0"/>
        <w:keepLines w:val="0"/>
        <w:widowControl/>
        <w:numPr>
          <w:ilvl w:val="0"/>
          <w:numId w:val="6"/>
        </w:numPr>
        <w:suppressLineNumbers w:val="0"/>
        <w:spacing w:before="0" w:beforeAutospacing="1" w:after="0" w:afterAutospacing="1"/>
        <w:ind w:left="1440" w:hanging="360"/>
      </w:pPr>
    </w:p>
    <w:p w14:paraId="74844CED">
      <w:pPr>
        <w:pStyle w:val="6"/>
        <w:keepNext w:val="0"/>
        <w:keepLines w:val="0"/>
        <w:widowControl/>
        <w:suppressLineNumbers w:val="0"/>
        <w:ind w:left="720"/>
      </w:pPr>
      <w:r>
        <w:rPr>
          <w:b/>
          <w:bCs/>
        </w:rPr>
        <w:t>原创性：</w:t>
      </w:r>
      <w:r>
        <w:t xml:space="preserve"> 即使捍卫的是既有立场，其表达方式也应具有原创性 。</w:t>
      </w:r>
    </w:p>
    <w:p w14:paraId="54834C0B">
      <w:pPr>
        <w:keepNext w:val="0"/>
        <w:keepLines w:val="0"/>
        <w:widowControl/>
        <w:numPr>
          <w:ilvl w:val="0"/>
          <w:numId w:val="6"/>
        </w:numPr>
        <w:suppressLineNumbers w:val="0"/>
        <w:spacing w:before="0" w:beforeAutospacing="1" w:after="0" w:afterAutospacing="1"/>
        <w:ind w:left="1440" w:hanging="360"/>
      </w:pPr>
    </w:p>
    <w:p w14:paraId="3ACC94CC">
      <w:pPr>
        <w:pStyle w:val="6"/>
        <w:keepNext w:val="0"/>
        <w:keepLines w:val="0"/>
        <w:widowControl/>
        <w:suppressLineNumbers w:val="0"/>
      </w:pPr>
      <w:r>
        <w:t>哲学评估的“黄金法则”集中于</w:t>
      </w:r>
      <w:r>
        <w:rPr>
          <w:b/>
          <w:bCs/>
        </w:rPr>
        <w:t>论证本身的智力严谨性</w:t>
      </w:r>
      <w:r>
        <w:t>及其对持续哲学讨论的贡献。对“连贯的立场和充分的论证”的强调直接指向哲学评估的核心。而对“正确解释他人作品”和“恰当引用”的重视则表明，哲学质量不仅在于孤立的才华，更在于对学术对话的贡献，建立在或批判现有思想之上。这意味着哲学的原创性往往在于论证的</w:t>
      </w:r>
      <w:r>
        <w:rPr>
          <w:b/>
          <w:bCs/>
        </w:rPr>
        <w:t>细致性、精确性和说服力</w:t>
      </w:r>
      <w:r>
        <w:t>，而非必然引入全新的概念。</w:t>
      </w:r>
    </w:p>
    <w:p w14:paraId="56E640B6">
      <w:pPr>
        <w:pStyle w:val="3"/>
        <w:keepNext w:val="0"/>
        <w:keepLines w:val="0"/>
        <w:widowControl/>
        <w:suppressLineNumbers w:val="0"/>
      </w:pPr>
      <w:r>
        <w:t>五、艺术作品与表演评估的“黄金法则”</w:t>
      </w:r>
    </w:p>
    <w:p w14:paraId="2B9703B2">
      <w:pPr>
        <w:pStyle w:val="4"/>
        <w:keepNext w:val="0"/>
        <w:keepLines w:val="0"/>
        <w:widowControl/>
        <w:suppressLineNumbers w:val="0"/>
      </w:pPr>
      <w:r>
        <w:t>A. 视觉艺术批评</w:t>
      </w:r>
    </w:p>
    <w:p w14:paraId="7F161149">
      <w:pPr>
        <w:pStyle w:val="6"/>
        <w:keepNext w:val="0"/>
        <w:keepLines w:val="0"/>
        <w:widowControl/>
        <w:suppressLineNumbers w:val="0"/>
      </w:pPr>
      <w:r>
        <w:t>视觉艺术的评估通过明确的阶段进行，从客观观察到知情判断。</w:t>
      </w:r>
    </w:p>
    <w:p w14:paraId="2C9E1EB8">
      <w:pPr>
        <w:pStyle w:val="5"/>
        <w:keepNext w:val="0"/>
        <w:keepLines w:val="0"/>
        <w:widowControl/>
        <w:suppressLineNumbers w:val="0"/>
      </w:pPr>
      <w:r>
        <w:t>艺术批评的四个阶段：结构化方法</w:t>
      </w:r>
    </w:p>
    <w:p w14:paraId="7FB54F23">
      <w:pPr>
        <w:pStyle w:val="6"/>
        <w:keepNext w:val="0"/>
        <w:keepLines w:val="0"/>
        <w:widowControl/>
        <w:suppressLineNumbers w:val="0"/>
      </w:pPr>
      <w:r>
        <w:t>E.B. Feldman 提出的艺术批评的四个主要阶段提供了一个系统化的“黄金法则”，引导评估者从客观观察走向有根据的判断，从而避免主观臆断 ：</w:t>
      </w:r>
    </w:p>
    <w:p w14:paraId="5C4593F2">
      <w:pPr>
        <w:keepNext w:val="0"/>
        <w:keepLines w:val="0"/>
        <w:widowControl/>
        <w:numPr>
          <w:ilvl w:val="0"/>
          <w:numId w:val="7"/>
        </w:numPr>
        <w:suppressLineNumbers w:val="0"/>
        <w:spacing w:before="0" w:beforeAutospacing="1" w:after="0" w:afterAutospacing="1"/>
        <w:ind w:left="1440" w:hanging="360"/>
      </w:pPr>
    </w:p>
    <w:p w14:paraId="2D3DEA52">
      <w:pPr>
        <w:pStyle w:val="6"/>
        <w:keepNext w:val="0"/>
        <w:keepLines w:val="0"/>
        <w:widowControl/>
        <w:suppressLineNumbers w:val="0"/>
        <w:ind w:left="720"/>
      </w:pPr>
      <w:r>
        <w:rPr>
          <w:b/>
          <w:bCs/>
        </w:rPr>
        <w:t>描述 (Description)：</w:t>
      </w:r>
      <w:r>
        <w:t xml:space="preserve"> 专注于客观的视觉元素（如线条、色彩、形状、纹理）、形式、媒介和工具，避免使用带有价值判断的词语（如“美丽”或“丑陋”）。</w:t>
      </w:r>
    </w:p>
    <w:p w14:paraId="0F879115">
      <w:pPr>
        <w:keepNext w:val="0"/>
        <w:keepLines w:val="0"/>
        <w:widowControl/>
        <w:numPr>
          <w:ilvl w:val="0"/>
          <w:numId w:val="7"/>
        </w:numPr>
        <w:suppressLineNumbers w:val="0"/>
        <w:spacing w:before="0" w:beforeAutospacing="1" w:after="0" w:afterAutospacing="1"/>
        <w:ind w:left="1440" w:hanging="360"/>
      </w:pPr>
    </w:p>
    <w:p w14:paraId="64F5ED04">
      <w:pPr>
        <w:keepNext w:val="0"/>
        <w:keepLines w:val="0"/>
        <w:widowControl/>
        <w:numPr>
          <w:ilvl w:val="0"/>
          <w:numId w:val="7"/>
        </w:numPr>
        <w:suppressLineNumbers w:val="0"/>
        <w:spacing w:before="0" w:beforeAutospacing="1" w:after="0" w:afterAutospacing="1"/>
        <w:ind w:left="1440" w:hanging="360"/>
      </w:pPr>
    </w:p>
    <w:p w14:paraId="1271D3C2">
      <w:pPr>
        <w:pStyle w:val="6"/>
        <w:keepNext w:val="0"/>
        <w:keepLines w:val="0"/>
        <w:widowControl/>
        <w:suppressLineNumbers w:val="0"/>
        <w:ind w:left="720"/>
      </w:pPr>
      <w:r>
        <w:rPr>
          <w:b/>
          <w:bCs/>
        </w:rPr>
        <w:t>分析 (Analysis)：</w:t>
      </w:r>
      <w:r>
        <w:t xml:space="preserve"> 考察元素之间以及设计原则（如平衡、统一、节奏、比例、强调）之间的关系，理解它们如何相互影响 。</w:t>
      </w:r>
    </w:p>
    <w:p w14:paraId="40267F09">
      <w:pPr>
        <w:keepNext w:val="0"/>
        <w:keepLines w:val="0"/>
        <w:widowControl/>
        <w:numPr>
          <w:ilvl w:val="0"/>
          <w:numId w:val="7"/>
        </w:numPr>
        <w:suppressLineNumbers w:val="0"/>
        <w:spacing w:before="0" w:beforeAutospacing="1" w:after="0" w:afterAutospacing="1"/>
        <w:ind w:left="1440" w:hanging="360"/>
      </w:pPr>
    </w:p>
    <w:p w14:paraId="22C7DA8A">
      <w:pPr>
        <w:keepNext w:val="0"/>
        <w:keepLines w:val="0"/>
        <w:widowControl/>
        <w:numPr>
          <w:ilvl w:val="0"/>
          <w:numId w:val="7"/>
        </w:numPr>
        <w:suppressLineNumbers w:val="0"/>
        <w:spacing w:before="0" w:beforeAutospacing="1" w:after="0" w:afterAutospacing="1"/>
        <w:ind w:left="1440" w:hanging="360"/>
      </w:pPr>
    </w:p>
    <w:p w14:paraId="0647B37F">
      <w:pPr>
        <w:pStyle w:val="6"/>
        <w:keepNext w:val="0"/>
        <w:keepLines w:val="0"/>
        <w:widowControl/>
        <w:suppressLineNumbers w:val="0"/>
        <w:ind w:left="720"/>
      </w:pPr>
      <w:r>
        <w:rPr>
          <w:b/>
          <w:bCs/>
        </w:rPr>
        <w:t>诠释 (Interpretation)：</w:t>
      </w:r>
      <w:r>
        <w:t xml:space="preserve"> 揭示作品的意义、象征和重要性，结合视觉事实、个人感受和艺术史知识进行深入理解 。</w:t>
      </w:r>
    </w:p>
    <w:p w14:paraId="43427F21">
      <w:pPr>
        <w:keepNext w:val="0"/>
        <w:keepLines w:val="0"/>
        <w:widowControl/>
        <w:numPr>
          <w:ilvl w:val="0"/>
          <w:numId w:val="7"/>
        </w:numPr>
        <w:suppressLineNumbers w:val="0"/>
        <w:spacing w:before="0" w:beforeAutospacing="1" w:after="0" w:afterAutospacing="1"/>
        <w:ind w:left="1440" w:hanging="360"/>
      </w:pPr>
    </w:p>
    <w:p w14:paraId="7AB9900A">
      <w:pPr>
        <w:keepNext w:val="0"/>
        <w:keepLines w:val="0"/>
        <w:widowControl/>
        <w:numPr>
          <w:ilvl w:val="0"/>
          <w:numId w:val="7"/>
        </w:numPr>
        <w:suppressLineNumbers w:val="0"/>
        <w:spacing w:before="0" w:beforeAutospacing="1" w:after="0" w:afterAutospacing="1"/>
        <w:ind w:left="1440" w:hanging="360"/>
      </w:pPr>
    </w:p>
    <w:p w14:paraId="1AAA4574">
      <w:pPr>
        <w:pStyle w:val="6"/>
        <w:keepNext w:val="0"/>
        <w:keepLines w:val="0"/>
        <w:widowControl/>
        <w:suppressLineNumbers w:val="0"/>
        <w:ind w:left="720"/>
      </w:pPr>
      <w:r>
        <w:rPr>
          <w:b/>
          <w:bCs/>
        </w:rPr>
        <w:t>判断 (Judgment)：</w:t>
      </w:r>
      <w:r>
        <w:t xml:space="preserve"> 基于明确的艺术哲学（如形式主义、表现主义、工具主义）对作品的成功或失败形成意见 。</w:t>
      </w:r>
    </w:p>
    <w:p w14:paraId="6BDED290">
      <w:pPr>
        <w:keepNext w:val="0"/>
        <w:keepLines w:val="0"/>
        <w:widowControl/>
        <w:numPr>
          <w:ilvl w:val="0"/>
          <w:numId w:val="7"/>
        </w:numPr>
        <w:suppressLineNumbers w:val="0"/>
        <w:spacing w:before="0" w:beforeAutospacing="1" w:after="0" w:afterAutospacing="1"/>
        <w:ind w:left="1440" w:hanging="360"/>
      </w:pPr>
    </w:p>
    <w:p w14:paraId="62DEB294">
      <w:pPr>
        <w:pStyle w:val="6"/>
        <w:keepNext w:val="0"/>
        <w:keepLines w:val="0"/>
        <w:widowControl/>
        <w:suppressLineNumbers w:val="0"/>
      </w:pPr>
      <w:r>
        <w:t>这种结构化的批判流程，有助于将艺术评估从纯粹的个人偏好提升为更具严谨性和透明度的过程。</w:t>
      </w:r>
    </w:p>
    <w:p w14:paraId="10E42A3A">
      <w:pPr>
        <w:pStyle w:val="5"/>
        <w:keepNext w:val="0"/>
        <w:keepLines w:val="0"/>
        <w:widowControl/>
        <w:suppressLineNumbers w:val="0"/>
      </w:pPr>
      <w:r>
        <w:t>评估艺术的五种品质：实用标准</w:t>
      </w:r>
    </w:p>
    <w:p w14:paraId="2809914A">
      <w:pPr>
        <w:pStyle w:val="6"/>
        <w:keepNext w:val="0"/>
        <w:keepLines w:val="0"/>
        <w:widowControl/>
        <w:suppressLineNumbers w:val="0"/>
      </w:pPr>
      <w:r>
        <w:t>除了结构化的批评方法，评估艺术品价值还可以依据以下五个关键品质 ：</w:t>
      </w:r>
    </w:p>
    <w:p w14:paraId="2F4A2B9E">
      <w:pPr>
        <w:keepNext w:val="0"/>
        <w:keepLines w:val="0"/>
        <w:widowControl/>
        <w:numPr>
          <w:ilvl w:val="0"/>
          <w:numId w:val="8"/>
        </w:numPr>
        <w:suppressLineNumbers w:val="0"/>
        <w:spacing w:before="0" w:beforeAutospacing="1" w:after="0" w:afterAutospacing="1"/>
        <w:ind w:left="1440" w:hanging="360"/>
      </w:pPr>
    </w:p>
    <w:p w14:paraId="08EE49A5">
      <w:pPr>
        <w:pStyle w:val="6"/>
        <w:keepNext w:val="0"/>
        <w:keepLines w:val="0"/>
        <w:widowControl/>
        <w:suppressLineNumbers w:val="0"/>
        <w:ind w:left="720"/>
      </w:pPr>
      <w:r>
        <w:rPr>
          <w:b/>
          <w:bCs/>
        </w:rPr>
        <w:t>美 (Beauty)：</w:t>
      </w:r>
      <w:r>
        <w:t xml:space="preserve"> 尽管主观，但在相同社会语境下，人们对美的感知往往趋于一致，例如重复的形状、图案、对称、互补的颜色、吸引人的构图等。</w:t>
      </w:r>
    </w:p>
    <w:p w14:paraId="11C5408D">
      <w:pPr>
        <w:keepNext w:val="0"/>
        <w:keepLines w:val="0"/>
        <w:widowControl/>
        <w:numPr>
          <w:ilvl w:val="0"/>
          <w:numId w:val="8"/>
        </w:numPr>
        <w:suppressLineNumbers w:val="0"/>
        <w:spacing w:before="0" w:beforeAutospacing="1" w:after="0" w:afterAutospacing="1"/>
        <w:ind w:left="1440" w:hanging="360"/>
      </w:pPr>
    </w:p>
    <w:p w14:paraId="42354BF7">
      <w:pPr>
        <w:keepNext w:val="0"/>
        <w:keepLines w:val="0"/>
        <w:widowControl/>
        <w:numPr>
          <w:ilvl w:val="0"/>
          <w:numId w:val="8"/>
        </w:numPr>
        <w:suppressLineNumbers w:val="0"/>
        <w:spacing w:before="0" w:beforeAutospacing="1" w:after="0" w:afterAutospacing="1"/>
        <w:ind w:left="1440" w:hanging="360"/>
      </w:pPr>
    </w:p>
    <w:p w14:paraId="53F79C61">
      <w:pPr>
        <w:pStyle w:val="6"/>
        <w:keepNext w:val="0"/>
        <w:keepLines w:val="0"/>
        <w:widowControl/>
        <w:suppressLineNumbers w:val="0"/>
        <w:ind w:left="720"/>
      </w:pPr>
      <w:r>
        <w:rPr>
          <w:b/>
          <w:bCs/>
        </w:rPr>
        <w:t>技巧与技术 (Skill and Technique)：</w:t>
      </w:r>
      <w:r>
        <w:t xml:space="preserve"> 这是艺术中最具可比性和可衡量性的方面，可以通过与其他作品的比较以及作品内部的一致性来判断。</w:t>
      </w:r>
    </w:p>
    <w:p w14:paraId="170643A8">
      <w:pPr>
        <w:keepNext w:val="0"/>
        <w:keepLines w:val="0"/>
        <w:widowControl/>
        <w:numPr>
          <w:ilvl w:val="0"/>
          <w:numId w:val="8"/>
        </w:numPr>
        <w:suppressLineNumbers w:val="0"/>
        <w:spacing w:before="0" w:beforeAutospacing="1" w:after="0" w:afterAutospacing="1"/>
        <w:ind w:left="1440" w:hanging="360"/>
      </w:pPr>
    </w:p>
    <w:p w14:paraId="1201D429">
      <w:pPr>
        <w:keepNext w:val="0"/>
        <w:keepLines w:val="0"/>
        <w:widowControl/>
        <w:numPr>
          <w:ilvl w:val="0"/>
          <w:numId w:val="8"/>
        </w:numPr>
        <w:suppressLineNumbers w:val="0"/>
        <w:spacing w:before="0" w:beforeAutospacing="1" w:after="0" w:afterAutospacing="1"/>
        <w:ind w:left="1440" w:hanging="360"/>
      </w:pPr>
    </w:p>
    <w:p w14:paraId="4A5B0209">
      <w:pPr>
        <w:pStyle w:val="6"/>
        <w:keepNext w:val="0"/>
        <w:keepLines w:val="0"/>
        <w:widowControl/>
        <w:suppressLineNumbers w:val="0"/>
        <w:ind w:left="720"/>
      </w:pPr>
      <w:r>
        <w:rPr>
          <w:b/>
          <w:bCs/>
        </w:rPr>
        <w:t>内在意义 (Inherent Meaning)：</w:t>
      </w:r>
      <w:r>
        <w:t xml:space="preserve"> 艺术作品可以通过唤起情感、提出政治声明或挑战既有观念来展现其力量。意义的深度可以从纯粹的再现到寓言或隐喻，增加艺术家的价值。</w:t>
      </w:r>
    </w:p>
    <w:p w14:paraId="78DC46E7">
      <w:pPr>
        <w:keepNext w:val="0"/>
        <w:keepLines w:val="0"/>
        <w:widowControl/>
        <w:numPr>
          <w:ilvl w:val="0"/>
          <w:numId w:val="8"/>
        </w:numPr>
        <w:suppressLineNumbers w:val="0"/>
        <w:spacing w:before="0" w:beforeAutospacing="1" w:after="0" w:afterAutospacing="1"/>
        <w:ind w:left="1440" w:hanging="360"/>
      </w:pPr>
    </w:p>
    <w:p w14:paraId="2670828D">
      <w:pPr>
        <w:keepNext w:val="0"/>
        <w:keepLines w:val="0"/>
        <w:widowControl/>
        <w:numPr>
          <w:ilvl w:val="0"/>
          <w:numId w:val="8"/>
        </w:numPr>
        <w:suppressLineNumbers w:val="0"/>
        <w:spacing w:before="0" w:beforeAutospacing="1" w:after="0" w:afterAutospacing="1"/>
        <w:ind w:left="1440" w:hanging="360"/>
      </w:pPr>
    </w:p>
    <w:p w14:paraId="10D56355">
      <w:pPr>
        <w:pStyle w:val="6"/>
        <w:keepNext w:val="0"/>
        <w:keepLines w:val="0"/>
        <w:widowControl/>
        <w:suppressLineNumbers w:val="0"/>
        <w:ind w:left="720"/>
      </w:pPr>
      <w:r>
        <w:rPr>
          <w:b/>
          <w:bCs/>
        </w:rPr>
        <w:t>独特性 (Uniqueness)：</w:t>
      </w:r>
      <w:r>
        <w:t xml:space="preserve"> 好的艺术作品要么探索新的主题，要么以新颖的方式处理旧主题。独特性应能增强而非分散作品的吸引力。</w:t>
      </w:r>
    </w:p>
    <w:p w14:paraId="4833CB2B">
      <w:pPr>
        <w:keepNext w:val="0"/>
        <w:keepLines w:val="0"/>
        <w:widowControl/>
        <w:numPr>
          <w:ilvl w:val="0"/>
          <w:numId w:val="8"/>
        </w:numPr>
        <w:suppressLineNumbers w:val="0"/>
        <w:spacing w:before="0" w:beforeAutospacing="1" w:after="0" w:afterAutospacing="1"/>
        <w:ind w:left="1440" w:hanging="360"/>
      </w:pPr>
    </w:p>
    <w:p w14:paraId="1C8C5AE0">
      <w:pPr>
        <w:keepNext w:val="0"/>
        <w:keepLines w:val="0"/>
        <w:widowControl/>
        <w:numPr>
          <w:ilvl w:val="0"/>
          <w:numId w:val="8"/>
        </w:numPr>
        <w:suppressLineNumbers w:val="0"/>
        <w:spacing w:before="0" w:beforeAutospacing="1" w:after="0" w:afterAutospacing="1"/>
        <w:ind w:left="1440" w:hanging="360"/>
      </w:pPr>
    </w:p>
    <w:p w14:paraId="1C9D2416">
      <w:pPr>
        <w:pStyle w:val="6"/>
        <w:keepNext w:val="0"/>
        <w:keepLines w:val="0"/>
        <w:widowControl/>
        <w:suppressLineNumbers w:val="0"/>
        <w:ind w:left="720"/>
      </w:pPr>
      <w:r>
        <w:rPr>
          <w:b/>
          <w:bCs/>
        </w:rPr>
        <w:t>意图的实现 (Fulfilled Intent)：</w:t>
      </w:r>
      <w:r>
        <w:t xml:space="preserve"> 艺术家传达其目的的程度。艺术家的陈述通常能帮助观者理解其意图，作品应与此意图保持一致。</w:t>
      </w:r>
    </w:p>
    <w:p w14:paraId="674870E5">
      <w:pPr>
        <w:keepNext w:val="0"/>
        <w:keepLines w:val="0"/>
        <w:widowControl/>
        <w:numPr>
          <w:ilvl w:val="0"/>
          <w:numId w:val="8"/>
        </w:numPr>
        <w:suppressLineNumbers w:val="0"/>
        <w:spacing w:before="0" w:beforeAutospacing="1" w:after="0" w:afterAutospacing="1"/>
        <w:ind w:left="1440" w:hanging="360"/>
      </w:pPr>
    </w:p>
    <w:p w14:paraId="58DDF1E4">
      <w:pPr>
        <w:pStyle w:val="6"/>
        <w:keepNext w:val="0"/>
        <w:keepLines w:val="0"/>
        <w:widowControl/>
        <w:suppressLineNumbers w:val="0"/>
      </w:pPr>
      <w:r>
        <w:t>这些品质提供了一个全面的视角来评估艺术品的价值。</w:t>
      </w:r>
    </w:p>
    <w:p w14:paraId="38943315">
      <w:pPr>
        <w:pStyle w:val="5"/>
        <w:keepNext w:val="0"/>
        <w:keepLines w:val="0"/>
        <w:widowControl/>
        <w:suppressLineNumbers w:val="0"/>
      </w:pPr>
      <w:r>
        <w:t>艺术元素与设计原则：基础词汇</w:t>
      </w:r>
    </w:p>
    <w:p w14:paraId="6B2F7FEB">
      <w:pPr>
        <w:pStyle w:val="6"/>
        <w:keepNext w:val="0"/>
        <w:keepLines w:val="0"/>
        <w:widowControl/>
        <w:suppressLineNumbers w:val="0"/>
      </w:pPr>
      <w:r>
        <w:t>在视觉艺术评估中，掌握艺术的元素和原则是理解和分析作品的基础 ：</w:t>
      </w:r>
    </w:p>
    <w:p w14:paraId="4C0C90E4">
      <w:pPr>
        <w:keepNext w:val="0"/>
        <w:keepLines w:val="0"/>
        <w:widowControl/>
        <w:numPr>
          <w:ilvl w:val="0"/>
          <w:numId w:val="9"/>
        </w:numPr>
        <w:suppressLineNumbers w:val="0"/>
        <w:spacing w:before="0" w:beforeAutospacing="1" w:after="0" w:afterAutospacing="1"/>
        <w:ind w:left="1440" w:hanging="360"/>
      </w:pPr>
    </w:p>
    <w:p w14:paraId="2905047C">
      <w:pPr>
        <w:pStyle w:val="6"/>
        <w:keepNext w:val="0"/>
        <w:keepLines w:val="0"/>
        <w:widowControl/>
        <w:suppressLineNumbers w:val="0"/>
        <w:ind w:left="720"/>
      </w:pPr>
      <w:r>
        <w:rPr>
          <w:b/>
          <w:bCs/>
        </w:rPr>
        <w:t>艺术元素 (Elements of Art)：</w:t>
      </w:r>
      <w:r>
        <w:t xml:space="preserve"> 构成艺术作品的基本组成部分，包括线条 (line)、形状 (shape)、形式 (form)、空间 (space)、色彩 (color)、明度 (value) 和纹理 (texture)。</w:t>
      </w:r>
    </w:p>
    <w:p w14:paraId="3BE906D7">
      <w:pPr>
        <w:keepNext w:val="0"/>
        <w:keepLines w:val="0"/>
        <w:widowControl/>
        <w:numPr>
          <w:ilvl w:val="0"/>
          <w:numId w:val="9"/>
        </w:numPr>
        <w:suppressLineNumbers w:val="0"/>
        <w:spacing w:before="0" w:beforeAutospacing="1" w:after="0" w:afterAutospacing="1"/>
        <w:ind w:left="1440" w:hanging="360"/>
      </w:pPr>
    </w:p>
    <w:p w14:paraId="49F13FE9">
      <w:pPr>
        <w:keepNext w:val="0"/>
        <w:keepLines w:val="0"/>
        <w:widowControl/>
        <w:numPr>
          <w:ilvl w:val="0"/>
          <w:numId w:val="9"/>
        </w:numPr>
        <w:suppressLineNumbers w:val="0"/>
        <w:spacing w:before="0" w:beforeAutospacing="1" w:after="0" w:afterAutospacing="1"/>
        <w:ind w:left="1440" w:hanging="360"/>
      </w:pPr>
    </w:p>
    <w:p w14:paraId="7A1392B6">
      <w:pPr>
        <w:pStyle w:val="6"/>
        <w:keepNext w:val="0"/>
        <w:keepLines w:val="0"/>
        <w:widowControl/>
        <w:suppressLineNumbers w:val="0"/>
        <w:ind w:left="720"/>
      </w:pPr>
      <w:r>
        <w:rPr>
          <w:b/>
          <w:bCs/>
        </w:rPr>
        <w:t>设计原则 (Principles of Design)：</w:t>
      </w:r>
      <w:r>
        <w:t xml:space="preserve"> 组织和排列艺术元素的指导方针，包括平衡 (balance)、强调 (emphasis)、运动 (movement)、图案 (pattern)、节奏 (rhythm)、统一 (unity) 和多样性 (variety)。</w:t>
      </w:r>
    </w:p>
    <w:p w14:paraId="3161FFE9">
      <w:pPr>
        <w:keepNext w:val="0"/>
        <w:keepLines w:val="0"/>
        <w:widowControl/>
        <w:numPr>
          <w:ilvl w:val="0"/>
          <w:numId w:val="9"/>
        </w:numPr>
        <w:suppressLineNumbers w:val="0"/>
        <w:spacing w:before="0" w:beforeAutospacing="1" w:after="0" w:afterAutospacing="1"/>
        <w:ind w:left="1440" w:hanging="360"/>
      </w:pPr>
    </w:p>
    <w:p w14:paraId="17DA1C24">
      <w:pPr>
        <w:pStyle w:val="6"/>
        <w:keepNext w:val="0"/>
        <w:keepLines w:val="0"/>
        <w:widowControl/>
        <w:suppressLineNumbers w:val="0"/>
      </w:pPr>
      <w:r>
        <w:t>对“艺术元素和原则”的透彻理解和应用，能够实现更深层次的“分析”和“诠释”，进而形成更具说服力的“判断”。这表明，尽管艺术评估本质上是主观的，但通过结构化的方法和对所应用标准的清晰阐述，可以使其变得严谨和透明，超越单纯的个人偏好。</w:t>
      </w:r>
    </w:p>
    <w:p w14:paraId="2BBAD4D0">
      <w:pPr>
        <w:pStyle w:val="4"/>
        <w:keepNext w:val="0"/>
        <w:keepLines w:val="0"/>
        <w:widowControl/>
        <w:suppressLineNumbers w:val="0"/>
      </w:pPr>
      <w:r>
        <w:t>B. 音乐与表演艺术评估</w:t>
      </w:r>
    </w:p>
    <w:p w14:paraId="1C9A7C27">
      <w:pPr>
        <w:pStyle w:val="6"/>
        <w:keepNext w:val="0"/>
        <w:keepLines w:val="0"/>
        <w:widowControl/>
        <w:suppressLineNumbers w:val="0"/>
      </w:pPr>
      <w:r>
        <w:t>对音乐和表演艺术的有效评估始于明确的目标，并利用结构化工具来衡量通常是主观的表演品质。</w:t>
      </w:r>
    </w:p>
    <w:p w14:paraId="01618716">
      <w:pPr>
        <w:pStyle w:val="5"/>
        <w:keepNext w:val="0"/>
        <w:keepLines w:val="0"/>
        <w:widowControl/>
        <w:suppressLineNumbers w:val="0"/>
      </w:pPr>
      <w:r>
        <w:t>建立清晰的学习目标和评估工具：量化主观性</w:t>
      </w:r>
    </w:p>
    <w:p w14:paraId="78582151">
      <w:pPr>
        <w:pStyle w:val="6"/>
        <w:keepNext w:val="0"/>
        <w:keepLines w:val="0"/>
        <w:widowControl/>
        <w:suppressLineNumbers w:val="0"/>
      </w:pPr>
      <w:r>
        <w:t>音乐教育中的评估面临着“将本质上主观的事物转化为可衡量数据（通常是数字）”的独特挑战 。这里的“黄金法则”是战略性地使用结构化评估工具，特别是量规（Rubrics），以实现这一领域评估的客观性和一致性。有效的评估始于“清晰的学习目标”，例如美国国家音乐教育协会（NAfME）的音乐标准 。常用的评估工具包括：</w:t>
      </w:r>
    </w:p>
    <w:p w14:paraId="7E8A1D85">
      <w:pPr>
        <w:keepNext w:val="0"/>
        <w:keepLines w:val="0"/>
        <w:widowControl/>
        <w:numPr>
          <w:ilvl w:val="0"/>
          <w:numId w:val="10"/>
        </w:numPr>
        <w:suppressLineNumbers w:val="0"/>
        <w:spacing w:before="0" w:beforeAutospacing="1" w:after="0" w:afterAutospacing="1"/>
        <w:ind w:left="1440" w:hanging="360"/>
      </w:pPr>
    </w:p>
    <w:p w14:paraId="05FD4401">
      <w:pPr>
        <w:pStyle w:val="6"/>
        <w:keepNext w:val="0"/>
        <w:keepLines w:val="0"/>
        <w:widowControl/>
        <w:suppressLineNumbers w:val="0"/>
        <w:ind w:left="720"/>
      </w:pPr>
      <w:r>
        <w:rPr>
          <w:b/>
          <w:bCs/>
        </w:rPr>
        <w:t>清单 (Checklists)：</w:t>
      </w:r>
      <w:r>
        <w:t xml:space="preserve"> 用于评估离散的行为标准，例如学生是否在正确的位置开始或结束表演 。</w:t>
      </w:r>
    </w:p>
    <w:p w14:paraId="1F072445">
      <w:pPr>
        <w:keepNext w:val="0"/>
        <w:keepLines w:val="0"/>
        <w:widowControl/>
        <w:numPr>
          <w:ilvl w:val="0"/>
          <w:numId w:val="10"/>
        </w:numPr>
        <w:suppressLineNumbers w:val="0"/>
        <w:spacing w:before="0" w:beforeAutospacing="1" w:after="0" w:afterAutospacing="1"/>
        <w:ind w:left="1440" w:hanging="360"/>
      </w:pPr>
    </w:p>
    <w:p w14:paraId="4B2EE4AA">
      <w:pPr>
        <w:keepNext w:val="0"/>
        <w:keepLines w:val="0"/>
        <w:widowControl/>
        <w:numPr>
          <w:ilvl w:val="0"/>
          <w:numId w:val="10"/>
        </w:numPr>
        <w:suppressLineNumbers w:val="0"/>
        <w:spacing w:before="0" w:beforeAutospacing="1" w:after="0" w:afterAutospacing="1"/>
        <w:ind w:left="1440" w:hanging="360"/>
      </w:pPr>
    </w:p>
    <w:p w14:paraId="6D57B604">
      <w:pPr>
        <w:pStyle w:val="6"/>
        <w:keepNext w:val="0"/>
        <w:keepLines w:val="0"/>
        <w:widowControl/>
        <w:suppressLineNumbers w:val="0"/>
        <w:ind w:left="720"/>
      </w:pPr>
      <w:r>
        <w:rPr>
          <w:b/>
          <w:bCs/>
        </w:rPr>
        <w:t>评分量表 (Rating Scales)：</w:t>
      </w:r>
      <w:r>
        <w:t xml:space="preserve"> 数值评估，通常使用1到5或1到10的量表，用于对整体表现、呼吸支持、音乐性或音准等方面的细微评估 。</w:t>
      </w:r>
    </w:p>
    <w:p w14:paraId="66CABBDE">
      <w:pPr>
        <w:keepNext w:val="0"/>
        <w:keepLines w:val="0"/>
        <w:widowControl/>
        <w:numPr>
          <w:ilvl w:val="0"/>
          <w:numId w:val="10"/>
        </w:numPr>
        <w:suppressLineNumbers w:val="0"/>
        <w:spacing w:before="0" w:beforeAutospacing="1" w:after="0" w:afterAutospacing="1"/>
        <w:ind w:left="1440" w:hanging="360"/>
      </w:pPr>
    </w:p>
    <w:p w14:paraId="6338635E">
      <w:pPr>
        <w:keepNext w:val="0"/>
        <w:keepLines w:val="0"/>
        <w:widowControl/>
        <w:numPr>
          <w:ilvl w:val="0"/>
          <w:numId w:val="10"/>
        </w:numPr>
        <w:suppressLineNumbers w:val="0"/>
        <w:spacing w:before="0" w:beforeAutospacing="1" w:after="0" w:afterAutospacing="1"/>
        <w:ind w:left="1440" w:hanging="360"/>
      </w:pPr>
    </w:p>
    <w:p w14:paraId="1EA5029B">
      <w:pPr>
        <w:pStyle w:val="6"/>
        <w:keepNext w:val="0"/>
        <w:keepLines w:val="0"/>
        <w:widowControl/>
        <w:suppressLineNumbers w:val="0"/>
        <w:ind w:left="720"/>
      </w:pPr>
      <w:r>
        <w:rPr>
          <w:b/>
          <w:bCs/>
        </w:rPr>
        <w:t>量规 (Rubrics)：</w:t>
      </w:r>
      <w:r>
        <w:t xml:space="preserve"> 最具客观性，为每个分数提供详细描述，从而提供一致性和明确的改进建议 。量规的优势在于，它们为学生提供了自动的改进建议；学生只需查看其分数对应的描述以及更高分数的描述，即可了解需要改进的方面 。</w:t>
      </w:r>
    </w:p>
    <w:p w14:paraId="5F2E3B3D">
      <w:pPr>
        <w:keepNext w:val="0"/>
        <w:keepLines w:val="0"/>
        <w:widowControl/>
        <w:numPr>
          <w:ilvl w:val="0"/>
          <w:numId w:val="10"/>
        </w:numPr>
        <w:suppressLineNumbers w:val="0"/>
        <w:spacing w:before="0" w:beforeAutospacing="1" w:after="0" w:afterAutospacing="1"/>
        <w:ind w:left="1440" w:hanging="360"/>
      </w:pPr>
    </w:p>
    <w:p w14:paraId="159DF476">
      <w:pPr>
        <w:pStyle w:val="6"/>
        <w:keepNext w:val="0"/>
        <w:keepLines w:val="0"/>
        <w:widowControl/>
        <w:suppressLineNumbers w:val="0"/>
      </w:pPr>
      <w:r>
        <w:t>清晰的学习目标是制定有效量规的先决条件，而量规反过来又为学生和表演者提供了可操作、透明的反馈，从而促进他们的进步。</w:t>
      </w:r>
    </w:p>
    <w:p w14:paraId="71887B00">
      <w:pPr>
        <w:pStyle w:val="5"/>
        <w:keepNext w:val="0"/>
        <w:keepLines w:val="0"/>
        <w:widowControl/>
        <w:suppressLineNumbers w:val="0"/>
      </w:pPr>
      <w:r>
        <w:t>具体表演标准：评估的详细方面</w:t>
      </w:r>
    </w:p>
    <w:p w14:paraId="0F95EFB5">
      <w:pPr>
        <w:pStyle w:val="6"/>
        <w:keepNext w:val="0"/>
        <w:keepLines w:val="0"/>
        <w:widowControl/>
        <w:suppressLineNumbers w:val="0"/>
      </w:pPr>
      <w:r>
        <w:t>评估标准根据每种表演艺术的独特需求进行调整，将复杂的技能分解为可评估的组成部分。以下是针对不同表演艺术学生识别的具体量规领域 ：</w:t>
      </w:r>
    </w:p>
    <w:p w14:paraId="797377C8">
      <w:pPr>
        <w:keepNext w:val="0"/>
        <w:keepLines w:val="0"/>
        <w:widowControl/>
        <w:numPr>
          <w:ilvl w:val="0"/>
          <w:numId w:val="11"/>
        </w:numPr>
        <w:suppressLineNumbers w:val="0"/>
        <w:spacing w:before="0" w:beforeAutospacing="1" w:after="0" w:afterAutospacing="1"/>
        <w:ind w:left="1440" w:hanging="360"/>
      </w:pPr>
    </w:p>
    <w:p w14:paraId="35285877">
      <w:pPr>
        <w:pStyle w:val="6"/>
        <w:keepNext w:val="0"/>
        <w:keepLines w:val="0"/>
        <w:widowControl/>
        <w:suppressLineNumbers w:val="0"/>
        <w:ind w:left="720"/>
      </w:pPr>
      <w:r>
        <w:rPr>
          <w:b/>
          <w:bCs/>
        </w:rPr>
        <w:t>视觉艺术：</w:t>
      </w:r>
      <w:r>
        <w:t xml:space="preserve"> 创作（创造性与即兴创作、构图、发展速度、复杂性与精细化、技术技能、对艺术媒介的敏感性）和回应（批判性判断与自我反思、个人艺术作品的批判性分析）。</w:t>
      </w:r>
    </w:p>
    <w:p w14:paraId="416BC64E">
      <w:pPr>
        <w:keepNext w:val="0"/>
        <w:keepLines w:val="0"/>
        <w:widowControl/>
        <w:numPr>
          <w:ilvl w:val="0"/>
          <w:numId w:val="11"/>
        </w:numPr>
        <w:suppressLineNumbers w:val="0"/>
        <w:spacing w:before="0" w:beforeAutospacing="1" w:after="0" w:afterAutospacing="1"/>
        <w:ind w:left="1440" w:hanging="360"/>
      </w:pPr>
    </w:p>
    <w:p w14:paraId="16BC2543">
      <w:pPr>
        <w:keepNext w:val="0"/>
        <w:keepLines w:val="0"/>
        <w:widowControl/>
        <w:numPr>
          <w:ilvl w:val="0"/>
          <w:numId w:val="11"/>
        </w:numPr>
        <w:suppressLineNumbers w:val="0"/>
        <w:spacing w:before="0" w:beforeAutospacing="1" w:after="0" w:afterAutospacing="1"/>
        <w:ind w:left="1440" w:hanging="360"/>
      </w:pPr>
    </w:p>
    <w:p w14:paraId="2FCC4300">
      <w:pPr>
        <w:pStyle w:val="6"/>
        <w:keepNext w:val="0"/>
        <w:keepLines w:val="0"/>
        <w:widowControl/>
        <w:suppressLineNumbers w:val="0"/>
        <w:ind w:left="720"/>
      </w:pPr>
      <w:r>
        <w:rPr>
          <w:b/>
          <w:bCs/>
        </w:rPr>
        <w:t>音乐表演（器乐和声乐）：</w:t>
      </w:r>
      <w:r>
        <w:t xml:space="preserve"> 节奏、旋律、即兴创作、表现力、投入度、技巧和整体表现。</w:t>
      </w:r>
    </w:p>
    <w:p w14:paraId="15B5A0D0">
      <w:pPr>
        <w:keepNext w:val="0"/>
        <w:keepLines w:val="0"/>
        <w:widowControl/>
        <w:numPr>
          <w:ilvl w:val="0"/>
          <w:numId w:val="11"/>
        </w:numPr>
        <w:suppressLineNumbers w:val="0"/>
        <w:spacing w:before="0" w:beforeAutospacing="1" w:after="0" w:afterAutospacing="1"/>
        <w:ind w:left="1440" w:hanging="360"/>
      </w:pPr>
    </w:p>
    <w:p w14:paraId="258140FD">
      <w:pPr>
        <w:keepNext w:val="0"/>
        <w:keepLines w:val="0"/>
        <w:widowControl/>
        <w:numPr>
          <w:ilvl w:val="0"/>
          <w:numId w:val="11"/>
        </w:numPr>
        <w:suppressLineNumbers w:val="0"/>
        <w:spacing w:before="0" w:beforeAutospacing="1" w:after="0" w:afterAutospacing="1"/>
        <w:ind w:left="1440" w:hanging="360"/>
      </w:pPr>
    </w:p>
    <w:p w14:paraId="6E9D0D1E">
      <w:pPr>
        <w:pStyle w:val="6"/>
        <w:keepNext w:val="0"/>
        <w:keepLines w:val="0"/>
        <w:widowControl/>
        <w:suppressLineNumbers w:val="0"/>
        <w:ind w:left="720"/>
      </w:pPr>
      <w:r>
        <w:rPr>
          <w:b/>
          <w:bCs/>
        </w:rPr>
        <w:t>舞蹈：</w:t>
      </w:r>
      <w:r>
        <w:t xml:space="preserve"> 准备表演中的记忆与回忆、其他表演评估活动中的记忆与回忆；准备表演中的时间意识、其他表演评估活动中的时间意识；准备表演中的身体意识、其他表演评估活动中的身体意识；准备表演中的动作质量意识、其他表演评估活动中的动作质量意识；准备表演中的表现力、其他表演评估活动中的表现力。</w:t>
      </w:r>
    </w:p>
    <w:p w14:paraId="7CC5119F">
      <w:pPr>
        <w:keepNext w:val="0"/>
        <w:keepLines w:val="0"/>
        <w:widowControl/>
        <w:numPr>
          <w:ilvl w:val="0"/>
          <w:numId w:val="11"/>
        </w:numPr>
        <w:suppressLineNumbers w:val="0"/>
        <w:spacing w:before="0" w:beforeAutospacing="1" w:after="0" w:afterAutospacing="1"/>
        <w:ind w:left="1440" w:hanging="360"/>
      </w:pPr>
    </w:p>
    <w:p w14:paraId="2A3E3BE0">
      <w:pPr>
        <w:keepNext w:val="0"/>
        <w:keepLines w:val="0"/>
        <w:widowControl/>
        <w:numPr>
          <w:ilvl w:val="0"/>
          <w:numId w:val="11"/>
        </w:numPr>
        <w:suppressLineNumbers w:val="0"/>
        <w:spacing w:before="0" w:beforeAutospacing="1" w:after="0" w:afterAutospacing="1"/>
        <w:ind w:left="1440" w:hanging="360"/>
      </w:pPr>
    </w:p>
    <w:p w14:paraId="5F928AE9">
      <w:pPr>
        <w:pStyle w:val="6"/>
        <w:keepNext w:val="0"/>
        <w:keepLines w:val="0"/>
        <w:widowControl/>
        <w:suppressLineNumbers w:val="0"/>
        <w:ind w:left="720"/>
      </w:pPr>
      <w:r>
        <w:rPr>
          <w:b/>
          <w:bCs/>
        </w:rPr>
        <w:t>戏剧：</w:t>
      </w:r>
      <w:r>
        <w:t xml:space="preserve"> 身体表演、想象力、即兴创作、角色塑造、投入度、技巧、意义传达和整体表现。</w:t>
      </w:r>
    </w:p>
    <w:p w14:paraId="03C80939">
      <w:pPr>
        <w:keepNext w:val="0"/>
        <w:keepLines w:val="0"/>
        <w:widowControl/>
        <w:numPr>
          <w:ilvl w:val="0"/>
          <w:numId w:val="11"/>
        </w:numPr>
        <w:suppressLineNumbers w:val="0"/>
        <w:spacing w:before="0" w:beforeAutospacing="1" w:after="0" w:afterAutospacing="1"/>
        <w:ind w:left="1440" w:hanging="360"/>
      </w:pPr>
    </w:p>
    <w:p w14:paraId="305ED3D3">
      <w:pPr>
        <w:pStyle w:val="6"/>
        <w:keepNext w:val="0"/>
        <w:keepLines w:val="0"/>
        <w:widowControl/>
        <w:suppressLineNumbers w:val="0"/>
      </w:pPr>
      <w:r>
        <w:t>这些详细的标准展示了如何将“表现力”或“想象力”等抽象品质分解为可衡量的组成部分，从而即使在高度创造性的领域也能进行结构化评估。这还意味着评估的重点在于形成性评估，其中评估主要是指导发展而非仅仅打分。</w:t>
      </w:r>
    </w:p>
    <w:p w14:paraId="7016A676">
      <w:pPr>
        <w:pStyle w:val="6"/>
        <w:keepNext w:val="0"/>
        <w:keepLines w:val="0"/>
        <w:widowControl/>
        <w:suppressLineNumbers w:val="0"/>
      </w:pPr>
      <w:r>
        <w:t>以下表格对视觉艺术和表演艺术的评估标准进行了比较：</w:t>
      </w:r>
    </w:p>
    <w:p w14:paraId="2B5AEE27">
      <w:pPr>
        <w:pStyle w:val="6"/>
        <w:keepNext w:val="0"/>
        <w:keepLines w:val="0"/>
        <w:widowControl/>
        <w:suppressLineNumbers w:val="0"/>
      </w:pPr>
      <w:r>
        <w:rPr>
          <w:b/>
          <w:bCs/>
        </w:rPr>
        <w:t>表2：视觉与表演艺术的比较评估标准</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1"/>
        <w:gridCol w:w="6046"/>
        <w:gridCol w:w="1629"/>
      </w:tblGrid>
      <w:tr w14:paraId="70428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3DCA44D">
            <w:pPr>
              <w:keepNext w:val="0"/>
              <w:keepLines w:val="0"/>
              <w:widowControl/>
              <w:suppressLineNumbers w:val="0"/>
              <w:jc w:val="left"/>
            </w:pPr>
            <w:r>
              <w:rPr>
                <w:rFonts w:ascii="宋体" w:hAnsi="宋体" w:eastAsia="宋体" w:cs="宋体"/>
                <w:kern w:val="0"/>
                <w:sz w:val="24"/>
                <w:szCs w:val="24"/>
                <w:lang w:val="en-US" w:eastAsia="zh-CN" w:bidi="ar"/>
              </w:rPr>
              <w:t>艺术形式</w:t>
            </w:r>
          </w:p>
        </w:tc>
        <w:tc>
          <w:tcPr>
            <w:tcW w:w="0" w:type="auto"/>
            <w:shd w:val="clear" w:color="auto" w:fill="auto"/>
            <w:vAlign w:val="center"/>
          </w:tcPr>
          <w:p w14:paraId="7275DF9D">
            <w:pPr>
              <w:keepNext w:val="0"/>
              <w:keepLines w:val="0"/>
              <w:widowControl/>
              <w:suppressLineNumbers w:val="0"/>
              <w:jc w:val="left"/>
            </w:pPr>
            <w:r>
              <w:rPr>
                <w:rFonts w:ascii="宋体" w:hAnsi="宋体" w:eastAsia="宋体" w:cs="宋体"/>
                <w:kern w:val="0"/>
                <w:sz w:val="24"/>
                <w:szCs w:val="24"/>
                <w:lang w:val="en-US" w:eastAsia="zh-CN" w:bidi="ar"/>
              </w:rPr>
              <w:t>关键评估领域/标准</w:t>
            </w:r>
          </w:p>
        </w:tc>
        <w:tc>
          <w:tcPr>
            <w:tcW w:w="0" w:type="auto"/>
            <w:shd w:val="clear" w:color="auto" w:fill="auto"/>
            <w:vAlign w:val="center"/>
          </w:tcPr>
          <w:p w14:paraId="49D052EA">
            <w:pPr>
              <w:keepNext w:val="0"/>
              <w:keepLines w:val="0"/>
              <w:widowControl/>
              <w:suppressLineNumbers w:val="0"/>
              <w:jc w:val="left"/>
            </w:pPr>
            <w:r>
              <w:rPr>
                <w:rFonts w:ascii="宋体" w:hAnsi="宋体" w:eastAsia="宋体" w:cs="宋体"/>
                <w:kern w:val="0"/>
                <w:sz w:val="24"/>
                <w:szCs w:val="24"/>
                <w:lang w:val="en-US" w:eastAsia="zh-CN" w:bidi="ar"/>
              </w:rPr>
              <w:t>评估工具/方法</w:t>
            </w:r>
          </w:p>
        </w:tc>
      </w:tr>
      <w:tr w14:paraId="0E264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23B9A2">
            <w:pPr>
              <w:keepNext w:val="0"/>
              <w:keepLines w:val="0"/>
              <w:widowControl/>
              <w:suppressLineNumbers w:val="0"/>
              <w:jc w:val="left"/>
            </w:pPr>
            <w:r>
              <w:rPr>
                <w:rFonts w:ascii="宋体" w:hAnsi="宋体" w:eastAsia="宋体" w:cs="宋体"/>
                <w:b/>
                <w:bCs/>
                <w:kern w:val="0"/>
                <w:sz w:val="24"/>
                <w:szCs w:val="24"/>
                <w:lang w:val="en-US" w:eastAsia="zh-CN" w:bidi="ar"/>
              </w:rPr>
              <w:t>视觉艺术</w:t>
            </w:r>
          </w:p>
        </w:tc>
        <w:tc>
          <w:tcPr>
            <w:tcW w:w="0" w:type="auto"/>
            <w:shd w:val="clear" w:color="auto" w:fill="auto"/>
            <w:vAlign w:val="center"/>
          </w:tcPr>
          <w:p w14:paraId="39D07F28">
            <w:pPr>
              <w:keepNext w:val="0"/>
              <w:keepLines w:val="0"/>
              <w:widowControl/>
              <w:suppressLineNumbers w:val="0"/>
              <w:jc w:val="left"/>
            </w:pPr>
            <w:r>
              <w:rPr>
                <w:rFonts w:ascii="宋体" w:hAnsi="宋体" w:eastAsia="宋体" w:cs="宋体"/>
                <w:kern w:val="0"/>
                <w:sz w:val="24"/>
                <w:szCs w:val="24"/>
                <w:lang w:val="en-US" w:eastAsia="zh-CN" w:bidi="ar"/>
              </w:rPr>
              <w:t>创造性与即兴创作、构图、技术技能、对艺术媒介的敏感性、批判性判断与自我反思、批判性分析</w:t>
            </w:r>
          </w:p>
        </w:tc>
        <w:tc>
          <w:tcPr>
            <w:tcW w:w="0" w:type="auto"/>
            <w:shd w:val="clear" w:color="auto" w:fill="auto"/>
            <w:vAlign w:val="center"/>
          </w:tcPr>
          <w:p w14:paraId="2975B739">
            <w:pPr>
              <w:keepNext w:val="0"/>
              <w:keepLines w:val="0"/>
              <w:widowControl/>
              <w:suppressLineNumbers w:val="0"/>
              <w:jc w:val="left"/>
            </w:pPr>
            <w:r>
              <w:rPr>
                <w:rFonts w:ascii="宋体" w:hAnsi="宋体" w:eastAsia="宋体" w:cs="宋体"/>
                <w:kern w:val="0"/>
                <w:sz w:val="24"/>
                <w:szCs w:val="24"/>
                <w:lang w:val="en-US" w:eastAsia="zh-CN" w:bidi="ar"/>
              </w:rPr>
              <w:t>量规</w:t>
            </w:r>
          </w:p>
        </w:tc>
      </w:tr>
      <w:tr w14:paraId="77477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895704">
            <w:pPr>
              <w:keepNext w:val="0"/>
              <w:keepLines w:val="0"/>
              <w:widowControl/>
              <w:suppressLineNumbers w:val="0"/>
              <w:jc w:val="left"/>
            </w:pPr>
            <w:r>
              <w:rPr>
                <w:rFonts w:ascii="宋体" w:hAnsi="宋体" w:eastAsia="宋体" w:cs="宋体"/>
                <w:b/>
                <w:bCs/>
                <w:kern w:val="0"/>
                <w:sz w:val="24"/>
                <w:szCs w:val="24"/>
                <w:lang w:val="en-US" w:eastAsia="zh-CN" w:bidi="ar"/>
              </w:rPr>
              <w:t>音乐表演</w:t>
            </w:r>
          </w:p>
        </w:tc>
        <w:tc>
          <w:tcPr>
            <w:tcW w:w="0" w:type="auto"/>
            <w:shd w:val="clear" w:color="auto" w:fill="auto"/>
            <w:vAlign w:val="center"/>
          </w:tcPr>
          <w:p w14:paraId="3CB1013D">
            <w:pPr>
              <w:keepNext w:val="0"/>
              <w:keepLines w:val="0"/>
              <w:widowControl/>
              <w:suppressLineNumbers w:val="0"/>
              <w:jc w:val="left"/>
            </w:pPr>
            <w:r>
              <w:rPr>
                <w:rFonts w:ascii="宋体" w:hAnsi="宋体" w:eastAsia="宋体" w:cs="宋体"/>
                <w:kern w:val="0"/>
                <w:sz w:val="24"/>
                <w:szCs w:val="24"/>
                <w:lang w:val="en-US" w:eastAsia="zh-CN" w:bidi="ar"/>
              </w:rPr>
              <w:t>节奏、旋律、即兴创作、表现力、投入度、技巧、整体表现</w:t>
            </w:r>
          </w:p>
        </w:tc>
        <w:tc>
          <w:tcPr>
            <w:tcW w:w="0" w:type="auto"/>
            <w:shd w:val="clear" w:color="auto" w:fill="auto"/>
            <w:vAlign w:val="center"/>
          </w:tcPr>
          <w:p w14:paraId="6B8EDFC8">
            <w:pPr>
              <w:keepNext w:val="0"/>
              <w:keepLines w:val="0"/>
              <w:widowControl/>
              <w:suppressLineNumbers w:val="0"/>
              <w:jc w:val="left"/>
            </w:pPr>
            <w:r>
              <w:rPr>
                <w:rFonts w:ascii="宋体" w:hAnsi="宋体" w:eastAsia="宋体" w:cs="宋体"/>
                <w:kern w:val="0"/>
                <w:sz w:val="24"/>
                <w:szCs w:val="24"/>
                <w:lang w:val="en-US" w:eastAsia="zh-CN" w:bidi="ar"/>
              </w:rPr>
              <w:t>清单、评分量表、量规</w:t>
            </w:r>
          </w:p>
        </w:tc>
      </w:tr>
      <w:tr w14:paraId="465CA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77FC67">
            <w:pPr>
              <w:keepNext w:val="0"/>
              <w:keepLines w:val="0"/>
              <w:widowControl/>
              <w:suppressLineNumbers w:val="0"/>
              <w:jc w:val="left"/>
            </w:pPr>
            <w:r>
              <w:rPr>
                <w:rFonts w:ascii="宋体" w:hAnsi="宋体" w:eastAsia="宋体" w:cs="宋体"/>
                <w:b/>
                <w:bCs/>
                <w:kern w:val="0"/>
                <w:sz w:val="24"/>
                <w:szCs w:val="24"/>
                <w:lang w:val="en-US" w:eastAsia="zh-CN" w:bidi="ar"/>
              </w:rPr>
              <w:t>舞蹈</w:t>
            </w:r>
          </w:p>
        </w:tc>
        <w:tc>
          <w:tcPr>
            <w:tcW w:w="0" w:type="auto"/>
            <w:shd w:val="clear" w:color="auto" w:fill="auto"/>
            <w:vAlign w:val="center"/>
          </w:tcPr>
          <w:p w14:paraId="6047DE94">
            <w:pPr>
              <w:keepNext w:val="0"/>
              <w:keepLines w:val="0"/>
              <w:widowControl/>
              <w:suppressLineNumbers w:val="0"/>
              <w:jc w:val="left"/>
            </w:pPr>
            <w:r>
              <w:rPr>
                <w:rFonts w:ascii="宋体" w:hAnsi="宋体" w:eastAsia="宋体" w:cs="宋体"/>
                <w:kern w:val="0"/>
                <w:sz w:val="24"/>
                <w:szCs w:val="24"/>
                <w:lang w:val="en-US" w:eastAsia="zh-CN" w:bidi="ar"/>
              </w:rPr>
              <w:t>记忆与回忆、时间意识、身体意识、动作质量意识、表现力</w:t>
            </w:r>
          </w:p>
        </w:tc>
        <w:tc>
          <w:tcPr>
            <w:tcW w:w="0" w:type="auto"/>
            <w:shd w:val="clear" w:color="auto" w:fill="auto"/>
            <w:vAlign w:val="center"/>
          </w:tcPr>
          <w:p w14:paraId="48F84852">
            <w:pPr>
              <w:keepNext w:val="0"/>
              <w:keepLines w:val="0"/>
              <w:widowControl/>
              <w:suppressLineNumbers w:val="0"/>
              <w:jc w:val="left"/>
            </w:pPr>
            <w:r>
              <w:rPr>
                <w:rFonts w:ascii="宋体" w:hAnsi="宋体" w:eastAsia="宋体" w:cs="宋体"/>
                <w:kern w:val="0"/>
                <w:sz w:val="24"/>
                <w:szCs w:val="24"/>
                <w:lang w:val="en-US" w:eastAsia="zh-CN" w:bidi="ar"/>
              </w:rPr>
              <w:t>量规</w:t>
            </w:r>
          </w:p>
        </w:tc>
      </w:tr>
      <w:tr w14:paraId="4BCD4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E94A07">
            <w:pPr>
              <w:keepNext w:val="0"/>
              <w:keepLines w:val="0"/>
              <w:widowControl/>
              <w:suppressLineNumbers w:val="0"/>
              <w:jc w:val="left"/>
            </w:pPr>
            <w:r>
              <w:rPr>
                <w:rFonts w:ascii="宋体" w:hAnsi="宋体" w:eastAsia="宋体" w:cs="宋体"/>
                <w:b/>
                <w:bCs/>
                <w:kern w:val="0"/>
                <w:sz w:val="24"/>
                <w:szCs w:val="24"/>
                <w:lang w:val="en-US" w:eastAsia="zh-CN" w:bidi="ar"/>
              </w:rPr>
              <w:t>戏剧</w:t>
            </w:r>
          </w:p>
        </w:tc>
        <w:tc>
          <w:tcPr>
            <w:tcW w:w="0" w:type="auto"/>
            <w:shd w:val="clear" w:color="auto" w:fill="auto"/>
            <w:vAlign w:val="center"/>
          </w:tcPr>
          <w:p w14:paraId="582051D5">
            <w:pPr>
              <w:keepNext w:val="0"/>
              <w:keepLines w:val="0"/>
              <w:widowControl/>
              <w:suppressLineNumbers w:val="0"/>
              <w:jc w:val="left"/>
            </w:pPr>
            <w:r>
              <w:rPr>
                <w:rFonts w:ascii="宋体" w:hAnsi="宋体" w:eastAsia="宋体" w:cs="宋体"/>
                <w:kern w:val="0"/>
                <w:sz w:val="24"/>
                <w:szCs w:val="24"/>
                <w:lang w:val="en-US" w:eastAsia="zh-CN" w:bidi="ar"/>
              </w:rPr>
              <w:t>身体表演、想象力、即兴创作、角色塑造、投入度、技巧、意义传达、整体表现</w:t>
            </w:r>
          </w:p>
        </w:tc>
        <w:tc>
          <w:tcPr>
            <w:tcW w:w="0" w:type="auto"/>
            <w:shd w:val="clear" w:color="auto" w:fill="auto"/>
            <w:vAlign w:val="center"/>
          </w:tcPr>
          <w:p w14:paraId="2BCF3A53">
            <w:pPr>
              <w:keepNext w:val="0"/>
              <w:keepLines w:val="0"/>
              <w:widowControl/>
              <w:suppressLineNumbers w:val="0"/>
              <w:jc w:val="left"/>
            </w:pPr>
            <w:r>
              <w:rPr>
                <w:rFonts w:ascii="宋体" w:hAnsi="宋体" w:eastAsia="宋体" w:cs="宋体"/>
                <w:kern w:val="0"/>
                <w:sz w:val="24"/>
                <w:szCs w:val="24"/>
                <w:lang w:val="en-US" w:eastAsia="zh-CN" w:bidi="ar"/>
              </w:rPr>
              <w:t>量规</w:t>
            </w:r>
          </w:p>
        </w:tc>
      </w:tr>
    </w:tbl>
    <w:p w14:paraId="35A1F655">
      <w:pPr>
        <w:keepNext w:val="0"/>
        <w:keepLines w:val="0"/>
        <w:widowControl/>
        <w:suppressLineNumbers w:val="0"/>
        <w:jc w:val="left"/>
      </w:pPr>
      <w:r>
        <w:rPr>
          <w:rFonts w:ascii="宋体" w:hAnsi="宋体" w:eastAsia="宋体" w:cs="宋体"/>
          <w:kern w:val="0"/>
          <w:sz w:val="24"/>
          <w:szCs w:val="24"/>
          <w:lang w:val="en-US" w:eastAsia="zh-CN" w:bidi="ar"/>
        </w:rPr>
        <w:t>导出到 Google 表格</w:t>
      </w:r>
    </w:p>
    <w:p w14:paraId="7C0B32AC">
      <w:pPr>
        <w:pStyle w:val="6"/>
        <w:keepNext w:val="0"/>
        <w:keepLines w:val="0"/>
        <w:widowControl/>
        <w:suppressLineNumbers w:val="0"/>
      </w:pPr>
      <w:r>
        <w:t>此外，表演艺术的评估也可能涉及项目层面的评估，包括观众参与数据、人口统计信息、动机和财务数据，通常使用调查、访谈和前后测等工具 。这与个体表演评估不同，但对整体项目质量至关重要。</w:t>
      </w:r>
    </w:p>
    <w:p w14:paraId="3E7FCC06">
      <w:pPr>
        <w:pStyle w:val="3"/>
        <w:keepNext w:val="0"/>
        <w:keepLines w:val="0"/>
        <w:widowControl/>
        <w:suppressLineNumbers w:val="0"/>
      </w:pPr>
      <w:r>
        <w:t>六、质量评估的语境影响与挑战</w:t>
      </w:r>
    </w:p>
    <w:p w14:paraId="4E904A90">
      <w:pPr>
        <w:pStyle w:val="6"/>
        <w:keepNext w:val="0"/>
        <w:keepLines w:val="0"/>
        <w:widowControl/>
        <w:suppressLineNumbers w:val="0"/>
      </w:pPr>
      <w:r>
        <w:t>评估从来都不是语境中立的；研究和艺术作品的意义和感知质量都深受其历史、社会和文化环境的影响。</w:t>
      </w:r>
    </w:p>
    <w:p w14:paraId="270893C2">
      <w:pPr>
        <w:pStyle w:val="4"/>
        <w:keepNext w:val="0"/>
        <w:keepLines w:val="0"/>
        <w:widowControl/>
        <w:suppressLineNumbers w:val="0"/>
      </w:pPr>
      <w:r>
        <w:t>历史、社会和文化语境的影响</w:t>
      </w:r>
    </w:p>
    <w:p w14:paraId="5D67F500">
      <w:pPr>
        <w:pStyle w:val="6"/>
        <w:keepNext w:val="0"/>
        <w:keepLines w:val="0"/>
        <w:widowControl/>
        <w:suppressLineNumbers w:val="0"/>
      </w:pPr>
      <w:r>
        <w:t>“语境”在人文分析中被广泛定义和阐述，包括历史事件、科学发现、艺术影响、哲学思想、文化规范（如性别角色、个人主义）、预期受众以及作品的原始目的（如宣传）。语境提供了“更深层次的理解”和“分析”的基础 。理解文化语境需要考虑“社会、政治和经济因素”、“文化规范和价值观”、“艺术家的意图”以及“观众的接受度” 。艺术批评也随之演变，将这些语境纳入考量，并受到马克思主义、女性主义和后殖民主义等激进理论的影响 。</w:t>
      </w:r>
    </w:p>
    <w:p w14:paraId="29AC5F9B">
      <w:pPr>
        <w:pStyle w:val="6"/>
        <w:keepNext w:val="0"/>
        <w:keepLines w:val="0"/>
        <w:widowControl/>
        <w:suppressLineNumbers w:val="0"/>
      </w:pPr>
      <w:r>
        <w:t>对“语境”的普遍强调将其从背景细节提升为人文与艺术评估的根本“黄金法则”。任何忽视作品或研究周围历史、社会和文化因素的评估都将是不完整甚至不准确的。这些语境因素直接影响作品的创作、接受、意义，并最终影响其感知质量。因此，评估者必须培养深厚的语境知识，并运用多学科视角，超越纯粹的内部或形式分析，以充分理解作品的意义和影响。</w:t>
      </w:r>
    </w:p>
    <w:p w14:paraId="3A899B9C">
      <w:pPr>
        <w:pStyle w:val="4"/>
        <w:keepNext w:val="0"/>
        <w:keepLines w:val="0"/>
        <w:widowControl/>
        <w:suppressLineNumbers w:val="0"/>
      </w:pPr>
      <w:r>
        <w:t>处理主观性与量化抵制</w:t>
      </w:r>
    </w:p>
    <w:p w14:paraId="527F8029">
      <w:pPr>
        <w:pStyle w:val="6"/>
        <w:keepNext w:val="0"/>
        <w:keepLines w:val="0"/>
        <w:widowControl/>
        <w:suppressLineNumbers w:val="0"/>
      </w:pPr>
      <w:r>
        <w:t>在追求客观、可衡量指标的愿望与人文和艺术事业固有的主观、表达性和定性性质之间，存在着持续的张力。艺术及其批评论述中存在“对量化的抵制”，艺术的“可衡量性（或可量化性）似乎与普遍认为艺术主要关乎表达、情感、创造力和主观性的观念格格不入” 。德尔菲研究中，“生产力”和“与社会的关系及影响”未能在人文学科研究中达成共识，这表明对某些定量指标存在特定的抵制 。音乐教育也承认，将“本质上主观的事物转化为可衡量数据（通常是数字）”是一个“独特挑战” 。</w:t>
      </w:r>
    </w:p>
    <w:p w14:paraId="4DEEB546">
      <w:pPr>
        <w:pStyle w:val="6"/>
        <w:keepNext w:val="0"/>
        <w:keepLines w:val="0"/>
        <w:widowControl/>
        <w:suppressLineNumbers w:val="0"/>
      </w:pPr>
      <w:r>
        <w:t>这种对“量化抵制”的反复出现，揭示了一个深刻的哲学和实践挑战。尽管质量的某些方面可以被结构化甚至量化（例如，技术技能、出版物数量），但人文和艺术的核心价值往往存在于难以衡量、无形、主观或特定语境的品质中。评估的“黄金法则”必须优先考虑定性、解释性和专家驱动的评估方法，将定量指标作为辅助而非主导作用。过度依赖不恰当或简化主义的定量指标可能会扭曲对质量的认知，并阻碍那些有价值但难以衡量的艺术和学术产出，从而可能导致“卓越”定义的狭隘化。</w:t>
      </w:r>
    </w:p>
    <w:p w14:paraId="266FC31C">
      <w:pPr>
        <w:pStyle w:val="4"/>
        <w:keepNext w:val="0"/>
        <w:keepLines w:val="0"/>
        <w:widowControl/>
        <w:suppressLineNumbers w:val="0"/>
      </w:pPr>
      <w:r>
        <w:t>驾驭产品、目标群体和出版文化的多样性</w:t>
      </w:r>
    </w:p>
    <w:p w14:paraId="3888E84F">
      <w:pPr>
        <w:pStyle w:val="6"/>
        <w:keepNext w:val="0"/>
        <w:keepLines w:val="0"/>
        <w:widowControl/>
        <w:suppressLineNumbers w:val="0"/>
      </w:pPr>
      <w:r>
        <w:t>有效的评估框架必须灵活和包容，以适应人文和艺术领域内广泛多样的产出、受众和传播实践。人文学科需要“广泛的质量指标，以适应该领域内产品、目标群体和出版文化的多样性”。应充分考虑专著和非英语国际出版物，这意味着不能优先考虑主要基于英语期刊出版物数据库的文献计量指标 。在跨学科研究中，“学科标准可能不足，并且来自多个学科的标准可能相互矛盾” 。</w:t>
      </w:r>
    </w:p>
    <w:p w14:paraId="557A418D">
      <w:pPr>
        <w:pStyle w:val="6"/>
        <w:keepNext w:val="0"/>
        <w:keepLines w:val="0"/>
        <w:widowControl/>
        <w:suppressLineNumbers w:val="0"/>
      </w:pPr>
      <w:r>
        <w:t>这种对“广泛质量指标”的强烈呼吁，以适应人文学科“产品、目标群体和出版文化的多样性”，是一个关键的“黄金法则”。它直接解决了评估这些领域中专著、非英语出版物和各种艺术形式所面临的实际挑战。如果未能考虑到这种固有的多样性（例如，通过强加以STEM为中心的期刊出版指标），将系统性地损害和错误地呈现重要贡献的质量。跨学科研究也强调了这一点，在其中，僵化地遵循单一学科标准可能导致矛盾。这意味着“黄金法则”必须优先考虑灵活性、文化敏感性和多元化的证据方法，而不是强加可能不适合这些领域独特特征的普遍、僵化标准。</w:t>
      </w:r>
    </w:p>
    <w:p w14:paraId="1E835F3A">
      <w:pPr>
        <w:pStyle w:val="3"/>
        <w:keepNext w:val="0"/>
        <w:keepLines w:val="0"/>
        <w:widowControl/>
        <w:suppressLineNumbers w:val="0"/>
      </w:pPr>
      <w:r>
        <w:t>七、结论：实践中的“黄金法则”综合</w:t>
      </w:r>
    </w:p>
    <w:p w14:paraId="6C71EC8A">
      <w:pPr>
        <w:pStyle w:val="6"/>
        <w:keepNext w:val="0"/>
        <w:keepLines w:val="0"/>
        <w:widowControl/>
        <w:suppressLineNumbers w:val="0"/>
      </w:pPr>
      <w:r>
        <w:t>对人文与艺术领域质量评估的探索揭示了一系列相互关联的“黄金法则”，它们共同构成了对这一复杂领域进行健全和细致评估的框架。这些原则既适用于学术研究，也适用于艺术实践，但需要根据具体的学科特点进行调整。</w:t>
      </w:r>
    </w:p>
    <w:p w14:paraId="57BF88A9">
      <w:pPr>
        <w:pStyle w:val="4"/>
        <w:keepNext w:val="0"/>
        <w:keepLines w:val="0"/>
        <w:widowControl/>
        <w:suppressLineNumbers w:val="0"/>
      </w:pPr>
      <w:r>
        <w:t>稳健评估的总体原则</w:t>
      </w:r>
    </w:p>
    <w:p w14:paraId="2CEF76BE">
      <w:pPr>
        <w:keepNext w:val="0"/>
        <w:keepLines w:val="0"/>
        <w:widowControl/>
        <w:numPr>
          <w:ilvl w:val="0"/>
          <w:numId w:val="12"/>
        </w:numPr>
        <w:suppressLineNumbers w:val="0"/>
        <w:spacing w:before="0" w:beforeAutospacing="1" w:after="0" w:afterAutospacing="1"/>
        <w:ind w:left="1440" w:hanging="360"/>
      </w:pPr>
    </w:p>
    <w:p w14:paraId="5552E1AF">
      <w:pPr>
        <w:pStyle w:val="6"/>
        <w:keepNext w:val="0"/>
        <w:keepLines w:val="0"/>
        <w:widowControl/>
        <w:suppressLineNumbers w:val="0"/>
        <w:ind w:left="720"/>
      </w:pPr>
      <w:r>
        <w:rPr>
          <w:b/>
          <w:bCs/>
        </w:rPr>
        <w:t>语境敏感性：</w:t>
      </w:r>
      <w:r>
        <w:t xml:space="preserve"> 质量评估本质上是关联性的，必须在其特定的历史、社会和文化语境中进行。忽视这些外部因素将导致评估的不完整甚至不准确。</w:t>
      </w:r>
    </w:p>
    <w:p w14:paraId="550E7E05">
      <w:pPr>
        <w:keepNext w:val="0"/>
        <w:keepLines w:val="0"/>
        <w:widowControl/>
        <w:numPr>
          <w:ilvl w:val="0"/>
          <w:numId w:val="12"/>
        </w:numPr>
        <w:suppressLineNumbers w:val="0"/>
        <w:spacing w:before="0" w:beforeAutospacing="1" w:after="0" w:afterAutospacing="1"/>
        <w:ind w:left="1440" w:hanging="360"/>
      </w:pPr>
    </w:p>
    <w:p w14:paraId="2516C3FC">
      <w:pPr>
        <w:keepNext w:val="0"/>
        <w:keepLines w:val="0"/>
        <w:widowControl/>
        <w:numPr>
          <w:ilvl w:val="0"/>
          <w:numId w:val="12"/>
        </w:numPr>
        <w:suppressLineNumbers w:val="0"/>
        <w:spacing w:before="0" w:beforeAutospacing="1" w:after="0" w:afterAutospacing="1"/>
        <w:ind w:left="1440" w:hanging="360"/>
      </w:pPr>
    </w:p>
    <w:p w14:paraId="409D236D">
      <w:pPr>
        <w:pStyle w:val="6"/>
        <w:keepNext w:val="0"/>
        <w:keepLines w:val="0"/>
        <w:widowControl/>
        <w:suppressLineNumbers w:val="0"/>
        <w:ind w:left="720"/>
      </w:pPr>
      <w:r>
        <w:rPr>
          <w:b/>
          <w:bCs/>
        </w:rPr>
        <w:t>多维度价值：</w:t>
      </w:r>
      <w:r>
        <w:t xml:space="preserve"> 识别并评估有助于整体质量的多种形式的价值——在艺术中包括美学、道德、认知和政治价值；在研究中包括相关性、可信度、合法性和有效性。评估应超越表面吸引力，深入探究作品或研究的内在品质。</w:t>
      </w:r>
    </w:p>
    <w:p w14:paraId="43A561AC">
      <w:pPr>
        <w:keepNext w:val="0"/>
        <w:keepLines w:val="0"/>
        <w:widowControl/>
        <w:numPr>
          <w:ilvl w:val="0"/>
          <w:numId w:val="12"/>
        </w:numPr>
        <w:suppressLineNumbers w:val="0"/>
        <w:spacing w:before="0" w:beforeAutospacing="1" w:after="0" w:afterAutospacing="1"/>
        <w:ind w:left="1440" w:hanging="360"/>
      </w:pPr>
    </w:p>
    <w:p w14:paraId="6BB30BBF">
      <w:pPr>
        <w:keepNext w:val="0"/>
        <w:keepLines w:val="0"/>
        <w:widowControl/>
        <w:numPr>
          <w:ilvl w:val="0"/>
          <w:numId w:val="12"/>
        </w:numPr>
        <w:suppressLineNumbers w:val="0"/>
        <w:spacing w:before="0" w:beforeAutospacing="1" w:after="0" w:afterAutospacing="1"/>
        <w:ind w:left="1440" w:hanging="360"/>
      </w:pPr>
    </w:p>
    <w:p w14:paraId="4816A769">
      <w:pPr>
        <w:pStyle w:val="6"/>
        <w:keepNext w:val="0"/>
        <w:keepLines w:val="0"/>
        <w:widowControl/>
        <w:suppressLineNumbers w:val="0"/>
        <w:ind w:left="720"/>
      </w:pPr>
      <w:r>
        <w:rPr>
          <w:b/>
          <w:bCs/>
        </w:rPr>
        <w:t>混合评估：</w:t>
      </w:r>
      <w:r>
        <w:t xml:space="preserve"> 采用平衡的方法，优先考虑定性、专家驱动的同行评审，并辅以适当的、语境感知的定量指标。应避免还原论的衡量方式，因为过度依赖不恰当的定量指标可能会扭曲对质量的感知。</w:t>
      </w:r>
    </w:p>
    <w:p w14:paraId="3C468C53">
      <w:pPr>
        <w:keepNext w:val="0"/>
        <w:keepLines w:val="0"/>
        <w:widowControl/>
        <w:numPr>
          <w:ilvl w:val="0"/>
          <w:numId w:val="12"/>
        </w:numPr>
        <w:suppressLineNumbers w:val="0"/>
        <w:spacing w:before="0" w:beforeAutospacing="1" w:after="0" w:afterAutospacing="1"/>
        <w:ind w:left="1440" w:hanging="360"/>
      </w:pPr>
    </w:p>
    <w:p w14:paraId="6BE3C6BE">
      <w:pPr>
        <w:keepNext w:val="0"/>
        <w:keepLines w:val="0"/>
        <w:widowControl/>
        <w:numPr>
          <w:ilvl w:val="0"/>
          <w:numId w:val="12"/>
        </w:numPr>
        <w:suppressLineNumbers w:val="0"/>
        <w:spacing w:before="0" w:beforeAutospacing="1" w:after="0" w:afterAutospacing="1"/>
        <w:ind w:left="1440" w:hanging="360"/>
      </w:pPr>
    </w:p>
    <w:p w14:paraId="5992E480">
      <w:pPr>
        <w:pStyle w:val="6"/>
        <w:keepNext w:val="0"/>
        <w:keepLines w:val="0"/>
        <w:widowControl/>
        <w:suppressLineNumbers w:val="0"/>
        <w:ind w:left="720"/>
      </w:pPr>
      <w:r>
        <w:rPr>
          <w:b/>
          <w:bCs/>
        </w:rPr>
        <w:t>关注深度参与：</w:t>
      </w:r>
      <w:r>
        <w:t xml:space="preserve"> 强调对研究中高阶认知技能（分析、综合、批判性思维）的评估，以及艺术作品中意义、意图和影响的深度，而非仅仅关注表面产出。</w:t>
      </w:r>
    </w:p>
    <w:p w14:paraId="7A81EBC5">
      <w:pPr>
        <w:keepNext w:val="0"/>
        <w:keepLines w:val="0"/>
        <w:widowControl/>
        <w:numPr>
          <w:ilvl w:val="0"/>
          <w:numId w:val="12"/>
        </w:numPr>
        <w:suppressLineNumbers w:val="0"/>
        <w:spacing w:before="0" w:beforeAutospacing="1" w:after="0" w:afterAutospacing="1"/>
        <w:ind w:left="1440" w:hanging="360"/>
      </w:pPr>
    </w:p>
    <w:p w14:paraId="5DD35B04">
      <w:pPr>
        <w:keepNext w:val="0"/>
        <w:keepLines w:val="0"/>
        <w:widowControl/>
        <w:numPr>
          <w:ilvl w:val="0"/>
          <w:numId w:val="12"/>
        </w:numPr>
        <w:suppressLineNumbers w:val="0"/>
        <w:spacing w:before="0" w:beforeAutospacing="1" w:after="0" w:afterAutospacing="1"/>
        <w:ind w:left="1440" w:hanging="360"/>
      </w:pPr>
    </w:p>
    <w:p w14:paraId="3BAACA4C">
      <w:pPr>
        <w:pStyle w:val="6"/>
        <w:keepNext w:val="0"/>
        <w:keepLines w:val="0"/>
        <w:widowControl/>
        <w:suppressLineNumbers w:val="0"/>
        <w:ind w:left="720"/>
      </w:pPr>
      <w:r>
        <w:rPr>
          <w:b/>
          <w:bCs/>
        </w:rPr>
        <w:t>适应性方法论严谨性：</w:t>
      </w:r>
      <w:r>
        <w:t xml:space="preserve"> 根据具体的学科和产出类型调整评估方法，无论是历史研究中严格的史料批判，哲学中连贯的论证，还是艺术表演和视觉艺术中结构化的量规。</w:t>
      </w:r>
    </w:p>
    <w:p w14:paraId="31426D17">
      <w:pPr>
        <w:keepNext w:val="0"/>
        <w:keepLines w:val="0"/>
        <w:widowControl/>
        <w:numPr>
          <w:ilvl w:val="0"/>
          <w:numId w:val="12"/>
        </w:numPr>
        <w:suppressLineNumbers w:val="0"/>
        <w:spacing w:before="0" w:beforeAutospacing="1" w:after="0" w:afterAutospacing="1"/>
        <w:ind w:left="1440" w:hanging="360"/>
      </w:pPr>
    </w:p>
    <w:p w14:paraId="6C9ED2DE">
      <w:pPr>
        <w:keepNext w:val="0"/>
        <w:keepLines w:val="0"/>
        <w:widowControl/>
        <w:numPr>
          <w:ilvl w:val="0"/>
          <w:numId w:val="12"/>
        </w:numPr>
        <w:suppressLineNumbers w:val="0"/>
        <w:spacing w:before="0" w:beforeAutospacing="1" w:after="0" w:afterAutospacing="1"/>
        <w:ind w:left="1440" w:hanging="360"/>
      </w:pPr>
    </w:p>
    <w:p w14:paraId="6AC491A2">
      <w:pPr>
        <w:pStyle w:val="6"/>
        <w:keepNext w:val="0"/>
        <w:keepLines w:val="0"/>
        <w:widowControl/>
        <w:suppressLineNumbers w:val="0"/>
        <w:ind w:left="720"/>
      </w:pPr>
      <w:r>
        <w:rPr>
          <w:b/>
          <w:bCs/>
        </w:rPr>
        <w:t>透明度和形成性反馈：</w:t>
      </w:r>
      <w:r>
        <w:t xml:space="preserve"> 确保评估标准清晰明确，提供可操作的反馈以促进改进，并培养持续学习和发展的文化。</w:t>
      </w:r>
    </w:p>
    <w:p w14:paraId="52713C2D">
      <w:pPr>
        <w:keepNext w:val="0"/>
        <w:keepLines w:val="0"/>
        <w:widowControl/>
        <w:numPr>
          <w:ilvl w:val="0"/>
          <w:numId w:val="12"/>
        </w:numPr>
        <w:suppressLineNumbers w:val="0"/>
        <w:spacing w:before="0" w:beforeAutospacing="1" w:after="0" w:afterAutospacing="1"/>
        <w:ind w:left="1440" w:hanging="360"/>
      </w:pPr>
    </w:p>
    <w:p w14:paraId="301C07D1">
      <w:pPr>
        <w:pStyle w:val="4"/>
        <w:keepNext w:val="0"/>
        <w:keepLines w:val="0"/>
        <w:widowControl/>
        <w:suppressLineNumbers w:val="0"/>
      </w:pPr>
      <w:r>
        <w:t>细致有效评估的建议</w:t>
      </w:r>
    </w:p>
    <w:p w14:paraId="532E0EA7">
      <w:pPr>
        <w:pStyle w:val="6"/>
        <w:keepNext w:val="0"/>
        <w:keepLines w:val="0"/>
        <w:widowControl/>
        <w:suppressLineNumbers w:val="0"/>
      </w:pPr>
      <w:r>
        <w:t>为了在人文与艺术领域实现更细致和有效的质量评估，建议采取以下措施：</w:t>
      </w:r>
    </w:p>
    <w:p w14:paraId="01D0DC2F">
      <w:pPr>
        <w:keepNext w:val="0"/>
        <w:keepLines w:val="0"/>
        <w:widowControl/>
        <w:numPr>
          <w:ilvl w:val="0"/>
          <w:numId w:val="13"/>
        </w:numPr>
        <w:suppressLineNumbers w:val="0"/>
        <w:spacing w:before="0" w:beforeAutospacing="1" w:after="0" w:afterAutospacing="1"/>
        <w:ind w:left="1440" w:hanging="360"/>
      </w:pPr>
    </w:p>
    <w:p w14:paraId="1BD3CE14">
      <w:pPr>
        <w:pStyle w:val="6"/>
        <w:keepNext w:val="0"/>
        <w:keepLines w:val="0"/>
        <w:widowControl/>
        <w:suppressLineNumbers w:val="0"/>
        <w:ind w:left="720"/>
      </w:pPr>
      <w:r>
        <w:rPr>
          <w:b/>
          <w:bCs/>
        </w:rPr>
        <w:t>制定和更新学科特定量规和指南：</w:t>
      </w:r>
      <w:r>
        <w:t xml:space="preserve"> 这些工具应反映每个领域的独特特征和价值，确保评估的适用性和公平性。</w:t>
      </w:r>
    </w:p>
    <w:p w14:paraId="740EB0A7">
      <w:pPr>
        <w:keepNext w:val="0"/>
        <w:keepLines w:val="0"/>
        <w:widowControl/>
        <w:numPr>
          <w:ilvl w:val="0"/>
          <w:numId w:val="13"/>
        </w:numPr>
        <w:suppressLineNumbers w:val="0"/>
        <w:spacing w:before="0" w:beforeAutospacing="1" w:after="0" w:afterAutospacing="1"/>
        <w:ind w:left="1440" w:hanging="360"/>
      </w:pPr>
    </w:p>
    <w:p w14:paraId="325B52B0">
      <w:pPr>
        <w:keepNext w:val="0"/>
        <w:keepLines w:val="0"/>
        <w:widowControl/>
        <w:numPr>
          <w:ilvl w:val="0"/>
          <w:numId w:val="13"/>
        </w:numPr>
        <w:suppressLineNumbers w:val="0"/>
        <w:spacing w:before="0" w:beforeAutospacing="1" w:after="0" w:afterAutospacing="1"/>
        <w:ind w:left="1440" w:hanging="360"/>
      </w:pPr>
    </w:p>
    <w:p w14:paraId="5F74272D">
      <w:pPr>
        <w:pStyle w:val="6"/>
        <w:keepNext w:val="0"/>
        <w:keepLines w:val="0"/>
        <w:widowControl/>
        <w:suppressLineNumbers w:val="0"/>
        <w:ind w:left="720"/>
      </w:pPr>
      <w:r>
        <w:rPr>
          <w:b/>
          <w:bCs/>
        </w:rPr>
        <w:t>投资评估者培训：</w:t>
      </w:r>
      <w:r>
        <w:t xml:space="preserve"> 全面培训评估者，提升他们对多样化研究方法、艺术实践和文化语境的理解，从而提高评估的专业性和准确性。</w:t>
      </w:r>
    </w:p>
    <w:p w14:paraId="34305835">
      <w:pPr>
        <w:keepNext w:val="0"/>
        <w:keepLines w:val="0"/>
        <w:widowControl/>
        <w:numPr>
          <w:ilvl w:val="0"/>
          <w:numId w:val="13"/>
        </w:numPr>
        <w:suppressLineNumbers w:val="0"/>
        <w:spacing w:before="0" w:beforeAutospacing="1" w:after="0" w:afterAutospacing="1"/>
        <w:ind w:left="1440" w:hanging="360"/>
      </w:pPr>
    </w:p>
    <w:p w14:paraId="248BC142">
      <w:pPr>
        <w:keepNext w:val="0"/>
        <w:keepLines w:val="0"/>
        <w:widowControl/>
        <w:numPr>
          <w:ilvl w:val="0"/>
          <w:numId w:val="13"/>
        </w:numPr>
        <w:suppressLineNumbers w:val="0"/>
        <w:spacing w:before="0" w:beforeAutospacing="1" w:after="0" w:afterAutospacing="1"/>
        <w:ind w:left="1440" w:hanging="360"/>
      </w:pPr>
    </w:p>
    <w:p w14:paraId="51C9F198">
      <w:pPr>
        <w:pStyle w:val="6"/>
        <w:keepNext w:val="0"/>
        <w:keepLines w:val="0"/>
        <w:widowControl/>
        <w:suppressLineNumbers w:val="0"/>
        <w:ind w:left="720"/>
      </w:pPr>
      <w:r>
        <w:rPr>
          <w:b/>
          <w:bCs/>
        </w:rPr>
        <w:t>促进跨学科对话与协作：</w:t>
      </w:r>
      <w:r>
        <w:t xml:space="preserve"> 在评估框架的制定过程中，鼓励跨学科专家之间的交流与合作，以弥合分歧并解决潜在的矛盾标准。</w:t>
      </w:r>
    </w:p>
    <w:p w14:paraId="0432D3F3">
      <w:pPr>
        <w:keepNext w:val="0"/>
        <w:keepLines w:val="0"/>
        <w:widowControl/>
        <w:numPr>
          <w:ilvl w:val="0"/>
          <w:numId w:val="13"/>
        </w:numPr>
        <w:suppressLineNumbers w:val="0"/>
        <w:spacing w:before="0" w:beforeAutospacing="1" w:after="0" w:afterAutospacing="1"/>
        <w:ind w:left="1440" w:hanging="360"/>
      </w:pPr>
    </w:p>
    <w:p w14:paraId="55C816B6">
      <w:pPr>
        <w:keepNext w:val="0"/>
        <w:keepLines w:val="0"/>
        <w:widowControl/>
        <w:numPr>
          <w:ilvl w:val="0"/>
          <w:numId w:val="13"/>
        </w:numPr>
        <w:suppressLineNumbers w:val="0"/>
        <w:spacing w:before="0" w:beforeAutospacing="1" w:after="0" w:afterAutospacing="1"/>
        <w:ind w:left="1440" w:hanging="360"/>
      </w:pPr>
    </w:p>
    <w:p w14:paraId="0E9C5288">
      <w:pPr>
        <w:pStyle w:val="6"/>
        <w:keepNext w:val="0"/>
        <w:keepLines w:val="0"/>
        <w:widowControl/>
        <w:suppressLineNumbers w:val="0"/>
        <w:ind w:left="720"/>
      </w:pPr>
      <w:r>
        <w:rPr>
          <w:b/>
          <w:bCs/>
        </w:rPr>
        <w:t>优先定性判断：</w:t>
      </w:r>
      <w:r>
        <w:t xml:space="preserve"> 优先考虑源自专家判断的定性见解，将定量数据作为补充证据，并仔细考量其适用性和局限性。</w:t>
      </w:r>
    </w:p>
    <w:p w14:paraId="5BCE49DC">
      <w:pPr>
        <w:keepNext w:val="0"/>
        <w:keepLines w:val="0"/>
        <w:widowControl/>
        <w:numPr>
          <w:ilvl w:val="0"/>
          <w:numId w:val="13"/>
        </w:numPr>
        <w:suppressLineNumbers w:val="0"/>
        <w:spacing w:before="0" w:beforeAutospacing="1" w:after="0" w:afterAutospacing="1"/>
        <w:ind w:left="1440" w:hanging="360"/>
      </w:pPr>
    </w:p>
    <w:p w14:paraId="001550D4">
      <w:pPr>
        <w:keepNext w:val="0"/>
        <w:keepLines w:val="0"/>
        <w:widowControl/>
        <w:numPr>
          <w:ilvl w:val="0"/>
          <w:numId w:val="13"/>
        </w:numPr>
        <w:suppressLineNumbers w:val="0"/>
        <w:spacing w:before="0" w:beforeAutospacing="1" w:after="0" w:afterAutospacing="1"/>
        <w:ind w:left="1440" w:hanging="360"/>
      </w:pPr>
    </w:p>
    <w:p w14:paraId="7E8B4FE5">
      <w:pPr>
        <w:pStyle w:val="6"/>
        <w:keepNext w:val="0"/>
        <w:keepLines w:val="0"/>
        <w:widowControl/>
        <w:suppressLineNumbers w:val="0"/>
        <w:ind w:left="720"/>
      </w:pPr>
      <w:r>
        <w:rPr>
          <w:b/>
          <w:bCs/>
        </w:rPr>
        <w:t>认可多元产出：</w:t>
      </w:r>
      <w:r>
        <w:t xml:space="preserve"> 承认并奖励多样化的学术和艺术产出，包括专著、非英语出版物、数字人文项目以及各种形式的艺术创作和表演，避免因评估工具的局限性而忽视其价值。</w:t>
      </w:r>
    </w:p>
    <w:p w14:paraId="43BC7E70">
      <w:pPr>
        <w:keepNext w:val="0"/>
        <w:keepLines w:val="0"/>
        <w:widowControl/>
        <w:numPr>
          <w:ilvl w:val="0"/>
          <w:numId w:val="13"/>
        </w:numPr>
        <w:suppressLineNumbers w:val="0"/>
        <w:spacing w:before="0" w:beforeAutospacing="1" w:after="0" w:afterAutospacing="1"/>
        <w:ind w:left="1440" w:hanging="360"/>
      </w:pPr>
    </w:p>
    <w:p w14:paraId="1609534A">
      <w:pPr>
        <w:pStyle w:val="4"/>
        <w:keepNext w:val="0"/>
        <w:keepLines w:val="0"/>
        <w:widowControl/>
        <w:suppressLineNumbers w:val="0"/>
      </w:pPr>
      <w:r>
        <w:t>质量评估的未来方向</w:t>
      </w:r>
    </w:p>
    <w:p w14:paraId="4CBD5F6F">
      <w:pPr>
        <w:pStyle w:val="6"/>
        <w:keepNext w:val="0"/>
        <w:keepLines w:val="0"/>
        <w:widowControl/>
        <w:suppressLineNumbers w:val="0"/>
      </w:pPr>
      <w:r>
        <w:t>质量评估的未来发展将继续适应新兴的艺术实践和跨学科研究方法，并更加重视评估人文与艺术的更广泛社会影响、公众参与和知识转化方面，同时应对量化带来的挑战。未来评估还将致力于开发更复杂的定性评估工具和框架，以更严谨和一致的方式捕捉质量中无形和主观的维度。</w:t>
      </w:r>
    </w:p>
    <w:p w14:paraId="186EFD54"/>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657F6"/>
    <w:multiLevelType w:val="multilevel"/>
    <w:tmpl w:val="880657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031219"/>
    <w:multiLevelType w:val="multilevel"/>
    <w:tmpl w:val="AF0312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2E166FF"/>
    <w:multiLevelType w:val="multilevel"/>
    <w:tmpl w:val="B2E166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1E5F99B"/>
    <w:multiLevelType w:val="multilevel"/>
    <w:tmpl w:val="D1E5F9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CC38F95"/>
    <w:multiLevelType w:val="multilevel"/>
    <w:tmpl w:val="DCC38F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F1EDEA6"/>
    <w:multiLevelType w:val="multilevel"/>
    <w:tmpl w:val="DF1EDE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1CDD9E4"/>
    <w:multiLevelType w:val="multilevel"/>
    <w:tmpl w:val="E1CDD9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31F710F"/>
    <w:multiLevelType w:val="multilevel"/>
    <w:tmpl w:val="E31F7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3C9EB55"/>
    <w:multiLevelType w:val="multilevel"/>
    <w:tmpl w:val="23C9EB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773C4C0"/>
    <w:multiLevelType w:val="multilevel"/>
    <w:tmpl w:val="3773C4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DDB7E5A"/>
    <w:multiLevelType w:val="multilevel"/>
    <w:tmpl w:val="3DDB7E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7814D2C"/>
    <w:multiLevelType w:val="multilevel"/>
    <w:tmpl w:val="47814D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719201C"/>
    <w:multiLevelType w:val="multilevel"/>
    <w:tmpl w:val="67192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5"/>
  </w:num>
  <w:num w:numId="4">
    <w:abstractNumId w:val="12"/>
  </w:num>
  <w:num w:numId="5">
    <w:abstractNumId w:val="3"/>
  </w:num>
  <w:num w:numId="6">
    <w:abstractNumId w:val="1"/>
  </w:num>
  <w:num w:numId="7">
    <w:abstractNumId w:val="9"/>
  </w:num>
  <w:num w:numId="8">
    <w:abstractNumId w:val="10"/>
  </w:num>
  <w:num w:numId="9">
    <w:abstractNumId w:val="8"/>
  </w:num>
  <w:num w:numId="10">
    <w:abstractNumId w:val="7"/>
  </w:num>
  <w:num w:numId="11">
    <w:abstractNumId w:val="0"/>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451A9C"/>
    <w:rsid w:val="2C401CC5"/>
    <w:rsid w:val="72934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2970</Words>
  <Characters>2997</Characters>
  <Lines>0</Lines>
  <Paragraphs>0</Paragraphs>
  <TotalTime>10</TotalTime>
  <ScaleCrop>false</ScaleCrop>
  <LinksUpToDate>false</LinksUpToDate>
  <CharactersWithSpaces>3025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2025-08-07T14:20:00Z</dcterms:created>
  <dc:creator>MyhrDyzy</dc:creator>
  <cp:lastModifiedBy>WPS_1532337785</cp:lastModifiedBy>
  <dcterms:modified xsi:type="dcterms:W3CDTF">2025-08-08T20:39:48Z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eyJoZGlkIjoiZTY3ZTJiYWZlZDE4MzkxMDM0MWY0YTQzZDA3ZWFhM2IiLCJ1c2VySWQiOiIzODg5MzgwMTYifQ==</vt:lpwstr>
  </property>
  <property fmtid="{D5CDD505-2E9C-101B-9397-08002B2CF9AE}" pid="4" name="ICV">
    <vt:lpwstr>288C8846FB324179B9FD6292D1D3C56C_13</vt:lpwstr>
  </property>
</Properties>
</file>