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2B4C" w:val="clear"/>
            <w:tcMar>
              <w:top w:type="dxa" w:w="480"/>
              <w:left w:type="dxa" w:w="480"/>
              <w:bottom w:type="dxa" w:w="480"/>
              <w:right w:type="dxa" w:w="480"/>
            </w:tcMar>
          </w:tcPr>
          <w:p>
            <w:pPr>
              <w:spacing w:after="80" w:before="0"/>
            </w:pPr>
            <w:r>
              <w:rPr>
                <w:rFonts w:ascii="Arial" w:cs="Arial" w:eastAsia="Arial" w:hAnsi="Arial"/>
                <w:b/>
                <w:bCs/>
                <w:color w:val="1D9E75"/>
                <w:spacing w:val="120"/>
                <w:sz w:val="18"/>
                <w:szCs w:val="18"/>
              </w:rPr>
              <w:t xml:space="preserve">STRATEGIC TECHNOLOGY &amp; ADVISORY</w:t>
            </w:r>
          </w:p>
          <w:p>
            <w:pPr>
              <w:spacing w:after="160" w:before="0"/>
            </w:pPr>
            <w:r>
              <w:rPr>
                <w:rFonts w:ascii="Georgia" w:cs="Georgia" w:eastAsia="Georgia" w:hAnsi="Georgia"/>
                <w:b/>
                <w:bCs/>
                <w:color w:val="FFFFFF"/>
                <w:sz w:val="52"/>
                <w:szCs w:val="52"/>
              </w:rPr>
              <w:t xml:space="preserve">YGH Technology Consultants</w:t>
            </w:r>
          </w:p>
          <w:p>
            <w:pPr>
              <w:spacing w:after="200" w:before="0"/>
            </w:pPr>
            <w:r>
              <w:rPr>
                <w:rFonts w:ascii="Georgia" w:cs="Georgia" w:eastAsia="Georgia" w:hAnsi="Georgia"/>
                <w:i/>
                <w:iCs/>
                <w:color w:val="CCDDCC"/>
                <w:sz w:val="28"/>
                <w:szCs w:val="28"/>
              </w:rPr>
              <w:t xml:space="preserve">We engineer systems that elevate human performance at institutional scale.</w:t>
            </w:r>
          </w:p>
          <w:p>
            <w:pPr>
              <w:spacing w:after="0" w:before="0"/>
            </w:pPr>
            <w:r>
              <w:rPr>
                <w:rFonts w:ascii="Arial" w:cs="Arial" w:eastAsia="Arial" w:hAnsi="Arial"/>
                <w:color w:val="99AABB"/>
                <w:sz w:val="20"/>
                <w:szCs w:val="20"/>
              </w:rPr>
              <w:t xml:space="preserve">AI Solutions  ·  Digital Transformation  ·  Behavioral Intelligence  ·  Workforce Development</w:t>
            </w:r>
          </w:p>
        </w:tc>
      </w:tr>
    </w:tbl>
    <w:p>
      <w:pPr>
        <w:spacing w:after="0" w:before="360"/>
      </w:pPr>
      <w:r>
        <w:t xml:space="preserve"/>
      </w:r>
    </w:p>
    <w:p>
      <w:pPr>
        <w:spacing w:after="60" w:before="0"/>
      </w:pPr>
      <w:r>
        <w:rPr>
          <w:rFonts w:ascii="Arial" w:cs="Arial" w:eastAsia="Arial" w:hAnsi="Arial"/>
          <w:b/>
          <w:bCs/>
          <w:color w:val="1D9E75"/>
          <w:spacing w:val="80"/>
          <w:sz w:val="18"/>
          <w:szCs w:val="18"/>
        </w:rPr>
        <w:t xml:space="preserve">COMPANY OVERVIEW</w:t>
      </w:r>
    </w:p>
    <w:p>
      <w:pPr>
        <w:pBdr>
          <w:bottom w:val="single" w:color="1D9E75" w:sz="6" w:space="6"/>
        </w:pBdr>
        <w:spacing w:after="120" w:before="240"/>
      </w:pPr>
      <w:r>
        <w:rPr>
          <w:rFonts w:ascii="Georgia" w:cs="Georgia" w:eastAsia="Georgia" w:hAnsi="Georgia"/>
          <w:b/>
          <w:bCs/>
          <w:color w:val="0F2B4C"/>
          <w:sz w:val="36"/>
          <w:szCs w:val="36"/>
        </w:rPr>
        <w:t xml:space="preserve">Built for Impact. Engineered for Scale.</w:t>
      </w:r>
    </w:p>
    <w:p>
      <w:pPr>
        <w:spacing w:after="0" w:before="60"/>
      </w:pPr>
      <w:r>
        <w:t xml:space="preserve"/>
      </w:r>
    </w:p>
    <w:p>
      <w:pPr>
        <w:spacing w:after="120" w:before="0"/>
      </w:pPr>
      <w:r>
        <w:rPr>
          <w:rFonts w:ascii="Arial" w:cs="Arial" w:eastAsia="Arial" w:hAnsi="Arial"/>
          <w:color w:val="444444"/>
          <w:sz w:val="22"/>
          <w:szCs w:val="22"/>
        </w:rPr>
        <w:t xml:space="preserve">YGH Technology Consultants is a strategic technology and advisory firm delivering AI-powered solutions, behavioral intelligence frameworks, and digital transformation strategies for government agencies, healthcare organizations, nonprofits, and enterprise clients.</w:t>
      </w:r>
    </w:p>
    <w:p>
      <w:pPr>
        <w:spacing w:after="120" w:before="0"/>
      </w:pPr>
      <w:r>
        <w:rPr>
          <w:rFonts w:ascii="Arial" w:cs="Arial" w:eastAsia="Arial" w:hAnsi="Arial"/>
          <w:color w:val="444444"/>
          <w:sz w:val="22"/>
          <w:szCs w:val="22"/>
        </w:rPr>
        <w:t xml:space="preserve">We operate at the intersection of technology and human performance — designing systems that don't just function, but transform. Our work is distinguished by its integration of applied behavioral science, emotional intelligence, and cutting-edge technology into unified, deployable solutions.</w:t>
      </w:r>
    </w:p>
    <w:p>
      <w:pPr>
        <w:spacing w:after="120" w:before="0"/>
      </w:pPr>
      <w:r>
        <w:rPr>
          <w:rFonts w:ascii="Arial" w:cs="Arial" w:eastAsia="Arial" w:hAnsi="Arial"/>
          <w:color w:val="444444"/>
          <w:sz w:val="22"/>
          <w:szCs w:val="22"/>
        </w:rPr>
        <w:t xml:space="preserve">We serve clients who demand measurable, lasting impact — not deliverables that look good on paper.</w:t>
      </w:r>
    </w:p>
    <w:p>
      <w:pPr>
        <w:spacing w:after="0" w:before="240"/>
      </w:pPr>
      <w:r>
        <w:t xml:space="preserve"/>
      </w:r>
    </w:p>
    <w:p>
      <w:pPr>
        <w:spacing w:after="60" w:before="0"/>
      </w:pPr>
      <w:r>
        <w:rPr>
          <w:rFonts w:ascii="Arial" w:cs="Arial" w:eastAsia="Arial" w:hAnsi="Arial"/>
          <w:b/>
          <w:bCs/>
          <w:color w:val="1D9E75"/>
          <w:spacing w:val="80"/>
          <w:sz w:val="18"/>
          <w:szCs w:val="18"/>
        </w:rPr>
        <w:t xml:space="preserve">CORE COMPETENCIES</w:t>
      </w:r>
    </w:p>
    <w:p>
      <w:pPr>
        <w:pBdr>
          <w:bottom w:val="single" w:color="1D9E75" w:sz="6" w:space="6"/>
        </w:pBdr>
        <w:spacing w:after="120" w:before="240"/>
      </w:pPr>
      <w:r>
        <w:rPr>
          <w:rFonts w:ascii="Georgia" w:cs="Georgia" w:eastAsia="Georgia" w:hAnsi="Georgia"/>
          <w:b/>
          <w:bCs/>
          <w:color w:val="0F2B4C"/>
          <w:sz w:val="36"/>
          <w:szCs w:val="36"/>
        </w:rPr>
        <w:t xml:space="preserve">Five Practice Areas. One Unified Intelligence.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top"/>
          </w:tcPr>
          <w:p>
            <w:r>
              <w:rPr>
                <w:rFonts w:ascii="Georgia" w:cs="Georgia" w:eastAsia="Georgia" w:hAnsi="Georgia"/>
                <w:b/>
                <w:bCs/>
                <w:color w:val="1D9E75"/>
                <w:sz w:val="28"/>
                <w:szCs w:val="28"/>
              </w:rPr>
              <w:t xml:space="preserve">01</w:t>
            </w:r>
          </w:p>
        </w:tc>
        <w:tc>
          <w:tcPr>
            <w:tcW w:type="dxa" w:w="8160"/>
            <w:tcBorders>
              <w:top w:val="none" w:color="FFFFFF" w:sz="0"/>
              <w:left w:val="none" w:color="FFFFFF" w:sz="0"/>
              <w:bottom w:val="none" w:color="FFFFFF" w:sz="0"/>
              <w:right w:val="none" w:color="FFFFFF" w:sz="0"/>
            </w:tcBorders>
            <w:tcMar>
              <w:top w:type="dxa" w:w="100"/>
              <w:left w:type="dxa" w:w="180"/>
              <w:bottom w:type="dxa" w:w="100"/>
              <w:right w:type="dxa" w:w="120"/>
            </w:tcMar>
          </w:tcPr>
          <w:p>
            <w:pPr>
              <w:spacing w:after="60" w:before="0"/>
            </w:pPr>
            <w:r>
              <w:rPr>
                <w:rFonts w:ascii="Arial" w:cs="Arial" w:eastAsia="Arial" w:hAnsi="Arial"/>
                <w:b/>
                <w:bCs/>
                <w:color w:val="0F2B4C"/>
                <w:sz w:val="24"/>
                <w:szCs w:val="24"/>
              </w:rPr>
              <w:t xml:space="preserve">Technology Consulting &amp; Systems Integration</w:t>
            </w:r>
          </w:p>
          <w:p>
            <w:pPr>
              <w:spacing w:after="80" w:before="0"/>
            </w:pPr>
            <w:r>
              <w:rPr>
                <w:rFonts w:ascii="Arial" w:cs="Arial" w:eastAsia="Arial" w:hAnsi="Arial"/>
                <w:color w:val="555555"/>
                <w:sz w:val="21"/>
                <w:szCs w:val="21"/>
              </w:rPr>
              <w:t xml:space="preserve">End-to-end digital transformation strategy, IT infrastructure planning and optimization, SaaS implementation, workflow automation, and data systems integration — built for operational resilience and long-term scale.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top"/>
          </w:tcPr>
          <w:p>
            <w:r>
              <w:rPr>
                <w:rFonts w:ascii="Georgia" w:cs="Georgia" w:eastAsia="Georgia" w:hAnsi="Georgia"/>
                <w:b/>
                <w:bCs/>
                <w:color w:val="1D9E75"/>
                <w:sz w:val="28"/>
                <w:szCs w:val="28"/>
              </w:rPr>
              <w:t xml:space="preserve">02</w:t>
            </w:r>
          </w:p>
        </w:tc>
        <w:tc>
          <w:tcPr>
            <w:tcW w:type="dxa" w:w="8160"/>
            <w:tcBorders>
              <w:top w:val="none" w:color="FFFFFF" w:sz="0"/>
              <w:left w:val="none" w:color="FFFFFF" w:sz="0"/>
              <w:bottom w:val="none" w:color="FFFFFF" w:sz="0"/>
              <w:right w:val="none" w:color="FFFFFF" w:sz="0"/>
            </w:tcBorders>
            <w:tcMar>
              <w:top w:type="dxa" w:w="100"/>
              <w:left w:type="dxa" w:w="180"/>
              <w:bottom w:type="dxa" w:w="100"/>
              <w:right w:type="dxa" w:w="120"/>
            </w:tcMar>
          </w:tcPr>
          <w:p>
            <w:pPr>
              <w:spacing w:after="60" w:before="0"/>
            </w:pPr>
            <w:r>
              <w:rPr>
                <w:rFonts w:ascii="Arial" w:cs="Arial" w:eastAsia="Arial" w:hAnsi="Arial"/>
                <w:b/>
                <w:bCs/>
                <w:color w:val="0F2B4C"/>
                <w:sz w:val="24"/>
                <w:szCs w:val="24"/>
              </w:rPr>
              <w:t xml:space="preserve">AI &amp; Emerging Technology Solutions</w:t>
            </w:r>
          </w:p>
          <w:p>
            <w:pPr>
              <w:spacing w:after="80" w:before="0"/>
            </w:pPr>
            <w:r>
              <w:rPr>
                <w:rFonts w:ascii="Arial" w:cs="Arial" w:eastAsia="Arial" w:hAnsi="Arial"/>
                <w:color w:val="555555"/>
                <w:sz w:val="21"/>
                <w:szCs w:val="21"/>
              </w:rPr>
              <w:t xml:space="preserve">Custom AI platform development, intelligent automation for operations and service delivery, and human-centered AI design for behavioral health, education, and enterprise operations. Ethical, practical, and production-grade.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top"/>
          </w:tcPr>
          <w:p>
            <w:r>
              <w:rPr>
                <w:rFonts w:ascii="Georgia" w:cs="Georgia" w:eastAsia="Georgia" w:hAnsi="Georgia"/>
                <w:b/>
                <w:bCs/>
                <w:color w:val="1D9E75"/>
                <w:sz w:val="28"/>
                <w:szCs w:val="28"/>
              </w:rPr>
              <w:t xml:space="preserve">03</w:t>
            </w:r>
          </w:p>
        </w:tc>
        <w:tc>
          <w:tcPr>
            <w:tcW w:type="dxa" w:w="8160"/>
            <w:tcBorders>
              <w:top w:val="none" w:color="FFFFFF" w:sz="0"/>
              <w:left w:val="none" w:color="FFFFFF" w:sz="0"/>
              <w:bottom w:val="none" w:color="FFFFFF" w:sz="0"/>
              <w:right w:val="none" w:color="FFFFFF" w:sz="0"/>
            </w:tcBorders>
            <w:tcMar>
              <w:top w:type="dxa" w:w="100"/>
              <w:left w:type="dxa" w:w="180"/>
              <w:bottom w:type="dxa" w:w="100"/>
              <w:right w:type="dxa" w:w="120"/>
            </w:tcMar>
          </w:tcPr>
          <w:p>
            <w:pPr>
              <w:spacing w:after="60" w:before="0"/>
            </w:pPr>
            <w:r>
              <w:rPr>
                <w:rFonts w:ascii="Arial" w:cs="Arial" w:eastAsia="Arial" w:hAnsi="Arial"/>
                <w:b/>
                <w:bCs/>
                <w:color w:val="0F2B4C"/>
                <w:sz w:val="24"/>
                <w:szCs w:val="24"/>
              </w:rPr>
              <w:t xml:space="preserve">Program Development &amp; Strategic Advisory</w:t>
            </w:r>
          </w:p>
          <w:p>
            <w:pPr>
              <w:spacing w:after="80" w:before="0"/>
            </w:pPr>
            <w:r>
              <w:rPr>
                <w:rFonts w:ascii="Arial" w:cs="Arial" w:eastAsia="Arial" w:hAnsi="Arial"/>
                <w:color w:val="555555"/>
                <w:sz w:val="21"/>
                <w:szCs w:val="21"/>
              </w:rPr>
              <w:t xml:space="preserve">Outcome-based program architecture, grant-aligned implementation frameworks, organizational development strategy, and performance tracking systems — designed for community impact and institutional accountability.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top"/>
          </w:tcPr>
          <w:p>
            <w:r>
              <w:rPr>
                <w:rFonts w:ascii="Georgia" w:cs="Georgia" w:eastAsia="Georgia" w:hAnsi="Georgia"/>
                <w:b/>
                <w:bCs/>
                <w:color w:val="1D9E75"/>
                <w:sz w:val="28"/>
                <w:szCs w:val="28"/>
              </w:rPr>
              <w:t xml:space="preserve">04</w:t>
            </w:r>
          </w:p>
        </w:tc>
        <w:tc>
          <w:tcPr>
            <w:tcW w:type="dxa" w:w="8160"/>
            <w:tcBorders>
              <w:top w:val="none" w:color="FFFFFF" w:sz="0"/>
              <w:left w:val="none" w:color="FFFFFF" w:sz="0"/>
              <w:bottom w:val="none" w:color="FFFFFF" w:sz="0"/>
              <w:right w:val="none" w:color="FFFFFF" w:sz="0"/>
            </w:tcBorders>
            <w:tcMar>
              <w:top w:type="dxa" w:w="100"/>
              <w:left w:type="dxa" w:w="180"/>
              <w:bottom w:type="dxa" w:w="100"/>
              <w:right w:type="dxa" w:w="120"/>
            </w:tcMar>
          </w:tcPr>
          <w:p>
            <w:pPr>
              <w:spacing w:after="60" w:before="0"/>
            </w:pPr>
            <w:r>
              <w:rPr>
                <w:rFonts w:ascii="Arial" w:cs="Arial" w:eastAsia="Arial" w:hAnsi="Arial"/>
                <w:b/>
                <w:bCs/>
                <w:color w:val="0F2B4C"/>
                <w:sz w:val="24"/>
                <w:szCs w:val="24"/>
              </w:rPr>
              <w:t xml:space="preserve">Training, Education &amp; Workforce Development</w:t>
            </w:r>
          </w:p>
          <w:p>
            <w:pPr>
              <w:spacing w:after="80" w:before="0"/>
            </w:pPr>
            <w:r>
              <w:rPr>
                <w:rFonts w:ascii="Arial" w:cs="Arial" w:eastAsia="Arial" w:hAnsi="Arial"/>
                <w:color w:val="555555"/>
                <w:sz w:val="21"/>
                <w:szCs w:val="21"/>
              </w:rPr>
              <w:t xml:space="preserve">Leadership development programs, EQ-integrated curriculum design, and workforce training systems for youth, behavioral health sectors, and executive leadership teams. From K-12 pipelines to C-suite capacity.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vAlign w:val="top"/>
          </w:tcPr>
          <w:p>
            <w:r>
              <w:rPr>
                <w:rFonts w:ascii="Georgia" w:cs="Georgia" w:eastAsia="Georgia" w:hAnsi="Georgia"/>
                <w:b/>
                <w:bCs/>
                <w:color w:val="1D9E75"/>
                <w:sz w:val="28"/>
                <w:szCs w:val="28"/>
              </w:rPr>
              <w:t xml:space="preserve">05</w:t>
            </w:r>
          </w:p>
        </w:tc>
        <w:tc>
          <w:tcPr>
            <w:tcW w:type="dxa" w:w="8160"/>
            <w:tcBorders>
              <w:top w:val="none" w:color="FFFFFF" w:sz="0"/>
              <w:left w:val="none" w:color="FFFFFF" w:sz="0"/>
              <w:bottom w:val="none" w:color="FFFFFF" w:sz="0"/>
              <w:right w:val="none" w:color="FFFFFF" w:sz="0"/>
            </w:tcBorders>
            <w:tcMar>
              <w:top w:type="dxa" w:w="100"/>
              <w:left w:type="dxa" w:w="180"/>
              <w:bottom w:type="dxa" w:w="100"/>
              <w:right w:type="dxa" w:w="120"/>
            </w:tcMar>
          </w:tcPr>
          <w:p>
            <w:pPr>
              <w:spacing w:after="60" w:before="0"/>
            </w:pPr>
            <w:r>
              <w:rPr>
                <w:rFonts w:ascii="Arial" w:cs="Arial" w:eastAsia="Arial" w:hAnsi="Arial"/>
                <w:b/>
                <w:bCs/>
                <w:color w:val="0F2B4C"/>
                <w:sz w:val="24"/>
                <w:szCs w:val="24"/>
              </w:rPr>
              <w:t xml:space="preserve">Behavioral Health &amp; Human-Centered Solutions</w:t>
            </w:r>
          </w:p>
          <w:p>
            <w:pPr>
              <w:spacing w:after="80" w:before="0"/>
            </w:pPr>
            <w:r>
              <w:rPr>
                <w:rFonts w:ascii="Arial" w:cs="Arial" w:eastAsia="Arial" w:hAnsi="Arial"/>
                <w:color w:val="555555"/>
                <w:sz w:val="21"/>
                <w:szCs w:val="21"/>
              </w:rPr>
              <w:t xml:space="preserve">Technology infrastructure for mental health initiatives, crisis support system design, data-informed prevention and intervention models, and emotional intelligence integration into service delivery — where compassion meets operational precision.</w:t>
            </w:r>
          </w:p>
        </w:tc>
      </w:tr>
    </w:tbl>
    <w:p>
      <w:pPr>
        <w:spacing w:after="0" w:before="280"/>
      </w:pPr>
      <w:r>
        <w:t xml:space="preserve"/>
      </w:r>
    </w:p>
    <w:p>
      <w:pPr>
        <w:spacing w:after="60" w:before="0"/>
      </w:pPr>
      <w:r>
        <w:rPr>
          <w:rFonts w:ascii="Arial" w:cs="Arial" w:eastAsia="Arial" w:hAnsi="Arial"/>
          <w:b/>
          <w:bCs/>
          <w:color w:val="1D9E75"/>
          <w:spacing w:val="80"/>
          <w:sz w:val="18"/>
          <w:szCs w:val="18"/>
        </w:rPr>
        <w:t xml:space="preserve">WHY YGH</w:t>
      </w:r>
    </w:p>
    <w:p>
      <w:pPr>
        <w:pBdr>
          <w:bottom w:val="single" w:color="1D9E75" w:sz="6" w:space="6"/>
        </w:pBdr>
        <w:spacing w:after="120" w:before="240"/>
      </w:pPr>
      <w:r>
        <w:rPr>
          <w:rFonts w:ascii="Georgia" w:cs="Georgia" w:eastAsia="Georgia" w:hAnsi="Georgia"/>
          <w:b/>
          <w:bCs/>
          <w:color w:val="0F2B4C"/>
          <w:sz w:val="36"/>
          <w:szCs w:val="36"/>
        </w:rPr>
        <w:t xml:space="preserve">Built Different. By Design.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D9E75" w:sz="12"/>
              <w:bottom w:val="none" w:color="FFFFFF" w:sz="0"/>
              <w:right w:val="none" w:color="FFFFFF" w:sz="0"/>
            </w:tcBorders>
            <w:tcMar>
              <w:top w:type="dxa" w:w="60"/>
              <w:left w:type="dxa" w:w="0"/>
              <w:bottom w:type="dxa" w:w="60"/>
              <w:right w:type="dxa" w:w="0"/>
            </w:tcMar>
          </w:tcPr>
          <w:p>
            <w:r>
              <w:t xml:space="preserve"/>
            </w:r>
          </w:p>
        </w:tc>
        <w:tc>
          <w:tcPr>
            <w:tcW w:type="dxa" w:w="91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0"/>
            </w:pPr>
            <w:r>
              <w:rPr>
                <w:rFonts w:ascii="Arial" w:cs="Arial" w:eastAsia="Arial" w:hAnsi="Arial"/>
                <w:b/>
                <w:bCs/>
                <w:color w:val="1A1A2E"/>
                <w:sz w:val="22"/>
                <w:szCs w:val="22"/>
              </w:rPr>
              <w:t xml:space="preserve">Human-Centered by Architecture</w:t>
            </w:r>
          </w:p>
          <w:p>
            <w:pPr>
              <w:spacing w:after="80" w:before="0"/>
            </w:pPr>
            <w:r>
              <w:rPr>
                <w:rFonts w:ascii="Arial" w:cs="Arial" w:eastAsia="Arial" w:hAnsi="Arial"/>
                <w:color w:val="666666"/>
                <w:sz w:val="21"/>
                <w:szCs w:val="21"/>
              </w:rPr>
              <w:t xml:space="preserve">We don't retrofit empathy. Our solutions are engineered from day one around how people actually think, behave, and operate — not just how systems process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D9E75" w:sz="12"/>
              <w:bottom w:val="none" w:color="FFFFFF" w:sz="0"/>
              <w:right w:val="none" w:color="FFFFFF" w:sz="0"/>
            </w:tcBorders>
            <w:tcMar>
              <w:top w:type="dxa" w:w="60"/>
              <w:left w:type="dxa" w:w="0"/>
              <w:bottom w:type="dxa" w:w="60"/>
              <w:right w:type="dxa" w:w="0"/>
            </w:tcMar>
          </w:tcPr>
          <w:p>
            <w:r>
              <w:t xml:space="preserve"/>
            </w:r>
          </w:p>
        </w:tc>
        <w:tc>
          <w:tcPr>
            <w:tcW w:type="dxa" w:w="91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0"/>
            </w:pPr>
            <w:r>
              <w:rPr>
                <w:rFonts w:ascii="Arial" w:cs="Arial" w:eastAsia="Arial" w:hAnsi="Arial"/>
                <w:b/>
                <w:bCs/>
                <w:color w:val="1A1A2E"/>
                <w:sz w:val="22"/>
                <w:szCs w:val="22"/>
              </w:rPr>
              <w:t xml:space="preserve">Cross-Disciplinary Precision</w:t>
            </w:r>
          </w:p>
          <w:p>
            <w:pPr>
              <w:spacing w:after="80" w:before="0"/>
            </w:pPr>
            <w:r>
              <w:rPr>
                <w:rFonts w:ascii="Arial" w:cs="Arial" w:eastAsia="Arial" w:hAnsi="Arial"/>
                <w:color w:val="666666"/>
                <w:sz w:val="21"/>
                <w:szCs w:val="21"/>
              </w:rPr>
              <w:t xml:space="preserve">Technology. Behavioral science. Emotional intelligence. Organizational strategy. Few firms integrate all four at deployment-grade depth. We 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D9E75" w:sz="12"/>
              <w:bottom w:val="none" w:color="FFFFFF" w:sz="0"/>
              <w:right w:val="none" w:color="FFFFFF" w:sz="0"/>
            </w:tcBorders>
            <w:tcMar>
              <w:top w:type="dxa" w:w="60"/>
              <w:left w:type="dxa" w:w="0"/>
              <w:bottom w:type="dxa" w:w="60"/>
              <w:right w:type="dxa" w:w="0"/>
            </w:tcMar>
          </w:tcPr>
          <w:p>
            <w:r>
              <w:t xml:space="preserve"/>
            </w:r>
          </w:p>
        </w:tc>
        <w:tc>
          <w:tcPr>
            <w:tcW w:type="dxa" w:w="91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0"/>
            </w:pPr>
            <w:r>
              <w:rPr>
                <w:rFonts w:ascii="Arial" w:cs="Arial" w:eastAsia="Arial" w:hAnsi="Arial"/>
                <w:b/>
                <w:bCs/>
                <w:color w:val="1A1A2E"/>
                <w:sz w:val="22"/>
                <w:szCs w:val="22"/>
              </w:rPr>
              <w:t xml:space="preserve">Impact-Driven Infrastructure</w:t>
            </w:r>
          </w:p>
          <w:p>
            <w:pPr>
              <w:spacing w:after="80" w:before="0"/>
            </w:pPr>
            <w:r>
              <w:rPr>
                <w:rFonts w:ascii="Arial" w:cs="Arial" w:eastAsia="Arial" w:hAnsi="Arial"/>
                <w:color w:val="666666"/>
                <w:sz w:val="21"/>
                <w:szCs w:val="21"/>
              </w:rPr>
              <w:t xml:space="preserve">Every engagement is designed for measurable outcomes, real-world scalability, and long-term sustainability — not vanity deliverables.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D9E75" w:sz="12"/>
              <w:bottom w:val="none" w:color="FFFFFF" w:sz="0"/>
              <w:right w:val="none" w:color="FFFFFF" w:sz="0"/>
            </w:tcBorders>
            <w:tcMar>
              <w:top w:type="dxa" w:w="60"/>
              <w:left w:type="dxa" w:w="0"/>
              <w:bottom w:type="dxa" w:w="60"/>
              <w:right w:type="dxa" w:w="0"/>
            </w:tcMar>
          </w:tcPr>
          <w:p>
            <w:r>
              <w:t xml:space="preserve"/>
            </w:r>
          </w:p>
        </w:tc>
        <w:tc>
          <w:tcPr>
            <w:tcW w:type="dxa" w:w="91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0"/>
            </w:pPr>
            <w:r>
              <w:rPr>
                <w:rFonts w:ascii="Arial" w:cs="Arial" w:eastAsia="Arial" w:hAnsi="Arial"/>
                <w:b/>
                <w:bCs/>
                <w:color w:val="1A1A2E"/>
                <w:sz w:val="22"/>
                <w:szCs w:val="22"/>
              </w:rPr>
              <w:t xml:space="preserve">Mission-Aligned Execution</w:t>
            </w:r>
          </w:p>
          <w:p>
            <w:pPr>
              <w:spacing w:after="80" w:before="0"/>
            </w:pPr>
            <w:r>
              <w:rPr>
                <w:rFonts w:ascii="Arial" w:cs="Arial" w:eastAsia="Arial" w:hAnsi="Arial"/>
                <w:color w:val="666666"/>
                <w:sz w:val="21"/>
                <w:szCs w:val="21"/>
              </w:rPr>
              <w:t xml:space="preserve">We serve mental health organizations, community institutions, and mission-driven agencies because we are one. We build from lived insight, not just technical competency.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D9E75" w:sz="12"/>
              <w:bottom w:val="none" w:color="FFFFFF" w:sz="0"/>
              <w:right w:val="none" w:color="FFFFFF" w:sz="0"/>
            </w:tcBorders>
            <w:tcMar>
              <w:top w:type="dxa" w:w="60"/>
              <w:left w:type="dxa" w:w="0"/>
              <w:bottom w:type="dxa" w:w="60"/>
              <w:right w:type="dxa" w:w="0"/>
            </w:tcMar>
          </w:tcPr>
          <w:p>
            <w:r>
              <w:t xml:space="preserve"/>
            </w:r>
          </w:p>
        </w:tc>
        <w:tc>
          <w:tcPr>
            <w:tcW w:type="dxa" w:w="91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40" w:before="0"/>
            </w:pPr>
            <w:r>
              <w:rPr>
                <w:rFonts w:ascii="Arial" w:cs="Arial" w:eastAsia="Arial" w:hAnsi="Arial"/>
                <w:b/>
                <w:bCs/>
                <w:color w:val="1A1A2E"/>
                <w:sz w:val="22"/>
                <w:szCs w:val="22"/>
              </w:rPr>
              <w:t xml:space="preserve">Agile at Institutional Scale</w:t>
            </w:r>
          </w:p>
          <w:p>
            <w:pPr>
              <w:spacing w:after="80" w:before="0"/>
            </w:pPr>
            <w:r>
              <w:rPr>
                <w:rFonts w:ascii="Arial" w:cs="Arial" w:eastAsia="Arial" w:hAnsi="Arial"/>
                <w:color w:val="666666"/>
                <w:sz w:val="21"/>
                <w:szCs w:val="21"/>
              </w:rPr>
              <w:t xml:space="preserve">Startup speed. Enterprise-grade rigor. We move fast, adapt strategically, and deliver solutions that keep our clients ahead of the curve — not catching up to it.</w:t>
            </w:r>
          </w:p>
        </w:tc>
      </w:tr>
    </w:tbl>
    <w:p>
      <w:pPr>
        <w:spacing w:after="0" w:before="280"/>
      </w:pPr>
      <w:r>
        <w:t xml:space="preserve"/>
      </w:r>
    </w:p>
    <w:p>
      <w:pPr>
        <w:spacing w:after="60" w:before="0"/>
      </w:pPr>
      <w:r>
        <w:rPr>
          <w:rFonts w:ascii="Arial" w:cs="Arial" w:eastAsia="Arial" w:hAnsi="Arial"/>
          <w:b/>
          <w:bCs/>
          <w:color w:val="1D9E75"/>
          <w:spacing w:val="80"/>
          <w:sz w:val="18"/>
          <w:szCs w:val="18"/>
        </w:rPr>
        <w:t xml:space="preserve">NAICS CODES</w:t>
      </w:r>
    </w:p>
    <w:p>
      <w:pPr>
        <w:pBdr>
          <w:bottom w:val="single" w:color="1D9E75" w:sz="6" w:space="6"/>
        </w:pBdr>
        <w:spacing w:after="120" w:before="240"/>
      </w:pPr>
      <w:r>
        <w:rPr>
          <w:rFonts w:ascii="Georgia" w:cs="Georgia" w:eastAsia="Georgia" w:hAnsi="Georgia"/>
          <w:b/>
          <w:bCs/>
          <w:color w:val="0F2B4C"/>
          <w:sz w:val="36"/>
          <w:szCs w:val="36"/>
        </w:rPr>
        <w:t xml:space="preserve">Contracting &amp; Compliance</w:t>
      </w:r>
    </w:p>
    <w:p>
      <w:pPr>
        <w:spacing w:after="0" w:before="120"/>
      </w:pPr>
      <w:r>
        <w:t xml:space="preserve"/>
      </w:r>
    </w:p>
    <w:p>
      <w:pPr>
        <w:spacing w:after="120" w:before="0"/>
      </w:pPr>
      <w:r>
        <w:rPr>
          <w:rFonts w:ascii="Arial" w:cs="Arial" w:eastAsia="Arial" w:hAnsi="Arial"/>
          <w:color w:val="555555"/>
          <w:sz w:val="22"/>
          <w:szCs w:val="22"/>
        </w:rPr>
        <w:t xml:space="preserve">YGH Technology Consultants is fully registered for federal and state procurement. Our NAICS designations and certifications position us for targeted agency contracts across technology, consulting, workforce development, and social sciences research.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541511</w:t>
            </w:r>
          </w:p>
        </w:tc>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541512</w:t>
            </w:r>
          </w:p>
        </w:tc>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541519</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541611</w:t>
            </w:r>
          </w:p>
        </w:tc>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611430</w:t>
            </w:r>
          </w:p>
        </w:tc>
        <w:tc>
          <w:tcPr>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444444"/>
                <w:sz w:val="18"/>
                <w:szCs w:val="18"/>
              </w:rPr>
              <w:t xml:space="preserve">541720</w:t>
            </w:r>
          </w:p>
        </w:tc>
      </w:tr>
    </w:tbl>
    <w:p>
      <w:pPr>
        <w:spacing w:after="0" w:before="80"/>
      </w:pPr>
      <w:r>
        <w:t xml:space="preserve"/>
      </w:r>
    </w:p>
    <w:p>
      <w:pPr>
        <w:spacing w:after="120" w:before="0"/>
      </w:pPr>
      <w:r>
        <w:rPr>
          <w:rFonts w:ascii="Arial" w:cs="Arial" w:eastAsia="Arial" w:hAnsi="Arial"/>
          <w:color w:val="777777"/>
          <w:sz w:val="18"/>
          <w:szCs w:val="18"/>
        </w:rPr>
        <w:t xml:space="preserve">541511 — Custom Computer Programming  |  541512 — Computer Systems Design  |  541519 — Other Computer Related Services  |  541611 — Management Consulting  |  611430 — Professional &amp; Management Development Training  |  541720 — R&amp;D in Social Sciences</w:t>
      </w:r>
    </w:p>
    <w:p>
      <w:pPr>
        <w:spacing w:after="0" w:before="240"/>
      </w:pPr>
      <w:r>
        <w:t xml:space="preserve"/>
      </w:r>
    </w:p>
    <w:p>
      <w:pPr>
        <w:spacing w:after="60" w:before="0"/>
      </w:pPr>
      <w:r>
        <w:rPr>
          <w:rFonts w:ascii="Arial" w:cs="Arial" w:eastAsia="Arial" w:hAnsi="Arial"/>
          <w:b/>
          <w:bCs/>
          <w:color w:val="1D9E75"/>
          <w:spacing w:val="80"/>
          <w:sz w:val="18"/>
          <w:szCs w:val="18"/>
        </w:rPr>
        <w:t xml:space="preserve">CERTIFICATIONS &amp; REGISTRATIONS</w:t>
      </w:r>
    </w:p>
    <w:p>
      <w:pPr>
        <w:pBdr>
          <w:bottom w:val="single" w:color="1D9E75" w:sz="6" w:space="6"/>
        </w:pBdr>
        <w:spacing w:after="120" w:before="240"/>
      </w:pPr>
      <w:r>
        <w:rPr>
          <w:rFonts w:ascii="Georgia" w:cs="Georgia" w:eastAsia="Georgia" w:hAnsi="Georgia"/>
          <w:b/>
          <w:bCs/>
          <w:color w:val="0F2B4C"/>
          <w:sz w:val="36"/>
          <w:szCs w:val="36"/>
        </w:rPr>
        <w:t xml:space="preserve">Verified. Registered. Ready.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SAM.gov Status</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Active Registration — Federal Procurement Ready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CAGE Code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0WQF1</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UEI Number</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NKZ4SU2BUCJ9</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WOSB / EDWOSB</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Confirmed — Woman-Owned Small Business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SDVOSB</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In Process — CVE Verification Active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State Registration</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California Qualified — YGH Technology Consultants LLC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Entity Type</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LLC (California) | EIN on File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Legal Counsel</w:t>
            </w:r>
          </w:p>
        </w:tc>
        <w:tc>
          <w:tcPr>
            <w:tcW w:type="dxa" w:w="6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2E"/>
                <w:sz w:val="20"/>
                <w:szCs w:val="20"/>
              </w:rPr>
              <w:t xml:space="preserve">Sean Varner — Varner &amp; Brandt LLP</w:t>
            </w:r>
          </w:p>
        </w:tc>
      </w:tr>
    </w:tbl>
    <w:p>
      <w:pPr>
        <w:spacing w:after="0" w:before="280"/>
      </w:pPr>
      <w:r>
        <w:t xml:space="preserve"/>
      </w:r>
    </w:p>
    <w:p>
      <w:pPr>
        <w:spacing w:after="60" w:before="0"/>
      </w:pPr>
      <w:r>
        <w:rPr>
          <w:rFonts w:ascii="Arial" w:cs="Arial" w:eastAsia="Arial" w:hAnsi="Arial"/>
          <w:b/>
          <w:bCs/>
          <w:color w:val="1D9E75"/>
          <w:spacing w:val="80"/>
          <w:sz w:val="18"/>
          <w:szCs w:val="18"/>
        </w:rPr>
        <w:t xml:space="preserve">WHO WE SERVE</w:t>
      </w:r>
    </w:p>
    <w:p>
      <w:pPr>
        <w:pBdr>
          <w:bottom w:val="single" w:color="1D9E75" w:sz="6" w:space="6"/>
        </w:pBdr>
        <w:spacing w:after="120" w:before="240"/>
      </w:pPr>
      <w:r>
        <w:rPr>
          <w:rFonts w:ascii="Georgia" w:cs="Georgia" w:eastAsia="Georgia" w:hAnsi="Georgia"/>
          <w:b/>
          <w:bCs/>
          <w:color w:val="0F2B4C"/>
          <w:sz w:val="36"/>
          <w:szCs w:val="36"/>
        </w:rPr>
        <w:t xml:space="preserve">Client Sectors</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Federal, State &amp; Local Government</w:t>
            </w:r>
          </w:p>
          <w:p>
            <w:r>
              <w:rPr>
                <w:rFonts w:ascii="Arial" w:cs="Arial" w:eastAsia="Arial" w:hAnsi="Arial"/>
                <w:color w:val="666666"/>
                <w:sz w:val="20"/>
                <w:szCs w:val="20"/>
              </w:rPr>
              <w:t xml:space="preserve">Technology modernization, workforce development, AI integration</w:t>
            </w:r>
          </w:p>
        </w:tc>
        <w:tc>
          <w:tcPr>
            <w:tcW w:type="dxa" w:w="504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Behavioral Health &amp; Healthcare</w:t>
            </w:r>
          </w:p>
          <w:p>
            <w:r>
              <w:rPr>
                <w:rFonts w:ascii="Arial" w:cs="Arial" w:eastAsia="Arial" w:hAnsi="Arial"/>
                <w:color w:val="666666"/>
                <w:sz w:val="20"/>
                <w:szCs w:val="20"/>
              </w:rPr>
              <w:t xml:space="preserve">Crisis system design, mental wellness platforms, data-informed models</w:t>
            </w:r>
          </w:p>
        </w:tc>
      </w:tr>
      <w:tr>
        <w:tc>
          <w:tcPr>
            <w:tcW w:type="dxa" w:w="5040"/>
            <w:tcBorders>
              <w:top w:val="single" w:color="DDDDDD" w:sz="4"/>
              <w:left w:val="single" w:color="DDDDDD" w:sz="4"/>
              <w:bottom w:val="single" w:color="DDDDDD" w:sz="4"/>
              <w:right w:val="single" w:color="DDDDDD" w:sz="4"/>
            </w:tcBorders>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Educational Institutions</w:t>
            </w:r>
          </w:p>
          <w:p>
            <w:r>
              <w:rPr>
                <w:rFonts w:ascii="Arial" w:cs="Arial" w:eastAsia="Arial" w:hAnsi="Arial"/>
                <w:color w:val="666666"/>
                <w:sz w:val="20"/>
                <w:szCs w:val="20"/>
              </w:rPr>
              <w:t xml:space="preserve">EQ-integrated curriculum, youth development, learning technology systems</w:t>
            </w:r>
          </w:p>
        </w:tc>
        <w:tc>
          <w:tcPr>
            <w:tcW w:type="dxa" w:w="504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Nonprofits &amp; Community Organizations</w:t>
            </w:r>
          </w:p>
          <w:p>
            <w:r>
              <w:rPr>
                <w:rFonts w:ascii="Arial" w:cs="Arial" w:eastAsia="Arial" w:hAnsi="Arial"/>
                <w:color w:val="666666"/>
                <w:sz w:val="20"/>
                <w:szCs w:val="20"/>
              </w:rPr>
              <w:t xml:space="preserve">Grant-aligned program architecture, capacity building, impact measurement</w:t>
            </w:r>
          </w:p>
        </w:tc>
      </w:tr>
      <w:tr>
        <w:tc>
          <w:tcPr>
            <w:tcW w:type="dxa" w:w="5040"/>
            <w:tcBorders>
              <w:top w:val="single" w:color="DDDDDD" w:sz="4"/>
              <w:left w:val="single" w:color="DDDDDD" w:sz="4"/>
              <w:bottom w:val="single" w:color="DDDDDD" w:sz="4"/>
              <w:right w:val="single" w:color="DDDDDD" w:sz="4"/>
            </w:tcBorders>
            <w:shd w:fill="E1F5EE" w:val="clear"/>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Corporate &amp; Enterprise</w:t>
            </w:r>
          </w:p>
          <w:p>
            <w:r>
              <w:rPr>
                <w:rFonts w:ascii="Arial" w:cs="Arial" w:eastAsia="Arial" w:hAnsi="Arial"/>
                <w:color w:val="555555"/>
                <w:sz w:val="20"/>
                <w:szCs w:val="20"/>
              </w:rPr>
              <w:t xml:space="preserve">Workforce transformation, leadership development, organizational strategy</w:t>
            </w:r>
          </w:p>
        </w:tc>
        <w:tc>
          <w:tcPr>
            <w:tcW w:type="dxa" w:w="5040"/>
            <w:tcBorders>
              <w:top w:val="single" w:color="DDDDDD" w:sz="4"/>
              <w:left w:val="single" w:color="DDDDDD" w:sz="4"/>
              <w:bottom w:val="single" w:color="DDDDDD" w:sz="4"/>
              <w:right w:val="single" w:color="DDDDDD" w:sz="4"/>
            </w:tcBorders>
            <w:shd w:fill="E1F5EE" w:val="clear"/>
            <w:tcMar>
              <w:top w:type="dxa" w:w="120"/>
              <w:left w:type="dxa" w:w="160"/>
              <w:bottom w:type="dxa" w:w="120"/>
              <w:right w:type="dxa" w:w="160"/>
            </w:tcMar>
          </w:tcPr>
          <w:p>
            <w:pPr>
              <w:spacing w:after="40" w:before="0"/>
            </w:pPr>
            <w:r>
              <w:rPr>
                <w:rFonts w:ascii="Arial" w:cs="Arial" w:eastAsia="Arial" w:hAnsi="Arial"/>
                <w:b/>
                <w:bCs/>
                <w:color w:val="0F2B4C"/>
                <w:sz w:val="22"/>
                <w:szCs w:val="22"/>
              </w:rPr>
              <w:t xml:space="preserve">Law Enforcement &amp; Public Safety</w:t>
            </w:r>
          </w:p>
          <w:p>
            <w:r>
              <w:rPr>
                <w:rFonts w:ascii="Arial" w:cs="Arial" w:eastAsia="Arial" w:hAnsi="Arial"/>
                <w:color w:val="555555"/>
                <w:sz w:val="20"/>
                <w:szCs w:val="20"/>
              </w:rPr>
              <w:t xml:space="preserve">Officer development, resilience systems, wellness program infrastructure</w:t>
            </w:r>
          </w:p>
        </w:tc>
      </w:tr>
    </w:tbl>
    <w:p>
      <w:pPr>
        <w:spacing w:after="0" w:before="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2B4C" w:val="clear"/>
            <w:tcMar>
              <w:top w:type="dxa" w:w="360"/>
              <w:left w:type="dxa" w:w="480"/>
              <w:bottom w:type="dxa" w:w="360"/>
              <w:right w:type="dxa" w:w="480"/>
            </w:tcMar>
          </w:tcPr>
          <w:p>
            <w:pPr>
              <w:spacing w:after="100" w:before="0"/>
              <w:jc w:val="center"/>
            </w:pPr>
            <w:r>
              <w:rPr>
                <w:rFonts w:ascii="Georgia" w:cs="Georgia" w:eastAsia="Georgia" w:hAnsi="Georgia"/>
                <w:b/>
                <w:bCs/>
                <w:i/>
                <w:iCs/>
                <w:color w:val="FFFFFF"/>
                <w:sz w:val="36"/>
                <w:szCs w:val="36"/>
              </w:rPr>
              <w:t xml:space="preserve">Ready to build what's next?</w:t>
            </w:r>
          </w:p>
          <w:p>
            <w:pPr>
              <w:spacing w:after="160" w:before="0"/>
              <w:jc w:val="center"/>
            </w:pPr>
            <w:r>
              <w:rPr>
                <w:rFonts w:ascii="Arial" w:cs="Arial" w:eastAsia="Arial" w:hAnsi="Arial"/>
                <w:color w:val="AABBCC"/>
                <w:sz w:val="22"/>
                <w:szCs w:val="22"/>
              </w:rPr>
              <w:t xml:space="preserve">Schedule a capabilities briefing. We'll identify exactly where intelligent systems can accelerate your mission.</w:t>
            </w:r>
          </w:p>
          <w:p>
            <w:pPr>
              <w:jc w:val="center"/>
            </w:pPr>
            <w:r>
              <w:rPr>
                <w:rFonts w:ascii="Arial" w:cs="Arial" w:eastAsia="Arial" w:hAnsi="Arial"/>
                <w:color w:val="7799AA"/>
                <w:sz w:val="18"/>
                <w:szCs w:val="18"/>
              </w:rPr>
              <w:t xml:space="preserve">Canyon Lake, California  |  EQGenix Inc. (Parent)  |  Life in Darkness 501(c)(3) (Affiliate)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pPr>
    <w:r>
      <w:rPr>
        <w:rFonts w:ascii="Arial" w:cs="Arial" w:eastAsia="Arial" w:hAnsi="Arial"/>
        <w:color w:val="888888"/>
        <w:sz w:val="16"/>
        <w:szCs w:val="16"/>
      </w:rPr>
      <w:t xml:space="preserve">Canyon Lake, California  |  CAGE: 0WQF1  |  UEI: NKZ4SU2BUCJ9  |  WOSB/EDWOSB Confirmed  |  SAM.gov Registered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1D9E75" w:sz="6"/>
            <w:right w:val="none" w:color="FFFFFF" w:sz="0"/>
          </w:tcBorders>
          <w:tcMar>
            <w:top w:type="dxa" w:w="60"/>
            <w:left w:type="dxa" w:w="0"/>
            <w:bottom w:type="dxa" w:w="60"/>
            <w:right w:type="dxa" w:w="0"/>
          </w:tcMar>
        </w:tcPr>
        <w:p>
          <w:r>
            <w:rPr>
              <w:rFonts w:ascii="Georgia" w:cs="Georgia" w:eastAsia="Georgia" w:hAnsi="Georgia"/>
              <w:b/>
              <w:bCs/>
              <w:color w:val="0F2B4C"/>
              <w:sz w:val="22"/>
              <w:szCs w:val="22"/>
            </w:rPr>
            <w:t xml:space="preserve">YGH Technology Consultants</w:t>
          </w:r>
        </w:p>
      </w:tc>
      <w:tc>
        <w:tcPr>
          <w:tcW w:type="dxa" w:w="5040"/>
          <w:tcBorders>
            <w:top w:val="none" w:color="FFFFFF" w:sz="0"/>
            <w:left w:val="none" w:color="FFFFFF" w:sz="0"/>
            <w:bottom w:val="single" w:color="1D9E75" w:sz="6"/>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Capabilities Statement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2026-04-07T06:06:39.229Z</dcterms:created>
  <dcterms:modified xsi:type="dcterms:W3CDTF">2026-04-07T06:06:39.230Z</dcterms:modified>
</cp:coreProperties>
</file>

<file path=docProps/custom.xml><?xml version="1.0" encoding="utf-8"?>
<Properties xmlns="http://schemas.openxmlformats.org/officeDocument/2006/custom-properties" xmlns:vt="http://schemas.openxmlformats.org/officeDocument/2006/docPropsVTypes"/>
</file>