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Advertising</w:t>
      </w:r>
    </w:p>
    <w:p>
      <w:pPr>
        <w:spacing w:after="200"/>
      </w:pPr>
      <w:r>
        <w:rPr>
          <w:rFonts w:ascii="Arial" w:cs="Arial" w:eastAsia="Arial" w:hAnsi="Arial"/>
          <w:sz w:val="24"/>
          <w:szCs w:val="24"/>
        </w:rPr>
        <w:t xml:space="preserve">AI solutions to improve the utilisation of unsold ad inventory and deliver more relevant ads to the right audiences, thereby increasing overall revenue efficiency.</w:t>
      </w:r>
    </w:p>
    <w:p>
      <w:pPr>
        <w:pStyle w:val="Heading2"/>
      </w:pPr>
      <w:r>
        <w:t xml:space="preserve">Prerequisites</w:t>
      </w:r>
    </w:p>
    <w:p>
      <w:pPr>
        <w:pStyle w:val="ListParagraph"/>
        <w:numPr>
          <w:ilvl w:val="0"/>
          <w:numId w:val="2"/>
        </w:numPr>
      </w:pPr>
      <w:r>
        <w:rPr>
          <w:rFonts w:ascii="Arial" w:cs="Arial" w:eastAsia="Arial" w:hAnsi="Arial"/>
          <w:b/>
          <w:bCs/>
          <w:sz w:val="24"/>
          <w:szCs w:val="24"/>
        </w:rPr>
        <w:t xml:space="preserve">User Behaviour &amp; Browsing Data</w:t>
      </w:r>
    </w:p>
    <w:p>
      <w:pPr>
        <w:pStyle w:val="ListParagraph"/>
        <w:numPr>
          <w:ilvl w:val="1"/>
          <w:numId w:val="2"/>
        </w:numPr>
      </w:pPr>
      <w:r>
        <w:rPr>
          <w:rFonts w:ascii="Arial" w:cs="Arial" w:eastAsia="Arial" w:hAnsi="Arial"/>
          <w:sz w:val="24"/>
          <w:szCs w:val="24"/>
        </w:rPr>
        <w:t xml:space="preserve">Anonymous and authenticated browsing signals: reading topics, dwell time, visit frequency, source/referral paths</w:t>
      </w:r>
    </w:p>
    <w:p>
      <w:pPr>
        <w:pStyle w:val="ListParagraph"/>
        <w:numPr>
          <w:ilvl w:val="1"/>
          <w:numId w:val="2"/>
        </w:numPr>
      </w:pPr>
      <w:r>
        <w:rPr>
          <w:rFonts w:ascii="Arial" w:cs="Arial" w:eastAsia="Arial" w:hAnsi="Arial"/>
          <w:sz w:val="24"/>
          <w:szCs w:val="24"/>
        </w:rPr>
        <w:t xml:space="preserve">A 90-day rolling window is a common baseline; users with shorter histories will have significantly lower segmentation quality</w:t>
      </w:r>
    </w:p>
    <w:p>
      <w:pPr>
        <w:pStyle w:val="ListParagraph"/>
        <w:numPr>
          <w:ilvl w:val="0"/>
          <w:numId w:val="2"/>
        </w:numPr>
      </w:pPr>
      <w:r>
        <w:rPr>
          <w:rFonts w:ascii="Arial" w:cs="Arial" w:eastAsia="Arial" w:hAnsi="Arial"/>
          <w:b/>
          <w:bCs/>
          <w:sz w:val="24"/>
          <w:szCs w:val="24"/>
        </w:rPr>
        <w:t xml:space="preserve">User Identity &amp; Registration Data</w:t>
      </w:r>
    </w:p>
    <w:p>
      <w:pPr>
        <w:pStyle w:val="ListParagraph"/>
        <w:numPr>
          <w:ilvl w:val="1"/>
          <w:numId w:val="2"/>
        </w:numPr>
      </w:pPr>
      <w:r>
        <w:rPr>
          <w:rFonts w:ascii="Arial" w:cs="Arial" w:eastAsia="Arial" w:hAnsi="Arial"/>
          <w:sz w:val="24"/>
          <w:szCs w:val="24"/>
        </w:rPr>
        <w:t xml:space="preserve">Login status and first-party identity graph to enable cross-session behaviour linkage, especially critical as third-party cookies phase out</w:t>
      </w:r>
    </w:p>
    <w:p>
      <w:pPr>
        <w:pStyle w:val="ListParagraph"/>
        <w:numPr>
          <w:ilvl w:val="1"/>
          <w:numId w:val="2"/>
        </w:numPr>
      </w:pPr>
      <w:r>
        <w:rPr>
          <w:rFonts w:ascii="Arial" w:cs="Arial" w:eastAsia="Arial" w:hAnsi="Arial"/>
          <w:sz w:val="24"/>
          <w:szCs w:val="24"/>
        </w:rPr>
        <w:t xml:space="preserve">Self-reported demographic data (job title, industry, interests); note that completion rates are typically low and high-value users may provide vague information</w:t>
      </w:r>
    </w:p>
    <w:p>
      <w:pPr>
        <w:pStyle w:val="ListParagraph"/>
        <w:numPr>
          <w:ilvl w:val="0"/>
          <w:numId w:val="2"/>
        </w:numPr>
      </w:pPr>
      <w:r>
        <w:rPr>
          <w:rFonts w:ascii="Arial" w:cs="Arial" w:eastAsia="Arial" w:hAnsi="Arial"/>
          <w:b/>
          <w:bCs/>
          <w:sz w:val="24"/>
          <w:szCs w:val="24"/>
        </w:rPr>
        <w:t xml:space="preserve">Ad Inventory &amp; Campaign Performance Data</w:t>
      </w:r>
    </w:p>
    <w:p>
      <w:pPr>
        <w:pStyle w:val="ListParagraph"/>
        <w:numPr>
          <w:ilvl w:val="1"/>
          <w:numId w:val="2"/>
        </w:numPr>
      </w:pPr>
      <w:r>
        <w:rPr>
          <w:rFonts w:ascii="Arial" w:cs="Arial" w:eastAsia="Arial" w:hAnsi="Arial"/>
          <w:sz w:val="24"/>
          <w:szCs w:val="24"/>
        </w:rPr>
        <w:t xml:space="preserve">Historical fill rates, CPM/CPC by placement, campaign delivery logs, and unsold inventory records</w:t>
      </w:r>
    </w:p>
    <w:p>
      <w:pPr>
        <w:pStyle w:val="ListParagraph"/>
        <w:numPr>
          <w:ilvl w:val="1"/>
          <w:numId w:val="2"/>
        </w:numPr>
      </w:pPr>
      <w:r>
        <w:rPr>
          <w:rFonts w:ascii="Arial" w:cs="Arial" w:eastAsia="Arial" w:hAnsi="Arial"/>
          <w:sz w:val="24"/>
          <w:szCs w:val="24"/>
        </w:rPr>
        <w:t xml:space="preserve">Real-time inventory availability signals for latency-sensitive backfill operations</w:t>
      </w:r>
    </w:p>
    <w:p>
      <w:pPr>
        <w:pStyle w:val="ListParagraph"/>
        <w:numPr>
          <w:ilvl w:val="0"/>
          <w:numId w:val="2"/>
        </w:numPr>
      </w:pPr>
      <w:r>
        <w:rPr>
          <w:rFonts w:ascii="Arial" w:cs="Arial" w:eastAsia="Arial" w:hAnsi="Arial"/>
          <w:b/>
          <w:bCs/>
          <w:sz w:val="24"/>
          <w:szCs w:val="24"/>
        </w:rPr>
        <w:t xml:space="preserve">Ad Tech / DMP Infrastructure</w:t>
      </w:r>
    </w:p>
    <w:p>
      <w:pPr>
        <w:pStyle w:val="ListParagraph"/>
        <w:numPr>
          <w:ilvl w:val="1"/>
          <w:numId w:val="2"/>
        </w:numPr>
      </w:pPr>
      <w:r>
        <w:rPr>
          <w:rFonts w:ascii="Arial" w:cs="Arial" w:eastAsia="Arial" w:hAnsi="Arial"/>
          <w:sz w:val="24"/>
          <w:szCs w:val="24"/>
        </w:rPr>
        <w:t xml:space="preserve">Data Management Platform capable of receiving audience segments and applying them as targeting filters in ad serving</w:t>
      </w:r>
    </w:p>
    <w:p>
      <w:pPr>
        <w:pStyle w:val="ListParagraph"/>
        <w:numPr>
          <w:ilvl w:val="1"/>
          <w:numId w:val="2"/>
        </w:numPr>
      </w:pPr>
      <w:r>
        <w:rPr>
          <w:rFonts w:ascii="Arial" w:cs="Arial" w:eastAsia="Arial" w:hAnsi="Arial"/>
          <w:sz w:val="24"/>
          <w:szCs w:val="24"/>
        </w:rPr>
        <w:t xml:space="preserve">Integration path between the segmentation model output and the ad server or SSP for real-time decisioning</w:t>
      </w:r>
    </w:p>
    <w:p>
      <w:pPr>
        <w:pStyle w:val="ListParagraph"/>
        <w:numPr>
          <w:ilvl w:val="0"/>
          <w:numId w:val="2"/>
        </w:numPr>
      </w:pPr>
      <w:r>
        <w:rPr>
          <w:rFonts w:ascii="Arial" w:cs="Arial" w:eastAsia="Arial" w:hAnsi="Arial"/>
          <w:b/>
          <w:bCs/>
          <w:sz w:val="24"/>
          <w:szCs w:val="24"/>
        </w:rPr>
        <w:t xml:space="preserve">Creative Asset Pipeline</w:t>
      </w:r>
    </w:p>
    <w:p>
      <w:pPr>
        <w:pStyle w:val="ListParagraph"/>
        <w:numPr>
          <w:ilvl w:val="1"/>
          <w:numId w:val="2"/>
        </w:numPr>
      </w:pPr>
      <w:r>
        <w:rPr>
          <w:rFonts w:ascii="Arial" w:cs="Arial" w:eastAsia="Arial" w:hAnsi="Arial"/>
          <w:sz w:val="24"/>
          <w:szCs w:val="24"/>
        </w:rPr>
        <w:t xml:space="preserve">Multi-dimensional creative assets (image, copy, video) with version tracking for audience-specific combinations</w:t>
      </w:r>
    </w:p>
    <w:p>
      <w:pPr>
        <w:pStyle w:val="ListParagraph"/>
        <w:numPr>
          <w:ilvl w:val="1"/>
          <w:numId w:val="2"/>
        </w:numPr>
      </w:pPr>
      <w:r>
        <w:rPr>
          <w:rFonts w:ascii="Arial" w:cs="Arial" w:eastAsia="Arial" w:hAnsi="Arial"/>
          <w:sz w:val="24"/>
          <w:szCs w:val="24"/>
        </w:rPr>
        <w:t xml:space="preserve">Quality-control mechanism for AI-generated creatives to ensure visual and tonal consistency across variants</w:t>
      </w:r>
    </w:p>
    <w:p>
      <w:pPr>
        <w:pStyle w:val="Heading2"/>
      </w:pPr>
      <w:r>
        <w:t xml:space="preserve">Modelling Processes &amp; Model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200"/>
        <w:gridCol w:w="2260"/>
        <w:gridCol w:w="22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 Data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Modelling Process</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 Output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Reference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 Segmentation for Ad Targeting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Behavioural feature engineering (attention proxy), demographic enrichment, audience clustering, DMP segment creation with reach-precision trade-off management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Describable audience segments for ad targeting, pricing negotiation, and custom audience-insight reports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Times</w:t>
            </w:r>
          </w:p>
          <w:p>
            <w:r>
              <w:rPr>
                <w:rFonts w:ascii="Arial" w:cs="Arial" w:eastAsia="Arial" w:hAnsi="Arial"/>
                <w:sz w:val="20"/>
                <w:szCs w:val="20"/>
              </w:rPr>
              <w:t xml:space="preserve">Audience Behaviour Segmentation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AI-Driven Creative Optimisation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+ 3 + 5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Multi-dimensional creative combination generation, audience × creative matching, joint optimisation of placement / content version / timing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Optimised creative–audience combinations with performance predictions and explainability annotations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MLB</w:t>
            </w:r>
          </w:p>
          <w:p>
            <w:r>
              <w:rPr>
                <w:rFonts w:ascii="Arial" w:cs="Arial" w:eastAsia="Arial" w:hAnsi="Arial"/>
                <w:sz w:val="20"/>
                <w:szCs w:val="20"/>
              </w:rPr>
              <w:t xml:space="preserve">× Claritas AI Campaign Optimisation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Unsold Inventory Recovery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+ 3 + 4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inventory monitoring, unfilled-placement pattern detection, automated backfill ad assignment with latency-aware triggering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backfill recommendations that re-monetise unsold placements before the impression window closes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Gazeta.pl</w:t>
            </w:r>
          </w:p>
          <w:p>
            <w:r>
              <w:rPr>
                <w:rFonts w:ascii="Arial" w:cs="Arial" w:eastAsia="Arial" w:hAnsi="Arial"/>
                <w:sz w:val="20"/>
                <w:szCs w:val="20"/>
              </w:rPr>
              <w:t xml:space="preserve">AI Inventory Recovery</w:t>
            </w:r>
          </w:p>
        </w:tc>
      </w:tr>
    </w:tbl>
    <w:p>
      <w:pPr>
        <w:pStyle w:val="Heading2"/>
        <w:spacing w:before="360"/>
      </w:pPr>
      <w:r>
        <w:t xml:space="preserve">Technical Assessments</w:t>
      </w:r>
    </w:p>
    <w:p>
      <w:pPr>
        <w:spacing w:after="200"/>
      </w:pPr>
      <w:r>
        <w:rPr>
          <w:rFonts w:ascii="Arial" w:cs="Arial" w:eastAsia="Arial" w:hAnsi="Arial"/>
          <w:sz w:val="24"/>
          <w:szCs w:val="24"/>
        </w:rPr>
        <w:t xml:space="preserve">For media organisations whose primary revenue model relies on direct-sold placements or agency-mediated deals, control over the ad-serving process is limited. Under this structure, AI’s leverage points concentrate on two directions: strengthening placement pricing power and building direct-sales capability. Both share the same foundation—the depth of first-party audience understanding. The strength of audience-data capabilities determines how far either direction can go.</w:t>
      </w:r>
    </w:p>
    <w:p>
      <w:pPr>
        <w:spacing w:after="100" w:before="200"/>
      </w:pPr>
      <w:r>
        <w:rPr>
          <w:rFonts w:ascii="Arial" w:cs="Arial" w:eastAsia="Arial" w:hAnsi="Arial"/>
          <w:b/>
          <w:bCs/>
          <w:sz w:val="24"/>
          <w:szCs w:val="24"/>
        </w:rPr>
        <w:t xml:space="preserve">Structural trade-off between precision and reach:</w:t>
      </w:r>
    </w:p>
    <w:p>
      <w:pPr>
        <w:spacing w:after="200"/>
      </w:pPr>
      <w:r>
        <w:rPr>
          <w:rFonts w:ascii="Arial" w:cs="Arial" w:eastAsia="Arial" w:hAnsi="Arial"/>
          <w:sz w:val="24"/>
          <w:szCs w:val="24"/>
        </w:rPr>
        <w:t xml:space="preserve">The finer the audience segments, the more creative versions, and the stricter the targeting filters, the smaller the sample size per decision unit becomes. This trade-off recurs across all three case studies and represents a structural constraint of ad AI systems. There is no solution that simultaneously maximises targeting precision and delivery scale—only explicit trade-offs under defined business objectives.</w:t>
      </w:r>
    </w:p>
    <w:p>
      <w:pPr>
        <w:spacing w:after="100" w:before="200"/>
      </w:pPr>
      <w:r>
        <w:rPr>
          <w:rFonts w:ascii="Arial" w:cs="Arial" w:eastAsia="Arial" w:hAnsi="Arial"/>
          <w:b/>
          <w:bCs/>
          <w:sz w:val="24"/>
          <w:szCs w:val="24"/>
        </w:rPr>
        <w:t xml:space="preserve">Identity resolution and cold-start under cookie deprecation:</w:t>
      </w:r>
    </w:p>
    <w:p>
      <w:pPr>
        <w:spacing w:after="200"/>
      </w:pPr>
      <w:r>
        <w:rPr>
          <w:rFonts w:ascii="Arial" w:cs="Arial" w:eastAsia="Arial" w:hAnsi="Arial"/>
          <w:sz w:val="24"/>
          <w:szCs w:val="24"/>
        </w:rPr>
        <w:t xml:space="preserve">Unauthenticated users cannot have their behaviour linked across sessions, and this problem will worsen as third-party cookies continue to phase out. New users within a 90-day rolling window have insufficient behavioural data, resulting in significantly lower segmentation quality compared to established users. Both issues share the same root cause: the lack of a stable user-identification mechanism. Building a first-party identity graph through registration incentives is a prerequisite for sustainable audience-data capability.</w:t>
      </w:r>
    </w:p>
    <w:p>
      <w:pPr>
        <w:spacing w:after="100" w:before="200"/>
      </w:pPr>
      <w:r>
        <w:rPr>
          <w:rFonts w:ascii="Arial" w:cs="Arial" w:eastAsia="Arial" w:hAnsi="Arial"/>
          <w:b/>
          <w:bCs/>
          <w:sz w:val="24"/>
          <w:szCs w:val="24"/>
        </w:rPr>
        <w:t xml:space="preserve">Proxy-label causality in feature engineering:</w:t>
      </w:r>
    </w:p>
    <w:p>
      <w:pPr>
        <w:spacing w:after="200"/>
      </w:pPr>
      <w:r>
        <w:rPr>
          <w:rFonts w:ascii="Arial" w:cs="Arial" w:eastAsia="Arial" w:hAnsi="Arial"/>
          <w:sz w:val="24"/>
          <w:szCs w:val="24"/>
        </w:rPr>
        <w:t xml:space="preserve">Attention metrics are composite scores; if signals generated after ad exposure (e.g. ad interaction counts) are mixed into the design, the metric circularly defines what it attempts to predict. The model then learns historical delivery bias rather than genuine content-engagement behaviour, causing new users who have never been exposed to ads to be systematically undervalued. Additionally, self-reported demographic data suffers from low completion rates, and high-value users tend to provide vague information—meaning feature quality is paradoxically worst for the most valuable audience segments.</w:t>
      </w:r>
    </w:p>
    <w:p>
      <w:pPr>
        <w:spacing w:after="100" w:before="200"/>
      </w:pPr>
      <w:r>
        <w:rPr>
          <w:rFonts w:ascii="Arial" w:cs="Arial" w:eastAsia="Arial" w:hAnsi="Arial"/>
          <w:b/>
          <w:bCs/>
          <w:sz w:val="24"/>
          <w:szCs w:val="24"/>
        </w:rPr>
        <w:t xml:space="preserve">Combinatorial explosion and statistical sparsity in creative optimisation:</w:t>
      </w:r>
    </w:p>
    <w:p>
      <w:pPr>
        <w:spacing w:after="200"/>
      </w:pPr>
      <w:r>
        <w:rPr>
          <w:rFonts w:ascii="Arial" w:cs="Arial" w:eastAsia="Arial" w:hAnsi="Arial"/>
          <w:sz w:val="24"/>
          <w:szCs w:val="24"/>
        </w:rPr>
        <w:t xml:space="preserve">Multi-dimensional creative combinations (image × copy × video × audience segment) grow explosively and exceed the capacity for manual review. When AI-generated creatives are introduced, visual-style and tonal consistency across versions is difficult to verify automatically. With fine audience segments and many creative variants, exposure per audience–creative combination becomes sparse, and statistical signals are insufficient—systems may converge prematurely on suboptimal solutions. Using click-through rate or short-term conversion as objectives also drives the system toward sensationalist creatives that diverge from the advertiser’s true KPIs (retention, brand favourability).</w:t>
      </w:r>
    </w:p>
    <w:p>
      <w:pPr>
        <w:spacing w:after="100" w:before="200"/>
      </w:pPr>
      <w:r>
        <w:rPr>
          <w:rFonts w:ascii="Arial" w:cs="Arial" w:eastAsia="Arial" w:hAnsi="Arial"/>
          <w:b/>
          <w:bCs/>
          <w:sz w:val="24"/>
          <w:szCs w:val="24"/>
        </w:rPr>
        <w:t xml:space="preserve">Explainability and compliance friction in automated decisions:</w:t>
      </w:r>
    </w:p>
    <w:p>
      <w:pPr>
        <w:spacing w:after="200"/>
      </w:pPr>
      <w:r>
        <w:rPr>
          <w:rFonts w:ascii="Arial" w:cs="Arial" w:eastAsia="Arial" w:hAnsi="Arial"/>
          <w:sz w:val="24"/>
          <w:szCs w:val="24"/>
        </w:rPr>
        <w:t xml:space="preserve">When placement, content version, and delivery timing are optimised jointly, the three decision variables interact with one another; optimising them separately ignores interaction effects, while joint optimisation significantly increases computational cost. Black-box decision-making also lacks explainability, creating friction in client communication and regulatory compliance reviews.</w:t>
      </w:r>
    </w:p>
    <w:p>
      <w:pPr>
        <w:spacing w:after="100" w:before="200"/>
      </w:pPr>
      <w:r>
        <w:rPr>
          <w:rFonts w:ascii="Arial" w:cs="Arial" w:eastAsia="Arial" w:hAnsi="Arial"/>
          <w:b/>
          <w:bCs/>
          <w:sz w:val="24"/>
          <w:szCs w:val="24"/>
        </w:rPr>
        <w:t xml:space="preserve">Real-time latency sensitivity in inventory recovery:</w:t>
      </w:r>
    </w:p>
    <w:p>
      <w:pPr>
        <w:spacing w:after="200"/>
      </w:pPr>
      <w:r>
        <w:rPr>
          <w:rFonts w:ascii="Arial" w:cs="Arial" w:eastAsia="Arial" w:hAnsi="Arial"/>
          <w:sz w:val="24"/>
          <w:szCs w:val="24"/>
        </w:rPr>
        <w:t xml:space="preserve">Real-time data analysis and pattern recognition for unsold inventory are sensitive to pipeline latency; if detection of unfilled placements is delayed too long, the remediation mechanism activates after the impression window has already closed. Furthermore, this backfill process is typically decoupled from upstream audience segmentation and dynamic creative optimisation outputs, meaning backfill ads have lower personalisation than normal delivery—long-term accumulation may affect the comparability of overall ad-performance metrics.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2026-04-08T23:51:47.737Z</dcterms:created>
  <dcterms:modified xsi:type="dcterms:W3CDTF">2026-04-08T23:51:47.738Z</dcterms:modified>
</cp:coreProperties>
</file>

<file path=docProps/custom.xml><?xml version="1.0" encoding="utf-8"?>
<Properties xmlns="http://schemas.openxmlformats.org/officeDocument/2006/custom-properties" xmlns:vt="http://schemas.openxmlformats.org/officeDocument/2006/docPropsVTypes"/>
</file>