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Personalised Recommendations &amp; Interaction</w:t>
      </w:r>
    </w:p>
    <w:p>
      <w:pPr>
        <w:spacing w:after="200"/>
      </w:pPr>
      <w:r>
        <w:rPr>
          <w:rFonts w:ascii="Arial" w:cs="Arial" w:eastAsia="Arial" w:hAnsi="Arial"/>
          <w:sz w:val="24"/>
          <w:szCs w:val="24"/>
        </w:rPr>
        <w:t xml:space="preserve">Leveraging reader behaviour and AI to deliver individually relevant content recommendations and interactive experiences, including personalised push notifications and generative AI-powered question-answering over proprietary article archives.</w:t>
      </w:r>
    </w:p>
    <w:p>
      <w:pPr>
        <w:pStyle w:val="Heading2"/>
      </w:pPr>
      <w:r>
        <w:t xml:space="preserve">Prerequisites</w:t>
      </w:r>
    </w:p>
    <w:p>
      <w:pPr>
        <w:pStyle w:val="ListParagraph"/>
        <w:numPr>
          <w:ilvl w:val="0"/>
          <w:numId w:val="2"/>
        </w:numPr>
      </w:pPr>
      <w:r>
        <w:rPr>
          <w:rFonts w:ascii="Arial" w:cs="Arial" w:eastAsia="Arial" w:hAnsi="Arial"/>
          <w:b/>
          <w:bCs/>
          <w:sz w:val="24"/>
          <w:szCs w:val="24"/>
        </w:rPr>
        <w:t xml:space="preserve">Article Content &amp; Metadata</w:t>
      </w:r>
    </w:p>
    <w:p>
      <w:pPr>
        <w:pStyle w:val="ListParagraph"/>
        <w:numPr>
          <w:ilvl w:val="1"/>
          <w:numId w:val="2"/>
        </w:numPr>
      </w:pPr>
      <w:r>
        <w:rPr>
          <w:rFonts w:ascii="Arial" w:cs="Arial" w:eastAsia="Arial" w:hAnsi="Arial"/>
          <w:sz w:val="24"/>
          <w:szCs w:val="24"/>
        </w:rPr>
        <w:t xml:space="preserve">Full text of articles, headlines, tags, publication date, author, category</w:t>
      </w:r>
    </w:p>
    <w:p>
      <w:pPr>
        <w:pStyle w:val="ListParagraph"/>
        <w:numPr>
          <w:ilvl w:val="1"/>
          <w:numId w:val="2"/>
        </w:numPr>
      </w:pPr>
      <w:r>
        <w:rPr>
          <w:rFonts w:ascii="Arial" w:cs="Arial" w:eastAsia="Arial" w:hAnsi="Arial"/>
          <w:sz w:val="24"/>
          <w:szCs w:val="24"/>
        </w:rPr>
        <w:t xml:space="preserve">Content features (topic, format, length) required as initial signals for cold-start recommendation and RAG retrieval</w:t>
      </w:r>
    </w:p>
    <w:p>
      <w:pPr>
        <w:pStyle w:val="ListParagraph"/>
        <w:numPr>
          <w:ilvl w:val="0"/>
          <w:numId w:val="2"/>
        </w:numPr>
      </w:pPr>
      <w:r>
        <w:rPr>
          <w:rFonts w:ascii="Arial" w:cs="Arial" w:eastAsia="Arial" w:hAnsi="Arial"/>
          <w:b/>
          <w:bCs/>
          <w:sz w:val="24"/>
          <w:szCs w:val="24"/>
        </w:rPr>
        <w:t xml:space="preserve">Reader Behaviour &amp; Interaction Data</w:t>
      </w:r>
    </w:p>
    <w:p>
      <w:pPr>
        <w:pStyle w:val="ListParagraph"/>
        <w:numPr>
          <w:ilvl w:val="1"/>
          <w:numId w:val="2"/>
        </w:numPr>
      </w:pPr>
      <w:r>
        <w:rPr>
          <w:rFonts w:ascii="Arial" w:cs="Arial" w:eastAsia="Arial" w:hAnsi="Arial"/>
          <w:sz w:val="24"/>
          <w:szCs w:val="24"/>
        </w:rPr>
        <w:t xml:space="preserve">Reading history, notification click/dismiss records, bookmarked interests, dwell time</w:t>
      </w:r>
    </w:p>
    <w:p>
      <w:pPr>
        <w:pStyle w:val="ListParagraph"/>
        <w:numPr>
          <w:ilvl w:val="1"/>
          <w:numId w:val="2"/>
        </w:numPr>
      </w:pPr>
      <w:r>
        <w:rPr>
          <w:rFonts w:ascii="Arial" w:cs="Arial" w:eastAsia="Arial" w:hAnsi="Arial"/>
          <w:sz w:val="24"/>
          <w:szCs w:val="24"/>
        </w:rPr>
        <w:t xml:space="preserve">Sufficient interaction volume to move beyond cold-start; for media with limited membership, demographic-based grouping is a more practical starting point than interest-vector clustering</w:t>
      </w:r>
    </w:p>
    <w:p>
      <w:pPr>
        <w:pStyle w:val="ListParagraph"/>
        <w:numPr>
          <w:ilvl w:val="0"/>
          <w:numId w:val="2"/>
        </w:numPr>
      </w:pPr>
      <w:r>
        <w:rPr>
          <w:rFonts w:ascii="Arial" w:cs="Arial" w:eastAsia="Arial" w:hAnsi="Arial"/>
          <w:b/>
          <w:bCs/>
          <w:sz w:val="24"/>
          <w:szCs w:val="24"/>
        </w:rPr>
        <w:t xml:space="preserve">User Profile / Demographic Data</w:t>
      </w:r>
    </w:p>
    <w:p>
      <w:pPr>
        <w:pStyle w:val="ListParagraph"/>
        <w:numPr>
          <w:ilvl w:val="1"/>
          <w:numId w:val="2"/>
        </w:numPr>
      </w:pPr>
      <w:r>
        <w:rPr>
          <w:rFonts w:ascii="Arial" w:cs="Arial" w:eastAsia="Arial" w:hAnsi="Arial"/>
          <w:sz w:val="24"/>
          <w:szCs w:val="24"/>
        </w:rPr>
        <w:t xml:space="preserve">Basic demographic attributes (age, location, device type) to serve as a fallback segmentation basis during data-sparse phases</w:t>
      </w:r>
    </w:p>
    <w:p>
      <w:pPr>
        <w:pStyle w:val="ListParagraph"/>
        <w:numPr>
          <w:ilvl w:val="0"/>
          <w:numId w:val="2"/>
        </w:numPr>
      </w:pPr>
      <w:r>
        <w:rPr>
          <w:rFonts w:ascii="Arial" w:cs="Arial" w:eastAsia="Arial" w:hAnsi="Arial"/>
          <w:b/>
          <w:bCs/>
          <w:sz w:val="24"/>
          <w:szCs w:val="24"/>
        </w:rPr>
        <w:t xml:space="preserve">Push Notification Infrastructure</w:t>
      </w:r>
    </w:p>
    <w:p>
      <w:pPr>
        <w:pStyle w:val="ListParagraph"/>
        <w:numPr>
          <w:ilvl w:val="1"/>
          <w:numId w:val="2"/>
        </w:numPr>
      </w:pPr>
      <w:r>
        <w:rPr>
          <w:rFonts w:ascii="Arial" w:cs="Arial" w:eastAsia="Arial" w:hAnsi="Arial"/>
          <w:sz w:val="24"/>
          <w:szCs w:val="24"/>
        </w:rPr>
        <w:t xml:space="preserve">Delivery system with permission management, capable of dynamic frequency control per user</w:t>
      </w:r>
    </w:p>
    <w:p>
      <w:pPr>
        <w:pStyle w:val="ListParagraph"/>
        <w:numPr>
          <w:ilvl w:val="1"/>
          <w:numId w:val="2"/>
        </w:numPr>
      </w:pPr>
      <w:r>
        <w:rPr>
          <w:rFonts w:ascii="Arial" w:cs="Arial" w:eastAsia="Arial" w:hAnsi="Arial"/>
          <w:sz w:val="24"/>
          <w:szCs w:val="24"/>
        </w:rPr>
        <w:t xml:space="preserve">Once notification permission is revoked by a user, the channel is permanently lost; the infrastructure must treat permission retention as a first-class optimisation objective</w:t>
      </w:r>
    </w:p>
    <w:p>
      <w:pPr>
        <w:pStyle w:val="ListParagraph"/>
        <w:numPr>
          <w:ilvl w:val="0"/>
          <w:numId w:val="2"/>
        </w:numPr>
      </w:pPr>
      <w:r>
        <w:rPr>
          <w:rFonts w:ascii="Arial" w:cs="Arial" w:eastAsia="Arial" w:hAnsi="Arial"/>
          <w:b/>
          <w:bCs/>
          <w:sz w:val="24"/>
          <w:szCs w:val="24"/>
        </w:rPr>
        <w:t xml:space="preserve">Vector Search &amp; Retrieval Infrastructure</w:t>
      </w:r>
    </w:p>
    <w:p>
      <w:pPr>
        <w:pStyle w:val="ListParagraph"/>
        <w:numPr>
          <w:ilvl w:val="1"/>
          <w:numId w:val="2"/>
        </w:numPr>
      </w:pPr>
      <w:r>
        <w:rPr>
          <w:rFonts w:ascii="Arial" w:cs="Arial" w:eastAsia="Arial" w:hAnsi="Arial"/>
          <w:sz w:val="24"/>
          <w:szCs w:val="24"/>
        </w:rPr>
        <w:t xml:space="preserve">A hybrid search stack (vector + keyword) with a reranking layer for the RAG-based chatbot use case</w:t>
      </w:r>
    </w:p>
    <w:p>
      <w:pPr>
        <w:pStyle w:val="ListParagraph"/>
        <w:numPr>
          <w:ilvl w:val="1"/>
          <w:numId w:val="2"/>
        </w:numPr>
      </w:pPr>
      <w:r>
        <w:rPr>
          <w:rFonts w:ascii="Arial" w:cs="Arial" w:eastAsia="Arial" w:hAnsi="Arial"/>
          <w:sz w:val="24"/>
          <w:szCs w:val="24"/>
        </w:rPr>
        <w:t xml:space="preserve">A chunking strategy for news articles that preserves contextual coherence without introducing excessive noise</w:t>
      </w:r>
    </w:p>
    <w:p>
      <w:pPr>
        <w:pStyle w:val="Heading2"/>
      </w:pPr>
      <w:r>
        <w:t xml:space="preserve">Modelling Processes &amp; Model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200"/>
        <w:gridCol w:w="2260"/>
        <w:gridCol w:w="22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Case</w:t>
            </w:r>
          </w:p>
        </w:tc>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 Data</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Modelling Process</w:t>
            </w:r>
          </w:p>
        </w:tc>
        <w:tc>
          <w:tcPr>
            <w:tcW w:type="dxa" w:w="2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Model Output</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Reference Case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Personalised Push Notification Recommendations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 + 3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Demographic-based cold-start segmentation, interest-vector clustering as data matures, dynamic push frequency control based on user response history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Personalised article recommendations with individually optimised push timing and frequency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Hindu</w:t>
            </w:r>
          </w:p>
          <w:p>
            <w:r>
              <w:rPr>
                <w:rFonts w:ascii="Arial" w:cs="Arial" w:eastAsia="Arial" w:hAnsi="Arial"/>
                <w:sz w:val="20"/>
                <w:szCs w:val="20"/>
              </w:rPr>
              <w:t xml:space="preserve">Push Notification Personalisation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Generative AI Chatbot (RAG-Based Q&amp;A)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query parsing, hybrid search (vector + keyword), reranking, LLM generation with explicit attribution mechanism, contradiction handling strategy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Summary-based answers with verifiable source citations and confidence indicators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Financial Times</w:t>
            </w:r>
          </w:p>
          <w:p>
            <w:r>
              <w:rPr>
                <w:rFonts w:ascii="Arial" w:cs="Arial" w:eastAsia="Arial" w:hAnsi="Arial"/>
                <w:sz w:val="20"/>
                <w:szCs w:val="20"/>
              </w:rPr>
              <w:t xml:space="preserve">Generative AI Chatbot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Exploration–Exploitation Balanced Recommendations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+ 2 + 3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Content-feature extraction, bandit-style online learning, dynamic balance mechanism between relevance and diversity to mitigate filter bubbles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Diversified content recommendations with tuneable exploration ratio and engagement feedback loop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before="360"/>
      </w:pPr>
      <w:r>
        <w:t xml:space="preserve">Technical Assessments</w:t>
      </w:r>
    </w:p>
    <w:p>
      <w:pPr>
        <w:spacing w:after="100" w:before="200"/>
      </w:pPr>
      <w:r>
        <w:rPr>
          <w:rFonts w:ascii="Arial" w:cs="Arial" w:eastAsia="Arial" w:hAnsi="Arial"/>
          <w:b/>
          <w:bCs/>
          <w:sz w:val="24"/>
          <w:szCs w:val="24"/>
        </w:rPr>
        <w:t xml:space="preserve">Exploration versus exploitation balance in recommendations:</w:t>
      </w:r>
    </w:p>
    <w:p>
      <w:pPr>
        <w:spacing w:after="200"/>
      </w:pPr>
      <w:r>
        <w:rPr>
          <w:rFonts w:ascii="Arial" w:cs="Arial" w:eastAsia="Arial" w:hAnsi="Arial"/>
          <w:sz w:val="24"/>
          <w:szCs w:val="24"/>
        </w:rPr>
        <w:t xml:space="preserve">If personalised recommendations over-rely on historical behaviour, they reinforce existing preferences and narrow the content surface (filter bubble), ultimately reducing long-term engagement. Designing a dynamic balance mechanism between “giving users what they want” and “broadening their horizons” is the most fundamental product and technical trade-off in this scenario.</w:t>
      </w:r>
    </w:p>
    <w:p>
      <w:pPr>
        <w:spacing w:after="100" w:before="200"/>
      </w:pPr>
      <w:r>
        <w:rPr>
          <w:rFonts w:ascii="Arial" w:cs="Arial" w:eastAsia="Arial" w:hAnsi="Arial"/>
          <w:b/>
          <w:bCs/>
          <w:sz w:val="24"/>
          <w:szCs w:val="24"/>
        </w:rPr>
        <w:t xml:space="preserve">Cold-start severity in media versus e-commerce:</w:t>
      </w:r>
    </w:p>
    <w:p>
      <w:pPr>
        <w:spacing w:after="200"/>
      </w:pPr>
      <w:r>
        <w:rPr>
          <w:rFonts w:ascii="Arial" w:cs="Arial" w:eastAsia="Arial" w:hAnsi="Arial"/>
          <w:sz w:val="24"/>
          <w:szCs w:val="24"/>
        </w:rPr>
        <w:t xml:space="preserve">Media content has an extremely short lifecycle—articles need effective recommendations within hours of publication, yet almost no interaction data is available at that point. This cannot be solved by collaborative filtering alone; content features (topic, author, format) must serve as initial signals, complemented by bandit-style online learning for rapid adaptation. For media organisations with limited membership and interaction volume, demographic-based segmentation is a more stable starting point than interest-vector clustering, which tends to produce unstable results under data sparsity.</w:t>
      </w:r>
    </w:p>
    <w:p>
      <w:pPr>
        <w:spacing w:after="100" w:before="200"/>
      </w:pPr>
      <w:r>
        <w:rPr>
          <w:rFonts w:ascii="Arial" w:cs="Arial" w:eastAsia="Arial" w:hAnsi="Arial"/>
          <w:b/>
          <w:bCs/>
          <w:sz w:val="24"/>
          <w:szCs w:val="24"/>
        </w:rPr>
        <w:t xml:space="preserve">RAG reliability ceiling determined by retrieval quality:</w:t>
      </w:r>
    </w:p>
    <w:p>
      <w:pPr>
        <w:spacing w:after="200"/>
      </w:pPr>
      <w:r>
        <w:rPr>
          <w:rFonts w:ascii="Arial" w:cs="Arial" w:eastAsia="Arial" w:hAnsi="Arial"/>
          <w:sz w:val="24"/>
          <w:szCs w:val="24"/>
        </w:rPr>
        <w:t xml:space="preserve">In generative Q&amp;A workflows, hallucination is often over-emphasised; in practice, the more common failure mode is “retrieving the wrong passage, upon which the LLM faithfully produces an incorrect answer.” The priority for improving system reliability should be: ensure retrieval precision first, then optimise generation. Hybrid search (vector plus keyword) and a reranking layer are typically more effective than prompt tuning. Specific retrieval challenges include: poor exact matching of proper nouns and numerical values in vector space; chunking strategies that either lose context (too fine) or introduce noise (too coarse); and the need for keyword-based fallback to hit terms like “TSMC” or “Fed.”</w:t>
      </w:r>
    </w:p>
    <w:p>
      <w:pPr>
        <w:spacing w:after="100" w:before="200"/>
      </w:pPr>
      <w:r>
        <w:rPr>
          <w:rFonts w:ascii="Arial" w:cs="Arial" w:eastAsia="Arial" w:hAnsi="Arial"/>
          <w:b/>
          <w:bCs/>
          <w:sz w:val="24"/>
          <w:szCs w:val="24"/>
        </w:rPr>
        <w:t xml:space="preserve">Citation alignment as a trust bottleneck:</w:t>
      </w:r>
    </w:p>
    <w:p>
      <w:pPr>
        <w:spacing w:after="200"/>
      </w:pPr>
      <w:r>
        <w:rPr>
          <w:rFonts w:ascii="Arial" w:cs="Arial" w:eastAsia="Arial" w:hAnsi="Arial"/>
          <w:sz w:val="24"/>
          <w:szCs w:val="24"/>
        </w:rPr>
        <w:t xml:space="preserve">Ensuring the model “says A, cites A” does not happen automatically; an explicit attribution mechanism must be designed into the generation stage, and citation-answer correspondence must be independently verified during evaluation. Without this layer, sporadic citation errors will rapidly erode user trust. When conflicting information appears across sources, the system also needs a defined strategy—whether to favour recency, present multiple viewpoints, or flag the conflict explicitly.</w:t>
      </w:r>
    </w:p>
    <w:p>
      <w:pPr>
        <w:spacing w:after="100" w:before="200"/>
      </w:pPr>
      <w:r>
        <w:rPr>
          <w:rFonts w:ascii="Arial" w:cs="Arial" w:eastAsia="Arial" w:hAnsi="Arial"/>
          <w:b/>
          <w:bCs/>
          <w:sz w:val="24"/>
          <w:szCs w:val="24"/>
        </w:rPr>
        <w:t xml:space="preserve">Query understanding and temporal precision:</w:t>
      </w:r>
    </w:p>
    <w:p>
      <w:pPr>
        <w:spacing w:after="200"/>
      </w:pPr>
      <w:r>
        <w:rPr>
          <w:rFonts w:ascii="Arial" w:cs="Arial" w:eastAsia="Arial" w:hAnsi="Arial"/>
          <w:sz w:val="24"/>
          <w:szCs w:val="24"/>
        </w:rPr>
        <w:t xml:space="preserve">Converting natural-language time references into precise retrieval filters is deceptively difficult. Relative-to-absolute time conversion (“last three months”), semantically implied time (“the last inflation peak”), and time-decay weighting for financial news all require dedicated handling. Without robust temporal parsing, the retrieval layer returns irrelevant or outdated passages, undermining the entire RAG pipeline.</w:t>
      </w:r>
    </w:p>
    <w:p>
      <w:pPr>
        <w:spacing w:after="100" w:before="200"/>
      </w:pPr>
      <w:r>
        <w:rPr>
          <w:rFonts w:ascii="Arial" w:cs="Arial" w:eastAsia="Arial" w:hAnsi="Arial"/>
          <w:b/>
          <w:bCs/>
          <w:sz w:val="24"/>
          <w:szCs w:val="24"/>
        </w:rPr>
        <w:t xml:space="preserve">Push notification as a scarce, non-recoverable resource:</w:t>
      </w:r>
    </w:p>
    <w:p>
      <w:pPr>
        <w:spacing w:after="200"/>
      </w:pPr>
      <w:r>
        <w:rPr>
          <w:rFonts w:ascii="Arial" w:cs="Arial" w:eastAsia="Arial" w:hAnsi="Arial"/>
          <w:sz w:val="24"/>
          <w:szCs w:val="24"/>
        </w:rPr>
        <w:t xml:space="preserve">Once a user revokes notification permission, the channel is permanently lost. Push strategy must treat “do not disturb” as an optimisation objective on equal footing with click-through rate, and design dynamic frequency control based on each user’s historical response patterns rather than relying on fixed rules. Notification frequency itself needs to be personalised, which loops back to the data-sparsity constraint.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2026-04-08T23:28:36.779Z</dcterms:created>
  <dcterms:modified xsi:type="dcterms:W3CDTF">2026-04-08T23:28:36.779Z</dcterms:modified>
</cp:coreProperties>
</file>

<file path=docProps/custom.xml><?xml version="1.0" encoding="utf-8"?>
<Properties xmlns="http://schemas.openxmlformats.org/officeDocument/2006/custom-properties" xmlns:vt="http://schemas.openxmlformats.org/officeDocument/2006/docPropsVTypes"/>
</file>