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Subscription Growth</w:t>
      </w:r>
    </w:p>
    <w:p>
      <w:pPr>
        <w:spacing w:after="200"/>
      </w:pPr>
      <w:r>
        <w:rPr>
          <w:rFonts w:ascii="Arial" w:cs="Arial" w:eastAsia="Arial" w:hAnsi="Arial"/>
          <w:sz w:val="24"/>
          <w:szCs w:val="24"/>
        </w:rPr>
        <w:t xml:space="preserve">Machine learning can help optimise the timing, content, and presentation of paywalls while identifying optimal pricing strategies to improve conversion rates.</w:t>
      </w:r>
    </w:p>
    <w:p>
      <w:pPr>
        <w:pStyle w:val="Heading2"/>
      </w:pPr>
      <w:r>
        <w:t xml:space="preserve">Prerequisites</w:t>
      </w:r>
    </w:p>
    <w:p>
      <w:pPr>
        <w:pStyle w:val="ListParagraph"/>
        <w:numPr>
          <w:ilvl w:val="0"/>
          <w:numId w:val="2"/>
        </w:numPr>
      </w:pPr>
      <w:r>
        <w:rPr>
          <w:rFonts w:ascii="Arial" w:cs="Arial" w:eastAsia="Arial" w:hAnsi="Arial"/>
          <w:b/>
          <w:bCs/>
          <w:sz w:val="24"/>
          <w:szCs w:val="24"/>
        </w:rPr>
        <w:t xml:space="preserve">User Behaviour &amp; Session Data</w:t>
      </w:r>
    </w:p>
    <w:p>
      <w:pPr>
        <w:pStyle w:val="ListParagraph"/>
        <w:numPr>
          <w:ilvl w:val="1"/>
          <w:numId w:val="2"/>
        </w:numPr>
      </w:pPr>
      <w:r>
        <w:rPr>
          <w:rFonts w:ascii="Arial" w:cs="Arial" w:eastAsia="Arial" w:hAnsi="Arial"/>
          <w:sz w:val="24"/>
          <w:szCs w:val="24"/>
        </w:rPr>
        <w:t xml:space="preserve">Page-view sequences, article read counts, dwell time, visit frequency, referral sources, and device type</w:t>
      </w:r>
    </w:p>
    <w:p>
      <w:pPr>
        <w:pStyle w:val="ListParagraph"/>
        <w:numPr>
          <w:ilvl w:val="1"/>
          <w:numId w:val="2"/>
        </w:numPr>
      </w:pPr>
      <w:r>
        <w:rPr>
          <w:rFonts w:ascii="Arial" w:cs="Arial" w:eastAsia="Arial" w:hAnsi="Arial"/>
          <w:sz w:val="24"/>
          <w:szCs w:val="24"/>
        </w:rPr>
        <w:t xml:space="preserve">Behavioural sequences of sufficient length for reliable intent inference; new or low-frequency visitors will have significantly lower prediction accuracy</w:t>
      </w:r>
    </w:p>
    <w:p>
      <w:pPr>
        <w:pStyle w:val="ListParagraph"/>
        <w:numPr>
          <w:ilvl w:val="0"/>
          <w:numId w:val="2"/>
        </w:numPr>
      </w:pPr>
      <w:r>
        <w:rPr>
          <w:rFonts w:ascii="Arial" w:cs="Arial" w:eastAsia="Arial" w:hAnsi="Arial"/>
          <w:b/>
          <w:bCs/>
          <w:sz w:val="24"/>
          <w:szCs w:val="24"/>
        </w:rPr>
        <w:t xml:space="preserve">Subscription &amp; Churn Records</w:t>
      </w:r>
    </w:p>
    <w:p>
      <w:pPr>
        <w:pStyle w:val="ListParagraph"/>
        <w:numPr>
          <w:ilvl w:val="1"/>
          <w:numId w:val="2"/>
        </w:numPr>
      </w:pPr>
      <w:r>
        <w:rPr>
          <w:rFonts w:ascii="Arial" w:cs="Arial" w:eastAsia="Arial" w:hAnsi="Arial"/>
          <w:sz w:val="24"/>
          <w:szCs w:val="24"/>
        </w:rPr>
        <w:t xml:space="preserve">Historical subscription events (sign-up date, plan type, renewal/cancellation timestamps) to serve as positive labels for propensity modelling</w:t>
      </w:r>
    </w:p>
    <w:p>
      <w:pPr>
        <w:pStyle w:val="ListParagraph"/>
        <w:numPr>
          <w:ilvl w:val="1"/>
          <w:numId w:val="2"/>
        </w:numPr>
      </w:pPr>
      <w:r>
        <w:rPr>
          <w:rFonts w:ascii="Arial" w:cs="Arial" w:eastAsia="Arial" w:hAnsi="Arial"/>
          <w:sz w:val="24"/>
          <w:szCs w:val="24"/>
        </w:rPr>
        <w:t xml:space="preserve">Expect severe class imbalance: subscribers represent an extremely small fraction of total users, requiring careful label design and sampling strategies</w:t>
      </w:r>
    </w:p>
    <w:p>
      <w:pPr>
        <w:pStyle w:val="ListParagraph"/>
        <w:numPr>
          <w:ilvl w:val="0"/>
          <w:numId w:val="2"/>
        </w:numPr>
      </w:pPr>
      <w:r>
        <w:rPr>
          <w:rFonts w:ascii="Arial" w:cs="Arial" w:eastAsia="Arial" w:hAnsi="Arial"/>
          <w:b/>
          <w:bCs/>
          <w:sz w:val="24"/>
          <w:szCs w:val="24"/>
        </w:rPr>
        <w:t xml:space="preserve">A/B Testing Infrastructure</w:t>
      </w:r>
    </w:p>
    <w:p>
      <w:pPr>
        <w:pStyle w:val="ListParagraph"/>
        <w:numPr>
          <w:ilvl w:val="1"/>
          <w:numId w:val="2"/>
        </w:numPr>
      </w:pPr>
      <w:r>
        <w:rPr>
          <w:rFonts w:ascii="Arial" w:cs="Arial" w:eastAsia="Arial" w:hAnsi="Arial"/>
          <w:sz w:val="24"/>
          <w:szCs w:val="24"/>
        </w:rPr>
        <w:t xml:space="preserve">Randomised experiment framework capable of assigning users to control/treatment groups for paywall timing and pricing variants</w:t>
      </w:r>
    </w:p>
    <w:p>
      <w:pPr>
        <w:pStyle w:val="ListParagraph"/>
        <w:numPr>
          <w:ilvl w:val="1"/>
          <w:numId w:val="2"/>
        </w:numPr>
      </w:pPr>
      <w:r>
        <w:rPr>
          <w:rFonts w:ascii="Arial" w:cs="Arial" w:eastAsia="Arial" w:hAnsi="Arial"/>
          <w:sz w:val="24"/>
          <w:szCs w:val="24"/>
        </w:rPr>
        <w:t xml:space="preserve">Essential for causal validation; without randomised experiments, the system cannot distinguish whether paywall timing drives conversion or merely correlates with pre-existing purchase intent</w:t>
      </w:r>
    </w:p>
    <w:p>
      <w:pPr>
        <w:pStyle w:val="ListParagraph"/>
        <w:numPr>
          <w:ilvl w:val="0"/>
          <w:numId w:val="2"/>
        </w:numPr>
      </w:pPr>
      <w:r>
        <w:rPr>
          <w:rFonts w:ascii="Arial" w:cs="Arial" w:eastAsia="Arial" w:hAnsi="Arial"/>
          <w:b/>
          <w:bCs/>
          <w:sz w:val="24"/>
          <w:szCs w:val="24"/>
        </w:rPr>
        <w:t xml:space="preserve">Paywall &amp; CMS Integration</w:t>
      </w:r>
    </w:p>
    <w:p>
      <w:pPr>
        <w:pStyle w:val="ListParagraph"/>
        <w:numPr>
          <w:ilvl w:val="1"/>
          <w:numId w:val="2"/>
        </w:numPr>
      </w:pPr>
      <w:r>
        <w:rPr>
          <w:rFonts w:ascii="Arial" w:cs="Arial" w:eastAsia="Arial" w:hAnsi="Arial"/>
          <w:sz w:val="24"/>
          <w:szCs w:val="24"/>
        </w:rPr>
        <w:t xml:space="preserve">Ability to dynamically control paywall display rules (trigger point, frequency, messaging) from model output in real time</w:t>
      </w:r>
    </w:p>
    <w:p>
      <w:pPr>
        <w:pStyle w:val="ListParagraph"/>
        <w:numPr>
          <w:ilvl w:val="1"/>
          <w:numId w:val="2"/>
        </w:numPr>
      </w:pPr>
      <w:r>
        <w:rPr>
          <w:rFonts w:ascii="Arial" w:cs="Arial" w:eastAsia="Arial" w:hAnsi="Arial"/>
          <w:sz w:val="24"/>
          <w:szCs w:val="24"/>
        </w:rPr>
        <w:t xml:space="preserve">Integration with the subscription management system to feed conversion and retention outcomes back into the model loop</w:t>
      </w:r>
    </w:p>
    <w:p>
      <w:pPr>
        <w:pStyle w:val="ListParagraph"/>
        <w:numPr>
          <w:ilvl w:val="0"/>
          <w:numId w:val="2"/>
        </w:numPr>
      </w:pPr>
      <w:r>
        <w:rPr>
          <w:rFonts w:ascii="Arial" w:cs="Arial" w:eastAsia="Arial" w:hAnsi="Arial"/>
          <w:b/>
          <w:bCs/>
          <w:sz w:val="24"/>
          <w:szCs w:val="24"/>
        </w:rPr>
        <w:t xml:space="preserve">Legal &amp; Compliance Review for Dynamic Pricing</w:t>
      </w:r>
    </w:p>
    <w:p>
      <w:pPr>
        <w:pStyle w:val="ListParagraph"/>
        <w:numPr>
          <w:ilvl w:val="1"/>
          <w:numId w:val="2"/>
        </w:numPr>
      </w:pPr>
      <w:r>
        <w:rPr>
          <w:rFonts w:ascii="Arial" w:cs="Arial" w:eastAsia="Arial" w:hAnsi="Arial"/>
          <w:sz w:val="24"/>
          <w:szCs w:val="24"/>
        </w:rPr>
        <w:t xml:space="preserve">Pre-assessment of regulatory requirements in target markets regarding personalised pricing (price discrimination laws vary by jurisdiction)</w:t>
      </w:r>
    </w:p>
    <w:p>
      <w:pPr>
        <w:pStyle w:val="ListParagraph"/>
        <w:numPr>
          <w:ilvl w:val="1"/>
          <w:numId w:val="2"/>
        </w:numPr>
      </w:pPr>
      <w:r>
        <w:rPr>
          <w:rFonts w:ascii="Arial" w:cs="Arial" w:eastAsia="Arial" w:hAnsi="Arial"/>
          <w:sz w:val="24"/>
          <w:szCs w:val="24"/>
        </w:rPr>
        <w:t xml:space="preserve">Awareness that users can trivially compare prices with one another, creating trust risk even where dynamic pricing is legally permissible</w:t>
      </w:r>
    </w:p>
    <w:p>
      <w:pPr>
        <w:pStyle w:val="Heading2"/>
      </w:pPr>
      <w:r>
        <w:t xml:space="preserve">Modelling Processes &amp; Model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2200"/>
        <w:gridCol w:w="2260"/>
        <w:gridCol w:w="220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Use Case</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Required Data</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Modelling Process</w:t>
            </w:r>
          </w:p>
        </w:tc>
        <w:tc>
          <w:tcPr>
            <w:tcW w:type="dxa" w:w="2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Model Output</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Reference Case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Smart Paywall Timing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+ 2 + 3 + 4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Propensity scoring with class-imbalance handling, real-time session intent inference, A/B-validated trigger-point selection, conversion–churn trade-off modelling</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Per-user paywall trigger rules (timing, frequency, messaging variant) with causal conversion-lift estimates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Globe and Mail</w:t>
            </w:r>
          </w:p>
          <w:p>
            <w:r>
              <w:rPr>
                <w:rFonts w:ascii="Arial" w:cs="Arial" w:eastAsia="Arial" w:hAnsi="Arial"/>
                <w:sz w:val="20"/>
                <w:szCs w:val="20"/>
              </w:rPr>
              <w:t xml:space="preserve">AI Paywall Optimisation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Dynamic Subscription Pricing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+ 2 + 3 + 5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Price-elasticity estimation, willingness-to-pay modelling, fairness-constrained optimisation, randomised price experiments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Personalised pricing recommendations with compliance guardrails and trust-risk flags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Bild</w:t>
            </w:r>
          </w:p>
          <w:p>
            <w:r>
              <w:rPr>
                <w:rFonts w:ascii="Arial" w:cs="Arial" w:eastAsia="Arial" w:hAnsi="Arial"/>
                <w:sz w:val="20"/>
                <w:szCs w:val="20"/>
              </w:rPr>
              <w:t xml:space="preserve">ML Dynamic Pricing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Churn Prevention &amp; Retention Intervention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+ 2 + 3 + 4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Survival analysis for time-to-churn modelling, sequence models for pre-churn signal detection, uplift modelling for intervention effectiveness, A/B-validated discount offers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Churn-risk scores with recommended intervention actions (e.g. renewal discounts) and causally validated lift estimates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bl>
    <w:p>
      <w:pPr>
        <w:pStyle w:val="Heading2"/>
        <w:spacing w:before="360"/>
      </w:pPr>
      <w:r>
        <w:t xml:space="preserve">Technical Assessments</w:t>
      </w:r>
    </w:p>
    <w:p>
      <w:pPr>
        <w:spacing w:after="100" w:before="200"/>
      </w:pPr>
      <w:r>
        <w:rPr>
          <w:rFonts w:ascii="Arial" w:cs="Arial" w:eastAsia="Arial" w:hAnsi="Arial"/>
          <w:b/>
          <w:bCs/>
          <w:sz w:val="24"/>
          <w:szCs w:val="24"/>
        </w:rPr>
        <w:t xml:space="preserve">Short-term conversion versus long-term retention trade-off:</w:t>
      </w:r>
    </w:p>
    <w:p>
      <w:pPr>
        <w:spacing w:after="200"/>
      </w:pPr>
      <w:r>
        <w:rPr>
          <w:rFonts w:ascii="Arial" w:cs="Arial" w:eastAsia="Arial" w:hAnsi="Arial"/>
          <w:sz w:val="24"/>
          <w:szCs w:val="24"/>
        </w:rPr>
        <w:t xml:space="preserve">Both paywall timing and pricing optimisation easily fall into the trap of targeting short-term conversion rates. A high conversion rate does not guarantee a high retention rate; overly aggressive intervention strategies may boost subscription numbers in the short term while accumulating long-term user attrition. This trade-off cannot be resolved automatically by models—it requires explicit definition at the business-objective level, incorporating retention and lifetime value alongside conversion as joint optimisation targets.</w:t>
      </w:r>
    </w:p>
    <w:p>
      <w:pPr>
        <w:spacing w:after="100" w:before="200"/>
      </w:pPr>
      <w:r>
        <w:rPr>
          <w:rFonts w:ascii="Arial" w:cs="Arial" w:eastAsia="Arial" w:hAnsi="Arial"/>
          <w:b/>
          <w:bCs/>
          <w:sz w:val="24"/>
          <w:szCs w:val="24"/>
        </w:rPr>
        <w:t xml:space="preserve">Personalisation versus fairness—a structural tension:</w:t>
      </w:r>
    </w:p>
    <w:p>
      <w:pPr>
        <w:spacing w:after="200"/>
      </w:pPr>
      <w:r>
        <w:rPr>
          <w:rFonts w:ascii="Arial" w:cs="Arial" w:eastAsia="Arial" w:hAnsi="Arial"/>
          <w:sz w:val="24"/>
          <w:szCs w:val="24"/>
        </w:rPr>
        <w:t xml:space="preserve">Whether through dynamic paywalls or dynamic pricing, the higher the degree of personalisation, the more visible the differential treatment of different users becomes. This creates sustained friction across two dimensions: legal compliance (price-discrimination regulations vary by jurisdiction) and user trust (the cost for users to compare prices with one another is extremely low). Critically, this tension intensifies rather than naturally resolves as system precision improves.</w:t>
      </w:r>
    </w:p>
    <w:p>
      <w:pPr>
        <w:spacing w:after="100" w:before="200"/>
      </w:pPr>
      <w:r>
        <w:rPr>
          <w:rFonts w:ascii="Arial" w:cs="Arial" w:eastAsia="Arial" w:hAnsi="Arial"/>
          <w:b/>
          <w:bCs/>
          <w:sz w:val="24"/>
          <w:szCs w:val="24"/>
        </w:rPr>
        <w:t xml:space="preserve">Causal identification—correlation versus intervention effect:</w:t>
      </w:r>
    </w:p>
    <w:p>
      <w:pPr>
        <w:spacing w:after="200"/>
      </w:pPr>
      <w:r>
        <w:rPr>
          <w:rFonts w:ascii="Arial" w:cs="Arial" w:eastAsia="Arial" w:hAnsi="Arial"/>
          <w:sz w:val="24"/>
          <w:szCs w:val="24"/>
        </w:rPr>
        <w:t xml:space="preserve">A system may observe that showing a paywall after the third article yields the highest conversion rate, and set this as the trigger rule. However, this correlation rests on an unverified assumption: that the paywall caused the subscription, rather than that users willing to read three articles already had higher purchase intent. Without causal identification, the model learns historical delivery bias and continuously reinforces a potentially ineffective intervention point. Resolving this requires work on two fronts simultaneously.</w:t>
      </w:r>
    </w:p>
    <w:p>
      <w:pPr>
        <w:spacing w:after="100" w:before="200"/>
      </w:pPr>
      <w:r>
        <w:rPr>
          <w:rFonts w:ascii="Arial" w:cs="Arial" w:eastAsia="Arial" w:hAnsi="Arial"/>
          <w:b/>
          <w:bCs/>
          <w:sz w:val="24"/>
          <w:szCs w:val="24"/>
        </w:rPr>
        <w:t xml:space="preserve">Validating whether the intervention is effective:</w:t>
      </w:r>
    </w:p>
    <w:p>
      <w:pPr>
        <w:spacing w:after="200"/>
      </w:pPr>
      <w:r>
        <w:rPr>
          <w:rFonts w:ascii="Arial" w:cs="Arial" w:eastAsia="Arial" w:hAnsi="Arial"/>
          <w:sz w:val="24"/>
          <w:szCs w:val="24"/>
        </w:rPr>
        <w:t xml:space="preserve">A/B testing is the gold standard—randomly assigning users with identical characteristics into groups is the only way to isolate the user’s inherent purchase intent from the paywall intervention’s effect. When sample sizes are insufficient or randomisation is infeasible, uplift modelling offers a second-best alternative, though it still requires experimental data as a training foundation and cannot fully replace A/B testing.</w:t>
      </w:r>
    </w:p>
    <w:p>
      <w:pPr>
        <w:spacing w:after="100" w:before="200"/>
      </w:pPr>
      <w:r>
        <w:rPr>
          <w:rFonts w:ascii="Arial" w:cs="Arial" w:eastAsia="Arial" w:hAnsi="Arial"/>
          <w:b/>
          <w:bCs/>
          <w:sz w:val="24"/>
          <w:szCs w:val="24"/>
        </w:rPr>
        <w:t xml:space="preserve">Determining when to intervene:</w:t>
      </w:r>
    </w:p>
    <w:p>
      <w:pPr>
        <w:spacing w:after="200"/>
      </w:pPr>
      <w:r>
        <w:rPr>
          <w:rFonts w:ascii="Arial" w:cs="Arial" w:eastAsia="Arial" w:hAnsi="Arial"/>
          <w:sz w:val="24"/>
          <w:szCs w:val="24"/>
        </w:rPr>
        <w:t xml:space="preserve">Propensity models, survival analysis, and sequence models address different aspects of timing prediction: propensity models estimate a user’s current behavioural inclination; survival analysis models the time distribution from subscription to churn; sequence models identify pre-churn signals from behavioural sequences. Their common application is proactive intervention when the system detects rising churn risk—for example, offering a renewal discount before the user cancels. The effectiveness of such interventions must loop back to causal validation to confirm whether the discount genuinely reduced churn.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2026-04-09T00:19:41.463Z</dcterms:created>
  <dcterms:modified xsi:type="dcterms:W3CDTF">2026-04-09T00:19:41.463Z</dcterms:modified>
</cp:coreProperties>
</file>

<file path=docProps/custom.xml><?xml version="1.0" encoding="utf-8"?>
<Properties xmlns="http://schemas.openxmlformats.org/officeDocument/2006/custom-properties" xmlns:vt="http://schemas.openxmlformats.org/officeDocument/2006/docPropsVTypes"/>
</file>