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6"/>
          <w:szCs w:val="36"/>
        </w:rPr>
        <w:t xml:space="preserve">User Retention &amp; Lifetime Value</w:t>
      </w:r>
    </w:p>
    <w:p>
      <w:pPr>
        <w:spacing w:after="300"/>
      </w:pPr>
      <w:r>
        <w:rPr>
          <w:rFonts w:ascii="Arial" w:cs="Arial" w:eastAsia="Arial" w:hAnsi="Arial"/>
          <w:i/>
          <w:iCs/>
          <w:color w:val="404040"/>
          <w:sz w:val="22"/>
          <w:szCs w:val="22"/>
        </w:rPr>
        <w:t xml:space="preserve">Using AI to identify subscribers at risk of churn and recommend more relevant content or products, further enhancing user lifetime value (LTV).</w:t>
      </w:r>
    </w:p>
    <w:p>
      <w:pPr>
        <w:pStyle w:val="Heading2"/>
      </w:pPr>
      <w:r>
        <w:rPr>
          <w:rFonts w:ascii="Arial" w:cs="Arial" w:eastAsia="Arial" w:hAnsi="Arial"/>
          <w:b/>
          <w:bCs/>
          <w:color w:val="2E75B6"/>
          <w:sz w:val="28"/>
          <w:szCs w:val="28"/>
        </w:rPr>
        <w:t xml:space="preserve">Prerequisites</w:t>
      </w:r>
    </w:p>
    <w:p>
      <w:pPr>
        <w:pStyle w:val="ListParagraph"/>
        <w:numPr>
          <w:ilvl w:val="0"/>
          <w:numId w:val="2"/>
        </w:numPr>
        <w:spacing w:after="60"/>
      </w:pPr>
      <w:r>
        <w:rPr>
          <w:rFonts w:ascii="Arial" w:cs="Arial" w:eastAsia="Arial" w:hAnsi="Arial"/>
          <w:b/>
          <w:bCs/>
          <w:sz w:val="24"/>
          <w:szCs w:val="24"/>
        </w:rPr>
        <w:t xml:space="preserve">User Behavioural Data</w:t>
      </w:r>
    </w:p>
    <w:p>
      <w:pPr>
        <w:pStyle w:val="ListParagraph"/>
        <w:numPr>
          <w:ilvl w:val="1"/>
          <w:numId w:val="2"/>
        </w:numPr>
        <w:spacing w:after="40"/>
      </w:pPr>
      <w:r>
        <w:rPr>
          <w:rFonts w:ascii="Arial" w:cs="Arial" w:eastAsia="Arial" w:hAnsi="Arial"/>
          <w:sz w:val="22"/>
          <w:szCs w:val="22"/>
        </w:rPr>
        <w:t xml:space="preserve">Reading history, click patterns, session duration, page views, engagement frequency</w:t>
      </w:r>
    </w:p>
    <w:p>
      <w:pPr>
        <w:pStyle w:val="ListParagraph"/>
        <w:numPr>
          <w:ilvl w:val="1"/>
          <w:numId w:val="2"/>
        </w:numPr>
        <w:spacing w:after="120"/>
      </w:pPr>
      <w:r>
        <w:rPr>
          <w:rFonts w:ascii="Arial" w:cs="Arial" w:eastAsia="Arial" w:hAnsi="Arial"/>
          <w:sz w:val="22"/>
          <w:szCs w:val="22"/>
        </w:rPr>
        <w:t xml:space="preserve">Temporal behavioural sequences for survival analysis (login cadence, reading trends over time)</w:t>
      </w:r>
    </w:p>
    <w:p>
      <w:pPr>
        <w:pStyle w:val="ListParagraph"/>
        <w:numPr>
          <w:ilvl w:val="0"/>
          <w:numId w:val="2"/>
        </w:numPr>
        <w:spacing w:after="60"/>
      </w:pPr>
      <w:r>
        <w:rPr>
          <w:rFonts w:ascii="Arial" w:cs="Arial" w:eastAsia="Arial" w:hAnsi="Arial"/>
          <w:b/>
          <w:bCs/>
          <w:sz w:val="24"/>
          <w:szCs w:val="24"/>
        </w:rPr>
        <w:t xml:space="preserve">Subscription &amp; Transaction Data</w:t>
      </w:r>
    </w:p>
    <w:p>
      <w:pPr>
        <w:pStyle w:val="ListParagraph"/>
        <w:numPr>
          <w:ilvl w:val="1"/>
          <w:numId w:val="2"/>
        </w:numPr>
        <w:spacing w:after="40"/>
      </w:pPr>
      <w:r>
        <w:rPr>
          <w:rFonts w:ascii="Arial" w:cs="Arial" w:eastAsia="Arial" w:hAnsi="Arial"/>
          <w:sz w:val="22"/>
          <w:szCs w:val="22"/>
        </w:rPr>
        <w:t xml:space="preserve">Subscription status, plan type, payment history, renewal dates</w:t>
      </w:r>
    </w:p>
    <w:p>
      <w:pPr>
        <w:pStyle w:val="ListParagraph"/>
        <w:numPr>
          <w:ilvl w:val="1"/>
          <w:numId w:val="2"/>
        </w:numPr>
        <w:spacing w:after="120"/>
      </w:pPr>
      <w:r>
        <w:rPr>
          <w:rFonts w:ascii="Arial" w:cs="Arial" w:eastAsia="Arial" w:hAnsi="Arial"/>
          <w:sz w:val="22"/>
          <w:szCs w:val="22"/>
        </w:rPr>
        <w:t xml:space="preserve">Historical churn events with timestamps (for model training and class imbalance handling)</w:t>
      </w:r>
    </w:p>
    <w:p>
      <w:pPr>
        <w:pStyle w:val="ListParagraph"/>
        <w:numPr>
          <w:ilvl w:val="0"/>
          <w:numId w:val="2"/>
        </w:numPr>
        <w:spacing w:after="60"/>
      </w:pPr>
      <w:r>
        <w:rPr>
          <w:rFonts w:ascii="Arial" w:cs="Arial" w:eastAsia="Arial" w:hAnsi="Arial"/>
          <w:b/>
          <w:bCs/>
          <w:sz w:val="24"/>
          <w:szCs w:val="24"/>
        </w:rPr>
        <w:t xml:space="preserve">Content Interaction Data</w:t>
      </w:r>
    </w:p>
    <w:p>
      <w:pPr>
        <w:pStyle w:val="ListParagraph"/>
        <w:numPr>
          <w:ilvl w:val="1"/>
          <w:numId w:val="2"/>
        </w:numPr>
        <w:spacing w:after="40"/>
      </w:pPr>
      <w:r>
        <w:rPr>
          <w:rFonts w:ascii="Arial" w:cs="Arial" w:eastAsia="Arial" w:hAnsi="Arial"/>
          <w:sz w:val="22"/>
          <w:szCs w:val="22"/>
        </w:rPr>
        <w:t xml:space="preserve">Articles read, comments posted, columnist follows, content shares</w:t>
      </w:r>
    </w:p>
    <w:p>
      <w:pPr>
        <w:pStyle w:val="ListParagraph"/>
        <w:numPr>
          <w:ilvl w:val="1"/>
          <w:numId w:val="2"/>
        </w:numPr>
        <w:spacing w:after="120"/>
      </w:pPr>
      <w:r>
        <w:rPr>
          <w:rFonts w:ascii="Arial" w:cs="Arial" w:eastAsia="Arial" w:hAnsi="Arial"/>
          <w:sz w:val="22"/>
          <w:szCs w:val="22"/>
        </w:rPr>
        <w:t xml:space="preserve">Action-level logs with natural occurrence rates (for action probability estimation)</w:t>
      </w:r>
    </w:p>
    <w:p>
      <w:pPr>
        <w:pStyle w:val="ListParagraph"/>
        <w:numPr>
          <w:ilvl w:val="0"/>
          <w:numId w:val="2"/>
        </w:numPr>
        <w:spacing w:after="60"/>
      </w:pPr>
      <w:r>
        <w:rPr>
          <w:rFonts w:ascii="Arial" w:cs="Arial" w:eastAsia="Arial" w:hAnsi="Arial"/>
          <w:b/>
          <w:bCs/>
          <w:sz w:val="24"/>
          <w:szCs w:val="24"/>
        </w:rPr>
        <w:t xml:space="preserve">Domain Expert Access</w:t>
      </w:r>
    </w:p>
    <w:p>
      <w:pPr>
        <w:pStyle w:val="ListParagraph"/>
        <w:numPr>
          <w:ilvl w:val="1"/>
          <w:numId w:val="2"/>
        </w:numPr>
        <w:spacing w:after="40"/>
      </w:pPr>
      <w:r>
        <w:rPr>
          <w:rFonts w:ascii="Arial" w:cs="Arial" w:eastAsia="Arial" w:hAnsi="Arial"/>
          <w:sz w:val="22"/>
          <w:szCs w:val="22"/>
        </w:rPr>
        <w:t xml:space="preserve">Subject matter experts for defining meaningful churn signals and validating model outputs</w:t>
      </w:r>
    </w:p>
    <w:p>
      <w:pPr>
        <w:pStyle w:val="ListParagraph"/>
        <w:numPr>
          <w:ilvl w:val="1"/>
          <w:numId w:val="2"/>
        </w:numPr>
        <w:spacing w:after="240"/>
      </w:pPr>
      <w:r>
        <w:rPr>
          <w:rFonts w:ascii="Arial" w:cs="Arial" w:eastAsia="Arial" w:hAnsi="Arial"/>
          <w:sz w:val="22"/>
          <w:szCs w:val="22"/>
        </w:rPr>
        <w:t xml:space="preserve">Business stakeholders for LTV component decomposition and calibration of action value scores</w:t>
      </w:r>
    </w:p>
    <w:p>
      <w:pPr>
        <w:pStyle w:val="Heading2"/>
      </w:pPr>
      <w:r>
        <w:rPr>
          <w:rFonts w:ascii="Arial" w:cs="Arial" w:eastAsia="Arial" w:hAnsi="Arial"/>
          <w:b/>
          <w:bCs/>
          <w:color w:val="2E75B6"/>
          <w:sz w:val="28"/>
          <w:szCs w:val="28"/>
        </w:rPr>
        <w:t xml:space="preserve">Modelling Processes &amp; Model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2160"/>
        <w:gridCol w:w="22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Data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Modelling Process</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Output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Churn Prediction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1 + 2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Survival analysis, sparse signal extraction, imbalanced sample handling, temporal risk windowing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Churn probability scores with dynamic risk windows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Financial Times Churn Prediction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Next Best Action Recommendation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1 + 2 + 3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Action probability estimation, action value scoring, multi-objective ranking fusion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Personalised action recommendations ranked by expected 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Financial Times Next Best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LTV Optimisation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1 + 2 + 3 + 4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LTV decomposition into retention probability, future payment propensity, and cross-sell opportunity; component-wise modelling and synthesis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Composite LTV estimates per user segment with actionable levers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Financial Times LTV Framework</w:t>
            </w:r>
          </w:p>
        </w:tc>
      </w:tr>
    </w:tbl>
    <w:p>
      <w:pPr>
        <w:spacing w:after="120"/>
      </w:pPr>
    </w:p>
    <w:p>
      <w:pPr>
        <w:pStyle w:val="Heading2"/>
      </w:pPr>
      <w:r>
        <w:rPr>
          <w:rFonts w:ascii="Arial" w:cs="Arial" w:eastAsia="Arial" w:hAnsi="Arial"/>
          <w:b/>
          <w:bCs/>
          <w:color w:val="2E75B6"/>
          <w:sz w:val="28"/>
          <w:szCs w:val="28"/>
        </w:rPr>
        <w:t xml:space="preserve">Technical Assessments</w:t>
      </w:r>
    </w:p>
    <w:p>
      <w:pPr>
        <w:spacing w:after="80"/>
      </w:pPr>
      <w:r>
        <w:rPr>
          <w:rFonts w:ascii="Arial" w:cs="Arial" w:eastAsia="Arial" w:hAnsi="Arial"/>
          <w:b/>
          <w:bCs/>
          <w:sz w:val="24"/>
          <w:szCs w:val="24"/>
        </w:rPr>
        <w:t xml:space="preserve">Signal Sparsity &amp; Temporal Structure</w:t>
      </w:r>
    </w:p>
    <w:p>
      <w:pPr>
        <w:spacing w:after="200"/>
      </w:pPr>
      <w:r>
        <w:rPr>
          <w:rFonts w:ascii="Arial" w:cs="Arial" w:eastAsia="Arial" w:hAnsi="Arial"/>
          <w:sz w:val="22"/>
          <w:szCs w:val="22"/>
        </w:rPr>
        <w:t xml:space="preserve">Retention prediction is fundamentally a survival analysis problem, not a standard binary classification task. User churn risk changes dynamically over time, and different users have varying "hazard windows." Churn events are inherently rare, creating extreme class imbalance, while the effective behavioural signal window before churn is narrow, structurally limiting both the sample size and signal density available for model learning.</w:t>
      </w:r>
    </w:p>
    <w:p>
      <w:pPr>
        <w:spacing w:after="80"/>
      </w:pPr>
      <w:r>
        <w:rPr>
          <w:rFonts w:ascii="Arial" w:cs="Arial" w:eastAsia="Arial" w:hAnsi="Arial"/>
          <w:b/>
          <w:bCs/>
          <w:sz w:val="24"/>
          <w:szCs w:val="24"/>
        </w:rPr>
        <w:t xml:space="preserve">Unobservable External Churn Factors</w:t>
      </w:r>
    </w:p>
    <w:p>
      <w:pPr>
        <w:spacing w:after="200"/>
      </w:pPr>
      <w:r>
        <w:rPr>
          <w:rFonts w:ascii="Arial" w:cs="Arial" w:eastAsia="Arial" w:hAnsi="Arial"/>
          <w:sz w:val="22"/>
          <w:szCs w:val="22"/>
        </w:rPr>
        <w:t xml:space="preserve">A portion of user churn is driven by external factors (competitor emergence, changes in personal financial circumstances, life events). These users may exhibit completely normal on-platform behavioural sequences before churning, making it impossible for any internal signal to predict such churn. This represents a fundamental prediction ceiling unique to this scenario.</w:t>
      </w:r>
    </w:p>
    <w:p>
      <w:pPr>
        <w:spacing w:after="80"/>
      </w:pPr>
      <w:r>
        <w:rPr>
          <w:rFonts w:ascii="Arial" w:cs="Arial" w:eastAsia="Arial" w:hAnsi="Arial"/>
          <w:b/>
          <w:bCs/>
          <w:sz w:val="24"/>
          <w:szCs w:val="24"/>
        </w:rPr>
        <w:t xml:space="preserve">Action Probability Estimation Challenges</w:t>
      </w:r>
    </w:p>
    <w:p>
      <w:pPr>
        <w:spacing w:after="200"/>
      </w:pPr>
      <w:r>
        <w:rPr>
          <w:rFonts w:ascii="Arial" w:cs="Arial" w:eastAsia="Arial" w:hAnsi="Arial"/>
          <w:sz w:val="22"/>
          <w:szCs w:val="22"/>
        </w:rPr>
        <w:t xml:space="preserve">Probability estimation relies on historical behavioural data, but certain actions (e.g., commenting, following columnists) have inherently low natural occurrence rates, resulting in sparse positive samples and unreliable probability estimates. This directly impacts the quality of Next Best Action recommendations.</w:t>
      </w:r>
    </w:p>
    <w:p>
      <w:pPr>
        <w:spacing w:after="80"/>
      </w:pPr>
      <w:r>
        <w:rPr>
          <w:rFonts w:ascii="Arial" w:cs="Arial" w:eastAsia="Arial" w:hAnsi="Arial"/>
          <w:b/>
          <w:bCs/>
          <w:sz w:val="24"/>
          <w:szCs w:val="24"/>
        </w:rPr>
        <w:t xml:space="preserve">Multi-Objective Score Fusion</w:t>
      </w:r>
    </w:p>
    <w:p>
      <w:pPr>
        <w:spacing w:after="200"/>
      </w:pPr>
      <w:r>
        <w:rPr>
          <w:rFonts w:ascii="Arial" w:cs="Arial" w:eastAsia="Arial" w:hAnsi="Arial"/>
          <w:sz w:val="22"/>
          <w:szCs w:val="22"/>
        </w:rPr>
        <w:t xml:space="preserve">Action probability and action value are two fundamentally different scores, and there is no single correct way to combine them. The ranking logic between high-probability, low-value actions and low-probability, high-value actions differs entirely depending on the fusion design, producing completely different recommendation outcomes that are difficult to validate using a single metric.</w:t>
      </w:r>
    </w:p>
    <w:p>
      <w:pPr>
        <w:spacing w:after="80"/>
      </w:pPr>
      <w:r>
        <w:rPr>
          <w:rFonts w:ascii="Arial" w:cs="Arial" w:eastAsia="Arial" w:hAnsi="Arial"/>
          <w:b/>
          <w:bCs/>
          <w:sz w:val="24"/>
          <w:szCs w:val="24"/>
        </w:rPr>
        <w:t xml:space="preserve">LTV Optimisation Target Ambiguity</w:t>
      </w:r>
    </w:p>
    <w:p>
      <w:pPr>
        <w:spacing w:after="200"/>
      </w:pPr>
      <w:r>
        <w:rPr>
          <w:rFonts w:ascii="Arial" w:cs="Arial" w:eastAsia="Arial" w:hAnsi="Arial"/>
          <w:sz w:val="22"/>
          <w:szCs w:val="22"/>
        </w:rPr>
        <w:t xml:space="preserve">LTV is a composite metric simultaneously influenced by retention probability, future payment propensity, cross-sell opportunities, and word-of-mouth propagation. Modelling only retention probability may produce a hidden bias of "retaining high-risk users at the expense of upgrade opportunities for low-risk users." A more complete framework should decompose LTV into independently modellable components, estimate each separately, and then synthesise, rather than directly substituting behavioural proxy metrics (e.g., clicks, reading duration) for LTV. This gap becomes more pronounced when the correlation between behavioural activity and payment propensity is unstable.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2026-04-09T00:43:23.047Z</dcterms:created>
  <dcterms:modified xsi:type="dcterms:W3CDTF">2026-04-09T00:43:23.049Z</dcterms:modified>
</cp:coreProperties>
</file>

<file path=docProps/custom.xml><?xml version="1.0" encoding="utf-8"?>
<Properties xmlns="http://schemas.openxmlformats.org/officeDocument/2006/custom-properties" xmlns:vt="http://schemas.openxmlformats.org/officeDocument/2006/docPropsVTypes"/>
</file>