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0116F">
      <w:pPr>
        <w:spacing w:before="0" w:after="80" w:line="240" w:lineRule="auto"/>
        <w:jc w:val="center"/>
      </w:pPr>
      <w:r>
        <w:rPr>
          <w:rFonts w:ascii="Times New Roman" w:hAnsi="Times New Roman" w:eastAsia="黑体"/>
          <w:b w:val="0"/>
          <w:i w:val="0"/>
          <w:sz w:val="36"/>
        </w:rPr>
        <w:t>多阶段RAG投毒评测的门控位置敏感性分析</w:t>
      </w:r>
    </w:p>
    <w:p w14:paraId="703D4E7D">
      <w:pPr>
        <w:spacing w:before="0" w:after="40" w:line="240" w:lineRule="auto"/>
        <w:jc w:val="center"/>
        <w:rPr>
          <w:rFonts w:ascii="Times New Roman" w:hAnsi="Times New Roman" w:eastAsia="宋体"/>
          <w:b w:val="0"/>
          <w:i w:val="0"/>
          <w:sz w:val="18"/>
        </w:rPr>
      </w:pPr>
      <w:r>
        <w:rPr>
          <w:rFonts w:ascii="Times New Roman" w:hAnsi="Times New Roman" w:eastAsia="宋体"/>
          <w:b w:val="0"/>
          <w:i w:val="0"/>
          <w:sz w:val="18"/>
        </w:rPr>
        <w:t>陈冠宇</w:t>
      </w:r>
      <w:r>
        <w:rPr>
          <w:rFonts w:hint="eastAsia" w:ascii="Times New Roman" w:hAnsi="Times New Roman" w:eastAsia="宋体"/>
          <w:b w:val="0"/>
          <w:i w:val="0"/>
          <w:sz w:val="18"/>
        </w:rPr>
        <w:t>¹</w:t>
      </w:r>
      <w:r>
        <w:rPr>
          <w:rFonts w:ascii="Times New Roman" w:hAnsi="Times New Roman" w:eastAsia="宋体"/>
          <w:b w:val="0"/>
          <w:i w:val="0"/>
          <w:sz w:val="18"/>
        </w:rPr>
        <w:t>，张梓健</w:t>
      </w:r>
      <w:r>
        <w:rPr>
          <w:rFonts w:hint="eastAsia" w:ascii="Times New Roman" w:hAnsi="Times New Roman" w:eastAsia="宋体"/>
          <w:b w:val="0"/>
          <w:i w:val="0"/>
          <w:sz w:val="18"/>
        </w:rPr>
        <w:t>¹</w:t>
      </w:r>
      <w:r>
        <w:rPr>
          <w:rFonts w:ascii="Times New Roman" w:hAnsi="Times New Roman" w:eastAsia="宋体"/>
          <w:b w:val="0"/>
          <w:i w:val="0"/>
          <w:sz w:val="18"/>
        </w:rPr>
        <w:t>，</w:t>
      </w:r>
      <w:r>
        <w:rPr>
          <w:rFonts w:hint="eastAsia" w:ascii="Times New Roman" w:hAnsi="Times New Roman" w:eastAsia="宋体"/>
          <w:b w:val="0"/>
          <w:i w:val="0"/>
          <w:sz w:val="18"/>
          <w:lang w:val="en-US" w:eastAsia="zh-CN"/>
        </w:rPr>
        <w:t>刘东</w:t>
      </w:r>
      <w:r>
        <w:rPr>
          <w:rFonts w:ascii="Times New Roman" w:hAnsi="Times New Roman" w:eastAsia="宋体"/>
          <w:b w:val="0"/>
          <w:i w:val="0"/>
          <w:sz w:val="18"/>
        </w:rPr>
        <w:t>²*</w:t>
      </w:r>
      <w:r>
        <w:rPr>
          <w:rFonts w:hint="eastAsia" w:ascii="Times New Roman" w:hAnsi="Times New Roman" w:eastAsia="宋体"/>
          <w:b w:val="0"/>
          <w:i w:val="0"/>
          <w:sz w:val="18"/>
          <w:lang w:eastAsia="zh-CN"/>
        </w:rPr>
        <w:t>，</w:t>
      </w:r>
      <w:r>
        <w:rPr>
          <w:rFonts w:ascii="Times New Roman" w:hAnsi="Times New Roman" w:eastAsia="宋体"/>
          <w:b w:val="0"/>
          <w:i w:val="0"/>
          <w:sz w:val="18"/>
        </w:rPr>
        <w:t>刘寿强³*</w:t>
      </w:r>
    </w:p>
    <w:p w14:paraId="609B8562">
      <w:pPr>
        <w:spacing w:before="0" w:after="40" w:line="240" w:lineRule="auto"/>
        <w:jc w:val="center"/>
        <w:rPr>
          <w:rFonts w:ascii="Times New Roman" w:hAnsi="Times New Roman" w:eastAsia="宋体"/>
          <w:b w:val="0"/>
          <w:i w:val="0"/>
          <w:sz w:val="18"/>
        </w:rPr>
      </w:pPr>
      <w:r>
        <w:rPr>
          <w:rFonts w:ascii="Times New Roman" w:hAnsi="Times New Roman" w:eastAsia="宋体"/>
          <w:b w:val="0"/>
          <w:i w:val="0"/>
          <w:sz w:val="18"/>
        </w:rPr>
        <w:t>（</w:t>
      </w:r>
      <w:r>
        <w:rPr>
          <w:rFonts w:hint="eastAsia" w:ascii="Times New Roman" w:hAnsi="Times New Roman" w:eastAsia="宋体"/>
          <w:b w:val="0"/>
          <w:i w:val="0"/>
          <w:sz w:val="18"/>
          <w:lang w:val="en-US" w:eastAsia="zh-CN"/>
        </w:rPr>
        <w:t>1.</w:t>
      </w:r>
      <w:r>
        <w:rPr>
          <w:rFonts w:ascii="Times New Roman" w:hAnsi="Times New Roman" w:eastAsia="宋体"/>
          <w:b w:val="0"/>
          <w:i w:val="0"/>
          <w:sz w:val="18"/>
        </w:rPr>
        <w:t>华南师范大学 阿伯丁数据科学与人工智能学院，广东 佛山 528225）</w:t>
      </w:r>
    </w:p>
    <w:p w14:paraId="5A671BBE">
      <w:pPr>
        <w:spacing w:before="0" w:after="40" w:line="240" w:lineRule="auto"/>
        <w:jc w:val="center"/>
        <w:rPr>
          <w:rFonts w:ascii="Times New Roman" w:hAnsi="Times New Roman" w:eastAsia="宋体"/>
          <w:b w:val="0"/>
          <w:i w:val="0"/>
          <w:sz w:val="18"/>
        </w:rPr>
      </w:pPr>
      <w:r>
        <w:rPr>
          <w:rFonts w:ascii="Times New Roman" w:hAnsi="Times New Roman" w:eastAsia="宋体"/>
          <w:b w:val="0"/>
          <w:i w:val="0"/>
          <w:sz w:val="18"/>
        </w:rPr>
        <w:t>（</w:t>
      </w:r>
      <w:r>
        <w:rPr>
          <w:rFonts w:hint="eastAsia" w:ascii="Times New Roman" w:hAnsi="Times New Roman" w:eastAsia="宋体"/>
          <w:b w:val="0"/>
          <w:i w:val="0"/>
          <w:sz w:val="18"/>
          <w:lang w:val="en-US" w:eastAsia="zh-CN"/>
        </w:rPr>
        <w:t>2.</w:t>
      </w:r>
      <w:r>
        <w:rPr>
          <w:rFonts w:hint="eastAsia" w:ascii="Times New Roman" w:hAnsi="Times New Roman" w:eastAsia="宋体"/>
          <w:b w:val="0"/>
          <w:i w:val="0"/>
          <w:sz w:val="18"/>
        </w:rPr>
        <w:t>广东外语外贸大学南国商学院计算机学院</w:t>
      </w:r>
      <w:r>
        <w:rPr>
          <w:rFonts w:ascii="Times New Roman" w:hAnsi="Times New Roman" w:eastAsia="宋体"/>
          <w:b w:val="0"/>
          <w:i w:val="0"/>
          <w:sz w:val="18"/>
        </w:rPr>
        <w:t xml:space="preserve">，广东 </w:t>
      </w:r>
      <w:r>
        <w:rPr>
          <w:rFonts w:hint="eastAsia" w:ascii="Times New Roman" w:hAnsi="Times New Roman" w:eastAsia="宋体"/>
          <w:b w:val="0"/>
          <w:i w:val="0"/>
          <w:sz w:val="18"/>
          <w:lang w:val="en-US" w:eastAsia="zh-CN"/>
        </w:rPr>
        <w:t>广州</w:t>
      </w:r>
      <w:r>
        <w:rPr>
          <w:rFonts w:ascii="Times New Roman" w:hAnsi="Times New Roman" w:eastAsia="宋体"/>
          <w:b w:val="0"/>
          <w:i w:val="0"/>
          <w:sz w:val="18"/>
        </w:rPr>
        <w:t>510545）</w:t>
      </w:r>
    </w:p>
    <w:p w14:paraId="4FD3549C">
      <w:pPr>
        <w:spacing w:before="0" w:after="40" w:line="240" w:lineRule="auto"/>
        <w:jc w:val="center"/>
        <w:rPr>
          <w:rFonts w:ascii="Times New Roman" w:hAnsi="Times New Roman" w:eastAsia="宋体"/>
          <w:b w:val="0"/>
          <w:i w:val="0"/>
          <w:sz w:val="18"/>
        </w:rPr>
      </w:pPr>
      <w:r>
        <w:rPr>
          <w:rFonts w:ascii="Times New Roman" w:hAnsi="Times New Roman" w:eastAsia="宋体"/>
          <w:b w:val="0"/>
          <w:i w:val="0"/>
          <w:sz w:val="18"/>
        </w:rPr>
        <w:t>（</w:t>
      </w:r>
      <w:r>
        <w:rPr>
          <w:rFonts w:hint="eastAsia" w:ascii="Times New Roman" w:hAnsi="Times New Roman" w:eastAsia="宋体"/>
          <w:b w:val="0"/>
          <w:i w:val="0"/>
          <w:sz w:val="18"/>
          <w:lang w:val="en-US" w:eastAsia="zh-CN"/>
        </w:rPr>
        <w:t>3.</w:t>
      </w:r>
      <w:r>
        <w:rPr>
          <w:rFonts w:ascii="Times New Roman" w:hAnsi="Times New Roman" w:eastAsia="宋体"/>
          <w:b w:val="0"/>
          <w:i w:val="0"/>
          <w:sz w:val="18"/>
        </w:rPr>
        <w:t>华南师范大学 人工智能学院，广东 佛山 528225）</w:t>
      </w:r>
    </w:p>
    <w:p w14:paraId="6F6A2912">
      <w:pPr>
        <w:spacing w:before="0" w:after="40" w:line="240" w:lineRule="auto"/>
        <w:jc w:val="center"/>
        <w:rPr>
          <w:rFonts w:ascii="Times New Roman" w:hAnsi="Times New Roman" w:eastAsia="宋体"/>
          <w:b w:val="0"/>
          <w:i w:val="0"/>
          <w:sz w:val="18"/>
        </w:rPr>
      </w:pPr>
    </w:p>
    <w:p w14:paraId="2E7D2D84">
      <w:pPr>
        <w:spacing w:before="0" w:after="40" w:line="240" w:lineRule="auto"/>
        <w:jc w:val="left"/>
        <w:rPr>
          <w:rFonts w:hint="eastAsia" w:ascii="Times New Roman" w:hAnsi="Times New Roman" w:eastAsia="宋体"/>
          <w:b w:val="0"/>
          <w:i w:val="0"/>
          <w:sz w:val="18"/>
        </w:rPr>
      </w:pPr>
      <w:r>
        <w:rPr>
          <w:rFonts w:ascii="Times New Roman" w:hAnsi="Times New Roman" w:eastAsia="宋体"/>
          <w:b w:val="0"/>
          <w:i w:val="0"/>
          <w:sz w:val="18"/>
        </w:rPr>
        <w:t>通信作者：</w:t>
      </w:r>
      <w:r>
        <w:rPr>
          <w:rFonts w:hint="eastAsia" w:ascii="Times New Roman" w:hAnsi="Times New Roman" w:eastAsia="宋体"/>
          <w:b w:val="0"/>
          <w:i w:val="0"/>
          <w:sz w:val="18"/>
          <w:lang w:val="en-US" w:eastAsia="zh-CN"/>
        </w:rPr>
        <w:t>刘东，</w:t>
      </w:r>
      <w:r>
        <w:rPr>
          <w:rFonts w:ascii="Times New Roman" w:hAnsi="Times New Roman" w:eastAsia="宋体"/>
          <w:b w:val="0"/>
          <w:i w:val="0"/>
          <w:sz w:val="18"/>
        </w:rPr>
        <w:t>E-mail：</w:t>
      </w:r>
      <w:r>
        <w:rPr>
          <w:rFonts w:hint="eastAsia" w:ascii="Times New Roman" w:hAnsi="Times New Roman" w:eastAsia="宋体"/>
          <w:b w:val="0"/>
          <w:i w:val="0"/>
          <w:sz w:val="18"/>
        </w:rPr>
        <w:t>201003@gwng.edu.cn</w:t>
      </w:r>
      <w:r>
        <w:rPr>
          <w:rFonts w:hint="eastAsia" w:ascii="Times New Roman" w:hAnsi="Times New Roman" w:eastAsia="宋体"/>
          <w:b w:val="0"/>
          <w:i w:val="0"/>
          <w:sz w:val="18"/>
          <w:lang w:eastAsia="zh-CN"/>
        </w:rPr>
        <w:t>；</w:t>
      </w:r>
      <w:r>
        <w:rPr>
          <w:rFonts w:ascii="Times New Roman" w:hAnsi="Times New Roman" w:eastAsia="宋体"/>
          <w:b w:val="0"/>
          <w:i w:val="0"/>
          <w:sz w:val="18"/>
        </w:rPr>
        <w:t>刘寿强，E-mail：</w:t>
      </w:r>
      <w:r>
        <w:rPr>
          <w:rFonts w:hint="eastAsia" w:ascii="Times New Roman" w:hAnsi="Times New Roman" w:eastAsia="宋体"/>
          <w:b w:val="0"/>
          <w:i w:val="0"/>
          <w:sz w:val="18"/>
          <w:lang w:val="en-US" w:eastAsia="zh-CN"/>
        </w:rPr>
        <w:t>liusq@m.scnu.edu.cn</w:t>
      </w:r>
      <w:r>
        <w:rPr>
          <w:rFonts w:ascii="Times New Roman" w:hAnsi="Times New Roman" w:eastAsia="宋体"/>
          <w:b w:val="0"/>
          <w:i w:val="0"/>
          <w:sz w:val="18"/>
        </w:rPr>
        <w:t>；基金项目：</w:t>
      </w:r>
      <w:r>
        <w:rPr>
          <w:rFonts w:hint="eastAsia" w:ascii="Times New Roman" w:hAnsi="Times New Roman" w:eastAsia="宋体"/>
          <w:b w:val="0"/>
          <w:i w:val="0"/>
          <w:sz w:val="18"/>
        </w:rPr>
        <w:t>2025 年度广东省本科高校教学质量与教学改革工程立项项目（粤教高函〔2026〕4 号No 97）；2025 年度华南师范大学教学质量与教学改革工程立项项目（教学 [2025] 44 号 NO11）；2025 年华南师范大学人工智能学院高等教育教学研究和改革项目 “新工科竞赛建设与培育”；2025 年华南师范大学计算机学科创新实验区榜挂帅驱动教育创新与产教融合协同发展行动项目：</w:t>
      </w:r>
      <w:r>
        <w:rPr>
          <w:rFonts w:hint="eastAsia" w:ascii="Times New Roman" w:hAnsi="Times New Roman" w:eastAsia="宋体"/>
          <w:b w:val="0"/>
          <w:i w:val="0"/>
          <w:sz w:val="18"/>
          <w:lang w:eastAsia="zh-CN"/>
        </w:rPr>
        <w:t>（</w:t>
      </w:r>
      <w:r>
        <w:rPr>
          <w:rFonts w:hint="eastAsia" w:ascii="Times New Roman" w:hAnsi="Times New Roman" w:eastAsia="宋体"/>
          <w:b w:val="0"/>
          <w:i w:val="0"/>
          <w:sz w:val="18"/>
        </w:rPr>
        <w:t>1）新工科高端竞赛梯队的培育；（2）物联网前沿应用（华为智能基座共建课程</w:t>
      </w:r>
      <w:r>
        <w:rPr>
          <w:rFonts w:hint="eastAsia" w:ascii="Times New Roman" w:hAnsi="Times New Roman" w:eastAsia="宋体"/>
          <w:b w:val="0"/>
          <w:i w:val="0"/>
          <w:sz w:val="18"/>
          <w:lang w:eastAsia="zh-CN"/>
        </w:rPr>
        <w:t>）</w:t>
      </w:r>
      <w:r>
        <w:rPr>
          <w:rFonts w:hint="eastAsia" w:ascii="Times New Roman" w:hAnsi="Times New Roman" w:eastAsia="宋体"/>
          <w:b w:val="0"/>
          <w:i w:val="0"/>
          <w:sz w:val="18"/>
        </w:rPr>
        <w:t>；（3）华师--科凯达科产教融合协同育人示范基地</w:t>
      </w:r>
      <w:r>
        <w:rPr>
          <w:rFonts w:hint="eastAsia" w:ascii="Times New Roman" w:hAnsi="Times New Roman" w:eastAsia="宋体"/>
          <w:b w:val="0"/>
          <w:i w:val="0"/>
          <w:sz w:val="18"/>
          <w:lang w:eastAsia="zh-CN"/>
        </w:rPr>
        <w:t>。</w:t>
      </w:r>
      <w:r>
        <w:rPr>
          <w:rFonts w:hint="eastAsia" w:ascii="Times New Roman" w:hAnsi="Times New Roman" w:eastAsia="宋体"/>
          <w:b w:val="0"/>
          <w:i w:val="0"/>
          <w:sz w:val="18"/>
        </w:rPr>
        <w:t>2025 年华南师范大学 “‘新师范’建设”“拔尖人才培养” 及 “数智赋能教育” 校级专项教改项目 “大模型赋能《网络空间安全基础》课程教学改革研究与实践”；2023 年 10 月华南师范大学 “本科教育教学数字化转型” 校级专项教改项目（教学﹝2023﹞ 71 号第 027）</w:t>
      </w:r>
    </w:p>
    <w:p w14:paraId="038BDD18">
      <w:pPr>
        <w:spacing w:before="0" w:after="40" w:line="240" w:lineRule="auto"/>
        <w:jc w:val="center"/>
        <w:rPr>
          <w:rFonts w:hint="eastAsia" w:ascii="Times New Roman" w:hAnsi="Times New Roman" w:eastAsia="宋体"/>
          <w:b w:val="0"/>
          <w:i w:val="0"/>
          <w:sz w:val="10"/>
          <w:szCs w:val="10"/>
        </w:rPr>
      </w:pPr>
    </w:p>
    <w:p w14:paraId="062BF515">
      <w:pPr>
        <w:spacing w:before="0" w:after="20" w:line="240" w:lineRule="auto"/>
        <w:ind w:firstLine="360"/>
        <w:jc w:val="both"/>
      </w:pPr>
      <w:r>
        <w:rPr>
          <w:rFonts w:ascii="Times New Roman" w:hAnsi="Times New Roman" w:eastAsia="黑体"/>
          <w:b/>
          <w:bCs/>
          <w:i w:val="0"/>
          <w:sz w:val="18"/>
        </w:rPr>
        <w:t>摘  要：</w:t>
      </w:r>
      <w:r>
        <w:rPr>
          <w:rFonts w:ascii="Times New Roman" w:hAnsi="Times New Roman" w:eastAsia="宋体"/>
          <w:b w:val="0"/>
          <w:i w:val="0"/>
          <w:sz w:val="18"/>
        </w:rPr>
        <w:t>检索增强生成（RAG）系统的外部知识库一旦被投毒，模型会在看似有证据支撑的情况下输出指定错误答案。已有投毒评测多只报告数据集、检索器与生成器，较少披露分块、重排、候选池与门控位置等管线环节，导致同一攻击在不同实现下得到不可比的攻击成功率（ASR）读数。为此，构建面向知识库投毒的受控多阶段RAG评测协议：在固定语料、分块、检索与重排配置、候选预算与阈值校准规则的条件下，将同一个无训练轻量门控探针SafeGate分别置于检索后（P_ret）与生成前（P_gen），并以关闭重排的简化管线、查询重叠单信号门控与匹配随机阻断作为对照，在NQ与HotpotQA上完成72个主矩阵运行与120个控制及消融运行。结果表明：关闭重排的简化管线无门控ASR较高2.2~18.1个百分点，3个数据集—检索器组合的查询级95%配对区间位于0以上；P_ret与P_gen的答案级ASR下降与效用下降收敛，但候选池与块级代价不同，P_gen每查询误拦干净块0.49~1.49块，低于P_ret的2.21~2.57块；多信号均值融合仅在4/24个可比行上不低于查询重叠单信号。因此，RAG投毒评测应将管线配置、门控位置、候选池、指标分母与安全—效用指标纳入统一报告，门控位置应作为独立评测变量而非实现细节。</w:t>
      </w:r>
    </w:p>
    <w:p w14:paraId="6DF69A44">
      <w:pPr>
        <w:spacing w:before="0" w:after="20" w:line="240" w:lineRule="auto"/>
        <w:ind w:firstLine="360"/>
        <w:jc w:val="both"/>
      </w:pPr>
      <w:r>
        <w:rPr>
          <w:rFonts w:ascii="Times New Roman" w:hAnsi="Times New Roman" w:eastAsia="黑体"/>
          <w:b w:val="0"/>
          <w:i w:val="0"/>
          <w:sz w:val="18"/>
        </w:rPr>
        <w:t>关键词：</w:t>
      </w:r>
      <w:r>
        <w:rPr>
          <w:rFonts w:ascii="Times New Roman" w:hAnsi="Times New Roman" w:eastAsia="宋体"/>
          <w:b w:val="0"/>
          <w:i w:val="0"/>
          <w:sz w:val="18"/>
        </w:rPr>
        <w:t>检索增强生成；知识库投毒；安全评测；门控位置；攻击成功率；候选池</w:t>
      </w:r>
    </w:p>
    <w:p w14:paraId="54EFBB94">
      <w:pPr>
        <w:spacing w:before="0" w:after="60" w:line="240" w:lineRule="auto"/>
        <w:jc w:val="left"/>
      </w:pPr>
      <w:r>
        <w:rPr>
          <w:rFonts w:ascii="Times New Roman" w:hAnsi="Times New Roman" w:eastAsia="宋体"/>
          <w:b w:val="0"/>
          <w:i w:val="0"/>
          <w:sz w:val="18"/>
        </w:rPr>
        <w:t>中图分类号：TP309    文献标志码：A    文章编号：（编辑部填写）    doi：（编辑部填写）</w:t>
      </w:r>
    </w:p>
    <w:p w14:paraId="0335E8FA">
      <w:pPr>
        <w:spacing w:before="0" w:after="60" w:line="240" w:lineRule="auto"/>
        <w:jc w:val="left"/>
      </w:pPr>
      <w:r>
        <w:rPr>
          <w:rFonts w:ascii="Times New Roman" w:hAnsi="Times New Roman" w:eastAsia="宋体"/>
          <w:b w:val="0"/>
          <w:i w:val="0"/>
          <w:sz w:val="18"/>
        </w:rPr>
        <w:t>作者简介：陈冠宇（</w:t>
      </w:r>
      <w:r>
        <w:rPr>
          <w:rFonts w:hint="eastAsia" w:ascii="Times New Roman" w:hAnsi="Times New Roman" w:eastAsia="宋体"/>
          <w:b w:val="0"/>
          <w:i w:val="0"/>
          <w:sz w:val="18"/>
          <w:lang w:val="en-US" w:eastAsia="zh-CN"/>
        </w:rPr>
        <w:t>2007</w:t>
      </w:r>
      <w:r>
        <w:rPr>
          <w:rFonts w:ascii="Times New Roman" w:hAnsi="Times New Roman" w:eastAsia="宋体"/>
          <w:b w:val="0"/>
          <w:i w:val="0"/>
          <w:sz w:val="18"/>
        </w:rPr>
        <w:t>—），男，</w:t>
      </w:r>
      <w:r>
        <w:rPr>
          <w:rFonts w:hint="eastAsia" w:ascii="Times New Roman" w:hAnsi="Times New Roman" w:eastAsia="宋体"/>
          <w:b w:val="0"/>
          <w:i w:val="0"/>
          <w:sz w:val="18"/>
          <w:lang w:val="en-US" w:eastAsia="zh-CN"/>
        </w:rPr>
        <w:t>华南师范大学本科在读</w:t>
      </w:r>
      <w:r>
        <w:rPr>
          <w:rFonts w:ascii="Times New Roman" w:hAnsi="Times New Roman" w:eastAsia="宋体"/>
          <w:b w:val="0"/>
          <w:i w:val="0"/>
          <w:sz w:val="18"/>
        </w:rPr>
        <w:t>，研究方向为检索增强生成与大模型安全；张梓健（</w:t>
      </w:r>
      <w:r>
        <w:rPr>
          <w:rFonts w:hint="eastAsia" w:ascii="Times New Roman" w:hAnsi="Times New Roman" w:eastAsia="宋体"/>
          <w:b w:val="0"/>
          <w:i w:val="0"/>
          <w:sz w:val="18"/>
          <w:lang w:val="en-US" w:eastAsia="zh-CN"/>
        </w:rPr>
        <w:t>2007</w:t>
      </w:r>
      <w:r>
        <w:rPr>
          <w:rFonts w:ascii="Times New Roman" w:hAnsi="Times New Roman" w:eastAsia="宋体"/>
          <w:b w:val="0"/>
          <w:i w:val="0"/>
          <w:sz w:val="18"/>
        </w:rPr>
        <w:t>—），男，</w:t>
      </w:r>
      <w:r>
        <w:rPr>
          <w:rFonts w:hint="eastAsia" w:ascii="Times New Roman" w:hAnsi="Times New Roman" w:eastAsia="宋体"/>
          <w:b w:val="0"/>
          <w:i w:val="0"/>
          <w:sz w:val="18"/>
          <w:lang w:val="en-US" w:eastAsia="zh-CN"/>
        </w:rPr>
        <w:t>华南师范大学本科在读</w:t>
      </w:r>
      <w:r>
        <w:rPr>
          <w:rFonts w:ascii="Times New Roman" w:hAnsi="Times New Roman" w:eastAsia="宋体"/>
          <w:b w:val="0"/>
          <w:i w:val="0"/>
          <w:sz w:val="18"/>
        </w:rPr>
        <w:t>，研究方向为大语言模型应用；</w:t>
      </w:r>
      <w:r>
        <w:rPr>
          <w:rFonts w:hint="eastAsia" w:ascii="Times New Roman" w:hAnsi="Times New Roman" w:eastAsia="宋体"/>
          <w:b w:val="0"/>
          <w:i w:val="0"/>
          <w:sz w:val="18"/>
          <w:lang w:val="en-US" w:eastAsia="zh-CN"/>
        </w:rPr>
        <w:t>刘东（1982</w:t>
      </w:r>
      <w:r>
        <w:rPr>
          <w:rFonts w:ascii="Times New Roman" w:hAnsi="Times New Roman" w:eastAsia="宋体"/>
          <w:b w:val="0"/>
          <w:i w:val="0"/>
          <w:sz w:val="18"/>
        </w:rPr>
        <w:t>—</w:t>
      </w:r>
      <w:r>
        <w:rPr>
          <w:rFonts w:hint="eastAsia" w:ascii="Times New Roman" w:hAnsi="Times New Roman" w:eastAsia="宋体"/>
          <w:b w:val="0"/>
          <w:i w:val="0"/>
          <w:sz w:val="18"/>
          <w:lang w:val="en-US" w:eastAsia="zh-CN"/>
        </w:rPr>
        <w:t>），男，</w:t>
      </w:r>
      <w:r>
        <w:rPr>
          <w:rFonts w:hint="eastAsia" w:ascii="Times New Roman" w:hAnsi="Times New Roman" w:eastAsia="宋体"/>
          <w:b w:val="0"/>
          <w:i w:val="0"/>
          <w:sz w:val="18"/>
        </w:rPr>
        <w:t>广东外语外贸大学南国商学院</w:t>
      </w:r>
      <w:r>
        <w:rPr>
          <w:rFonts w:hint="eastAsia" w:ascii="Times New Roman" w:hAnsi="Times New Roman" w:eastAsia="宋体"/>
          <w:b w:val="0"/>
          <w:i w:val="0"/>
          <w:sz w:val="18"/>
          <w:lang w:val="en-US" w:eastAsia="zh-CN"/>
        </w:rPr>
        <w:t>副教授，通信作者，研究方向为计算机网络与机器学习，</w:t>
      </w:r>
      <w:r>
        <w:rPr>
          <w:rFonts w:ascii="Times New Roman" w:hAnsi="Times New Roman" w:eastAsia="宋体"/>
          <w:b w:val="0"/>
          <w:i w:val="0"/>
          <w:sz w:val="18"/>
        </w:rPr>
        <w:t>E-mail：</w:t>
      </w:r>
      <w:r>
        <w:rPr>
          <w:rFonts w:hint="eastAsia" w:ascii="Times New Roman" w:hAnsi="Times New Roman" w:eastAsia="宋体"/>
          <w:b w:val="0"/>
          <w:i w:val="0"/>
          <w:sz w:val="18"/>
        </w:rPr>
        <w:t>201003@gwng.edu.cn</w:t>
      </w:r>
      <w:r>
        <w:rPr>
          <w:rFonts w:hint="eastAsia" w:ascii="Times New Roman" w:hAnsi="Times New Roman" w:eastAsia="宋体"/>
          <w:b w:val="0"/>
          <w:i w:val="0"/>
          <w:sz w:val="18"/>
          <w:lang w:val="en-US" w:eastAsia="zh-CN"/>
        </w:rPr>
        <w:t>；</w:t>
      </w:r>
      <w:r>
        <w:rPr>
          <w:rFonts w:ascii="Times New Roman" w:hAnsi="Times New Roman" w:eastAsia="宋体"/>
          <w:b w:val="0"/>
          <w:i w:val="0"/>
          <w:sz w:val="18"/>
        </w:rPr>
        <w:t>刘寿强（19</w:t>
      </w:r>
      <w:r>
        <w:rPr>
          <w:rFonts w:hint="eastAsia" w:ascii="Times New Roman" w:hAnsi="Times New Roman" w:eastAsia="宋体"/>
          <w:b w:val="0"/>
          <w:i w:val="0"/>
          <w:sz w:val="18"/>
          <w:lang w:val="en-US" w:eastAsia="zh-CN"/>
        </w:rPr>
        <w:t>74</w:t>
      </w:r>
      <w:r>
        <w:rPr>
          <w:rFonts w:ascii="Times New Roman" w:hAnsi="Times New Roman" w:eastAsia="宋体"/>
          <w:b w:val="0"/>
          <w:i w:val="0"/>
          <w:sz w:val="18"/>
        </w:rPr>
        <w:t>—），男，</w:t>
      </w:r>
      <w:r>
        <w:rPr>
          <w:rFonts w:hint="eastAsia" w:ascii="Times New Roman" w:hAnsi="Times New Roman" w:eastAsia="宋体"/>
          <w:b w:val="0"/>
          <w:i w:val="0"/>
          <w:sz w:val="18"/>
          <w:lang w:val="en-US" w:eastAsia="zh-CN"/>
        </w:rPr>
        <w:t>华南师范大学副教授</w:t>
      </w:r>
      <w:r>
        <w:rPr>
          <w:rFonts w:ascii="Times New Roman" w:hAnsi="Times New Roman" w:eastAsia="宋体"/>
          <w:b w:val="0"/>
          <w:i w:val="0"/>
          <w:sz w:val="18"/>
        </w:rPr>
        <w:t>，通信作者，研究方向为人工智能安全与数据挖掘，E-mail：</w:t>
      </w:r>
      <w:r>
        <w:rPr>
          <w:rFonts w:hint="eastAsia" w:ascii="Times New Roman" w:hAnsi="Times New Roman" w:eastAsia="宋体"/>
          <w:b w:val="0"/>
          <w:i w:val="0"/>
          <w:sz w:val="18"/>
          <w:lang w:val="en-US" w:eastAsia="zh-CN"/>
        </w:rPr>
        <w:t>liusq@m.scnu.edu.cn</w:t>
      </w:r>
      <w:r>
        <w:rPr>
          <w:rFonts w:ascii="Times New Roman" w:hAnsi="Times New Roman" w:eastAsia="宋体"/>
          <w:b w:val="0"/>
          <w:i w:val="0"/>
          <w:sz w:val="18"/>
        </w:rPr>
        <w:t>。</w:t>
      </w:r>
    </w:p>
    <w:p w14:paraId="1DD78F1A">
      <w:pPr>
        <w:spacing w:before="0" w:after="40" w:line="240" w:lineRule="auto"/>
        <w:jc w:val="center"/>
      </w:pPr>
      <w:r>
        <w:rPr>
          <w:rFonts w:ascii="Times New Roman" w:hAnsi="Times New Roman" w:eastAsia="黑体"/>
          <w:b w:val="0"/>
          <w:i w:val="0"/>
          <w:sz w:val="24"/>
        </w:rPr>
        <w:t>Gate-Position Sensitivity Analysis in Multi-Stage RAG Poisoning Evaluation</w:t>
      </w:r>
    </w:p>
    <w:p w14:paraId="064F5B68">
      <w:pPr>
        <w:spacing w:before="0" w:after="40" w:line="240" w:lineRule="auto"/>
        <w:jc w:val="center"/>
      </w:pPr>
      <w:r>
        <w:rPr>
          <w:rFonts w:ascii="Times New Roman" w:hAnsi="Times New Roman" w:eastAsia="宋体"/>
          <w:b w:val="0"/>
          <w:i w:val="0"/>
          <w:sz w:val="18"/>
        </w:rPr>
        <w:t>CHEN Guanyu</w:t>
      </w:r>
      <w:r>
        <w:rPr>
          <w:rFonts w:hint="eastAsia" w:ascii="Times New Roman" w:hAnsi="Times New Roman" w:eastAsia="宋体"/>
          <w:b w:val="0"/>
          <w:i w:val="0"/>
          <w:sz w:val="18"/>
        </w:rPr>
        <w:t>¹</w:t>
      </w:r>
      <w:r>
        <w:rPr>
          <w:rFonts w:ascii="Times New Roman" w:hAnsi="Times New Roman" w:eastAsia="宋体"/>
          <w:b w:val="0"/>
          <w:i w:val="0"/>
          <w:sz w:val="18"/>
        </w:rPr>
        <w:t>, ZHANG Zijian</w:t>
      </w:r>
      <w:r>
        <w:rPr>
          <w:rFonts w:hint="eastAsia" w:ascii="Times New Roman" w:hAnsi="Times New Roman" w:eastAsia="宋体"/>
          <w:b w:val="0"/>
          <w:i w:val="0"/>
          <w:sz w:val="18"/>
        </w:rPr>
        <w:t>¹</w:t>
      </w:r>
      <w:r>
        <w:rPr>
          <w:rFonts w:ascii="Times New Roman" w:hAnsi="Times New Roman" w:eastAsia="宋体"/>
          <w:b w:val="0"/>
          <w:i w:val="0"/>
          <w:sz w:val="18"/>
        </w:rPr>
        <w:t xml:space="preserve">, </w:t>
      </w:r>
      <w:r>
        <w:rPr>
          <w:rFonts w:hint="eastAsia" w:ascii="Times New Roman" w:hAnsi="Times New Roman" w:eastAsia="宋体"/>
          <w:b w:val="0"/>
          <w:i w:val="0"/>
          <w:sz w:val="18"/>
          <w:lang w:val="en-US" w:eastAsia="zh-CN"/>
        </w:rPr>
        <w:t>LIU Dong</w:t>
      </w:r>
      <w:r>
        <w:rPr>
          <w:rFonts w:ascii="Times New Roman" w:hAnsi="Times New Roman" w:eastAsia="宋体"/>
          <w:b w:val="0"/>
          <w:i w:val="0"/>
          <w:sz w:val="18"/>
        </w:rPr>
        <w:t>²*</w:t>
      </w:r>
      <w:r>
        <w:rPr>
          <w:rFonts w:hint="eastAsia" w:ascii="Times New Roman" w:hAnsi="Times New Roman" w:eastAsia="宋体"/>
          <w:b w:val="0"/>
          <w:i w:val="0"/>
          <w:sz w:val="18"/>
          <w:lang w:val="en-US" w:eastAsia="zh-CN"/>
        </w:rPr>
        <w:t xml:space="preserve">, </w:t>
      </w:r>
      <w:r>
        <w:rPr>
          <w:rFonts w:ascii="Times New Roman" w:hAnsi="Times New Roman" w:eastAsia="宋体"/>
          <w:b w:val="0"/>
          <w:i w:val="0"/>
          <w:sz w:val="18"/>
        </w:rPr>
        <w:t>LIU Shouqiang³*</w:t>
      </w:r>
    </w:p>
    <w:p w14:paraId="553507D8">
      <w:pPr>
        <w:spacing w:before="0" w:after="40" w:line="240" w:lineRule="auto"/>
        <w:jc w:val="left"/>
        <w:rPr>
          <w:rFonts w:ascii="Times New Roman" w:hAnsi="Times New Roman" w:eastAsia="宋体"/>
          <w:b w:val="0"/>
          <w:i w:val="0"/>
          <w:sz w:val="18"/>
        </w:rPr>
      </w:pPr>
      <w:r>
        <w:rPr>
          <w:rFonts w:ascii="Times New Roman" w:hAnsi="Times New Roman" w:eastAsia="宋体"/>
          <w:b w:val="0"/>
          <w:i w:val="0"/>
          <w:sz w:val="18"/>
        </w:rPr>
        <w:t>(</w:t>
      </w:r>
      <w:r>
        <w:rPr>
          <w:rFonts w:hint="eastAsia" w:ascii="Times New Roman" w:hAnsi="Times New Roman" w:eastAsia="宋体"/>
          <w:b w:val="0"/>
          <w:i w:val="0"/>
          <w:sz w:val="18"/>
          <w:lang w:val="en-US" w:eastAsia="zh-CN"/>
        </w:rPr>
        <w:t>1.</w:t>
      </w:r>
      <w:r>
        <w:rPr>
          <w:rFonts w:ascii="Times New Roman" w:hAnsi="Times New Roman" w:eastAsia="宋体"/>
          <w:b w:val="0"/>
          <w:i w:val="0"/>
          <w:sz w:val="18"/>
        </w:rPr>
        <w:t>Aberdeen Institute of Data Science and Artificial Intelligence, South China Normal University, Foshan 528225, Guangdong, China)</w:t>
      </w:r>
    </w:p>
    <w:p w14:paraId="0D7DBA6F">
      <w:pPr>
        <w:spacing w:before="0" w:after="40" w:line="240" w:lineRule="auto"/>
        <w:jc w:val="left"/>
        <w:rPr>
          <w:rFonts w:hint="eastAsia" w:ascii="Times New Roman" w:hAnsi="Times New Roman" w:eastAsia="宋体"/>
          <w:b w:val="0"/>
          <w:i w:val="0"/>
          <w:sz w:val="18"/>
          <w:lang w:val="en-US" w:eastAsia="zh-CN"/>
        </w:rPr>
      </w:pPr>
      <w:r>
        <w:rPr>
          <w:rFonts w:hint="eastAsia" w:ascii="Times New Roman" w:hAnsi="Times New Roman" w:eastAsia="宋体"/>
          <w:b w:val="0"/>
          <w:i w:val="0"/>
          <w:sz w:val="18"/>
          <w:lang w:val="en-US" w:eastAsia="zh-CN"/>
        </w:rPr>
        <w:t>(2.</w:t>
      </w:r>
      <w:r>
        <w:rPr>
          <w:rFonts w:ascii="Times New Roman" w:hAnsi="Times New Roman" w:eastAsia="宋体"/>
          <w:b w:val="0"/>
          <w:i w:val="0"/>
          <w:sz w:val="18"/>
        </w:rPr>
        <w:t>School of Computer Science, Guangdong University of Foreign Studies South China Business College, Guangzhou 510545, Guangdong, China</w:t>
      </w:r>
      <w:r>
        <w:rPr>
          <w:rFonts w:hint="eastAsia" w:ascii="Times New Roman" w:hAnsi="Times New Roman" w:eastAsia="宋体"/>
          <w:b w:val="0"/>
          <w:i w:val="0"/>
          <w:sz w:val="18"/>
          <w:lang w:val="en-US" w:eastAsia="zh-CN"/>
        </w:rPr>
        <w:t>)</w:t>
      </w:r>
    </w:p>
    <w:p w14:paraId="783E108E">
      <w:pPr>
        <w:spacing w:before="0" w:after="40" w:line="240" w:lineRule="auto"/>
        <w:jc w:val="left"/>
        <w:rPr>
          <w:rFonts w:ascii="Times New Roman" w:hAnsi="Times New Roman" w:eastAsia="宋体"/>
          <w:b w:val="0"/>
          <w:i w:val="0"/>
          <w:sz w:val="18"/>
        </w:rPr>
      </w:pPr>
      <w:r>
        <w:rPr>
          <w:rFonts w:ascii="Times New Roman" w:hAnsi="Times New Roman" w:eastAsia="宋体"/>
          <w:b w:val="0"/>
          <w:i w:val="0"/>
          <w:sz w:val="18"/>
        </w:rPr>
        <w:t>(</w:t>
      </w:r>
      <w:r>
        <w:rPr>
          <w:rFonts w:hint="eastAsia" w:ascii="Times New Roman" w:hAnsi="Times New Roman" w:eastAsia="宋体"/>
          <w:b w:val="0"/>
          <w:i w:val="0"/>
          <w:sz w:val="18"/>
          <w:lang w:val="en-US" w:eastAsia="zh-CN"/>
        </w:rPr>
        <w:t>3.</w:t>
      </w:r>
      <w:r>
        <w:rPr>
          <w:rFonts w:ascii="Times New Roman" w:hAnsi="Times New Roman" w:eastAsia="宋体"/>
          <w:b w:val="0"/>
          <w:i w:val="0"/>
          <w:sz w:val="18"/>
        </w:rPr>
        <w:t>School of Artificial Intelligence, South China Normal University, Foshan 528225, Guangdong, China)</w:t>
      </w:r>
    </w:p>
    <w:p w14:paraId="275218D3">
      <w:pPr>
        <w:spacing w:before="0" w:after="40" w:line="240" w:lineRule="auto"/>
        <w:jc w:val="center"/>
        <w:rPr>
          <w:rFonts w:ascii="Times New Roman" w:hAnsi="Times New Roman" w:eastAsia="宋体"/>
          <w:b w:val="0"/>
          <w:i w:val="0"/>
          <w:sz w:val="18"/>
        </w:rPr>
      </w:pPr>
    </w:p>
    <w:p w14:paraId="719306D4">
      <w:pPr>
        <w:spacing w:before="0" w:after="60" w:line="240" w:lineRule="auto"/>
        <w:jc w:val="both"/>
        <w:rPr>
          <w:rFonts w:ascii="Times New Roman" w:hAnsi="Times New Roman" w:eastAsia="宋体"/>
          <w:b w:val="0"/>
          <w:i w:val="0"/>
          <w:sz w:val="18"/>
        </w:rPr>
      </w:pPr>
      <w:r>
        <w:rPr>
          <w:rFonts w:ascii="Times New Roman" w:hAnsi="Times New Roman" w:eastAsia="宋体"/>
          <w:b/>
          <w:i w:val="0"/>
          <w:sz w:val="18"/>
        </w:rPr>
        <w:t xml:space="preserve">Abstract: </w:t>
      </w:r>
      <w:r>
        <w:rPr>
          <w:rFonts w:ascii="Times New Roman" w:hAnsi="Times New Roman" w:eastAsia="宋体"/>
          <w:b w:val="0"/>
          <w:i w:val="0"/>
          <w:sz w:val="18"/>
        </w:rPr>
        <w:t>Retrieval-augmented generation (RAG) systems can emit a designated wrong answer under apparently well-supported evidence once their knowledge base is poisoned. Existing poisoning evaluations often report only the dataset, retriever and generator, while rarely disclosing chunking, reranking, candidate populations and gate position, which makes attack success rate (ASR) readings incomparable across implementations. This paper develops a controlled multi-stage RAG poisoning evaluation protocol. With corpus, chunking, retrieval, reranking, candidate budget and threshold calibration fixed, the same training-free lightweight gate probe SafeGate is placed after retrieval (P_ret) and before generation (P_gen), and a simplified pipeline without reranking, a query-overlap single-signal gate and matched random blocking serve as controls. On NQ and HotpotQA with BM25 and BGE dense retrieval, a fixed BGE reranker and the Qwen3-8B generator, 72 main-matrix and 120 control/ablation runs are conducted. Results show that the simplified pipeline yields no-gate ASR 2.2-18.1 percentage points higher, with query-level 95% paired intervals above zero for three dataset-retriever combinations; answer-level ASR and utility drops converge between P_ret and P_gen, yet candidate populations and per-query costs differ, P_gen blocking 0.49-1.49 clean chunks per query versus 2.21-2.57 for P_ret; mean fusion is no worse than the single query-overlap signal in only 4 of 24 comparable rows. Pipeline configuration, gate position, candidate population, metric denominators and security-utility metrics should therefore be jointly reported, and gate position should be treated as an independent evaluation variable rather than an implementation detail.</w:t>
      </w:r>
    </w:p>
    <w:p w14:paraId="6E07F74F">
      <w:pPr>
        <w:spacing w:before="0" w:after="120" w:line="240" w:lineRule="auto"/>
        <w:jc w:val="both"/>
      </w:pPr>
      <w:r>
        <w:rPr>
          <w:rFonts w:ascii="Times New Roman" w:hAnsi="Times New Roman" w:eastAsia="宋体"/>
          <w:b/>
          <w:i w:val="0"/>
          <w:sz w:val="18"/>
        </w:rPr>
        <w:t xml:space="preserve">Key words: </w:t>
      </w:r>
      <w:r>
        <w:rPr>
          <w:rFonts w:ascii="Times New Roman" w:hAnsi="Times New Roman" w:eastAsia="宋体"/>
          <w:b w:val="0"/>
          <w:i w:val="0"/>
          <w:sz w:val="18"/>
        </w:rPr>
        <w:t>retrieval-augmented generation; knowledge-base poisoning; security evaluation; gate position; attack success rate; candidate population</w:t>
      </w:r>
    </w:p>
    <w:p w14:paraId="575E3828">
      <w:pPr>
        <w:spacing w:before="160" w:after="60" w:line="259" w:lineRule="auto"/>
        <w:jc w:val="left"/>
        <w:rPr>
          <w:sz w:val="24"/>
          <w:szCs w:val="24"/>
        </w:rPr>
      </w:pPr>
      <w:r>
        <w:rPr>
          <w:rFonts w:ascii="Times New Roman" w:hAnsi="Times New Roman" w:eastAsia="黑体"/>
          <w:b w:val="0"/>
          <w:i w:val="0"/>
          <w:sz w:val="24"/>
          <w:szCs w:val="24"/>
        </w:rPr>
        <w:t>1  引言</w:t>
      </w:r>
    </w:p>
    <w:p w14:paraId="2F29EF06">
      <w:pPr>
        <w:spacing w:before="0" w:after="0" w:line="259" w:lineRule="auto"/>
        <w:ind w:firstLine="420"/>
        <w:jc w:val="both"/>
        <w:rPr>
          <w:rFonts w:ascii="Times New Roman" w:hAnsi="Times New Roman" w:eastAsia="宋体"/>
          <w:b w:val="0"/>
          <w:i w:val="0"/>
          <w:sz w:val="18"/>
          <w:szCs w:val="18"/>
        </w:rPr>
      </w:pPr>
      <w:r>
        <w:rPr>
          <w:rFonts w:ascii="Times New Roman" w:hAnsi="Times New Roman" w:eastAsia="宋体"/>
          <w:b w:val="0"/>
          <w:i w:val="0"/>
          <w:sz w:val="18"/>
          <w:szCs w:val="18"/>
          <w:lang w:val="en-US" w:eastAsia="zh-CN"/>
        </w:rPr>
        <w:t>检索增强⽣成（RAG）通过将外部语料检索结果引⼊⽣成过程，为知识密集型任务提供可更新的外部依据</w:t>
      </w:r>
      <w:r>
        <w:rPr>
          <w:rFonts w:hint="default" w:ascii="Times New Roman" w:hAnsi="Times New Roman" w:eastAsia="宋体"/>
          <w:b w:val="0"/>
          <w:i w:val="0"/>
          <w:sz w:val="18"/>
          <w:szCs w:val="18"/>
          <w:lang w:val="en-US" w:eastAsia="zh-CN"/>
        </w:rPr>
        <w:t>[1]</w:t>
      </w:r>
      <w:r>
        <w:rPr>
          <w:rFonts w:ascii="Times New Roman" w:hAnsi="Times New Roman" w:eastAsia="宋体"/>
          <w:b w:val="0"/>
          <w:i w:val="0"/>
          <w:sz w:val="18"/>
          <w:szCs w:val="18"/>
          <w:lang w:val="en-US" w:eastAsia="zh-CN"/>
        </w:rPr>
        <w:t>。</w:t>
      </w:r>
      <w:r>
        <w:rPr>
          <w:rFonts w:hint="default" w:ascii="Times New Roman" w:hAnsi="Times New Roman" w:eastAsia="宋体"/>
          <w:b w:val="0"/>
          <w:i w:val="0"/>
          <w:sz w:val="18"/>
          <w:szCs w:val="18"/>
          <w:lang w:val="en-US" w:eastAsia="zh-CN"/>
        </w:rPr>
        <w:t>BEIR</w:t>
      </w:r>
      <w:r>
        <w:rPr>
          <w:rFonts w:ascii="Times New Roman" w:hAnsi="Times New Roman" w:eastAsia="宋体"/>
          <w:b w:val="0"/>
          <w:i w:val="0"/>
          <w:sz w:val="18"/>
          <w:szCs w:val="18"/>
          <w:lang w:val="en-US" w:eastAsia="zh-CN"/>
        </w:rPr>
        <w:t>、</w:t>
      </w:r>
      <w:r>
        <w:rPr>
          <w:rFonts w:hint="default" w:ascii="Times New Roman" w:hAnsi="Times New Roman" w:eastAsia="宋体"/>
          <w:b w:val="0"/>
          <w:i w:val="0"/>
          <w:sz w:val="18"/>
          <w:szCs w:val="18"/>
          <w:lang w:val="en-US" w:eastAsia="zh-CN"/>
        </w:rPr>
        <w:t>NQ</w:t>
      </w:r>
      <w:r>
        <w:rPr>
          <w:rFonts w:ascii="Times New Roman" w:hAnsi="Times New Roman" w:eastAsia="宋体"/>
          <w:b w:val="0"/>
          <w:i w:val="0"/>
          <w:sz w:val="18"/>
          <w:szCs w:val="18"/>
          <w:lang w:val="en-US" w:eastAsia="zh-CN"/>
        </w:rPr>
        <w:t>与</w:t>
      </w:r>
      <w:r>
        <w:rPr>
          <w:rFonts w:hint="default" w:ascii="Times New Roman" w:hAnsi="Times New Roman" w:eastAsia="宋体"/>
          <w:b w:val="0"/>
          <w:i w:val="0"/>
          <w:sz w:val="18"/>
          <w:szCs w:val="18"/>
          <w:lang w:val="en-US" w:eastAsia="zh-CN"/>
        </w:rPr>
        <w:t>HotpotQA</w:t>
      </w:r>
      <w:r>
        <w:rPr>
          <w:rFonts w:ascii="Times New Roman" w:hAnsi="Times New Roman" w:eastAsia="宋体"/>
          <w:b w:val="0"/>
          <w:i w:val="0"/>
          <w:sz w:val="18"/>
          <w:szCs w:val="18"/>
          <w:lang w:val="en-US" w:eastAsia="zh-CN"/>
        </w:rPr>
        <w:t>为检索和问答评测提供了数据与任务基础</w:t>
      </w:r>
      <w:r>
        <w:rPr>
          <w:rFonts w:hint="default" w:ascii="Times New Roman" w:hAnsi="Times New Roman" w:eastAsia="宋体"/>
          <w:b w:val="0"/>
          <w:i w:val="0"/>
          <w:sz w:val="18"/>
          <w:szCs w:val="18"/>
          <w:lang w:val="en-US" w:eastAsia="zh-CN"/>
        </w:rPr>
        <w:t>[2-4]</w:t>
      </w:r>
      <w:r>
        <w:rPr>
          <w:rFonts w:ascii="Times New Roman" w:hAnsi="Times New Roman" w:eastAsia="宋体"/>
          <w:b w:val="0"/>
          <w:i w:val="0"/>
          <w:sz w:val="18"/>
          <w:szCs w:val="18"/>
          <w:lang w:val="en-US" w:eastAsia="zh-CN"/>
        </w:rPr>
        <w:t>，相关综述对</w:t>
      </w:r>
      <w:r>
        <w:rPr>
          <w:rFonts w:hint="default" w:ascii="Times New Roman" w:hAnsi="Times New Roman" w:eastAsia="宋体"/>
          <w:b w:val="0"/>
          <w:i w:val="0"/>
          <w:sz w:val="18"/>
          <w:szCs w:val="18"/>
          <w:lang w:val="en-US" w:eastAsia="zh-CN"/>
        </w:rPr>
        <w:t>RAG</w:t>
      </w:r>
      <w:r>
        <w:rPr>
          <w:rFonts w:ascii="Times New Roman" w:hAnsi="Times New Roman" w:eastAsia="宋体"/>
          <w:b w:val="0"/>
          <w:i w:val="0"/>
          <w:sz w:val="18"/>
          <w:szCs w:val="18"/>
          <w:lang w:val="en-US" w:eastAsia="zh-CN"/>
        </w:rPr>
        <w:t>的主要组成与应⽤进⾏了归纳</w:t>
      </w:r>
      <w:r>
        <w:rPr>
          <w:rFonts w:hint="default" w:ascii="Times New Roman" w:hAnsi="Times New Roman" w:eastAsia="宋体"/>
          <w:b w:val="0"/>
          <w:i w:val="0"/>
          <w:sz w:val="18"/>
          <w:szCs w:val="18"/>
          <w:lang w:val="en-US" w:eastAsia="zh-CN"/>
        </w:rPr>
        <w:t>[5]</w:t>
      </w:r>
      <w:r>
        <w:rPr>
          <w:rFonts w:ascii="Times New Roman" w:hAnsi="Times New Roman" w:eastAsia="宋体"/>
          <w:b w:val="0"/>
          <w:i w:val="0"/>
          <w:sz w:val="18"/>
          <w:szCs w:val="18"/>
          <w:lang w:val="en-US" w:eastAsia="zh-CN"/>
        </w:rPr>
        <w:t xml:space="preserve">。随着检索结果进⼊模型上下⽂，外部知识的完整性也成为系统评测需要考虑的问题。 </w:t>
      </w:r>
    </w:p>
    <w:p w14:paraId="2A12F73B">
      <w:pPr>
        <w:spacing w:before="0" w:after="0" w:line="259" w:lineRule="auto"/>
        <w:ind w:firstLine="420"/>
        <w:jc w:val="both"/>
        <w:rPr>
          <w:rFonts w:ascii="Times New Roman" w:hAnsi="Times New Roman" w:eastAsia="宋体"/>
          <w:b w:val="0"/>
          <w:i w:val="0"/>
          <w:sz w:val="18"/>
          <w:szCs w:val="18"/>
        </w:rPr>
      </w:pPr>
      <w:r>
        <w:rPr>
          <w:rFonts w:hint="default" w:ascii="Times New Roman" w:hAnsi="Times New Roman" w:eastAsia="宋体"/>
          <w:b w:val="0"/>
          <w:i w:val="0"/>
          <w:sz w:val="18"/>
          <w:szCs w:val="18"/>
          <w:lang w:val="en-US" w:eastAsia="zh-CN"/>
        </w:rPr>
        <w:t>RAG</w:t>
      </w:r>
      <w:r>
        <w:rPr>
          <w:rFonts w:ascii="Times New Roman" w:hAnsi="Times New Roman" w:eastAsia="宋体"/>
          <w:b w:val="0"/>
          <w:i w:val="0"/>
          <w:sz w:val="18"/>
          <w:szCs w:val="18"/>
          <w:lang w:val="en-US" w:eastAsia="zh-CN"/>
        </w:rPr>
        <w:t>安全基准与投毒评测研究已关注检索内容被污染后产⽣的安全⻛险</w:t>
      </w:r>
      <w:r>
        <w:rPr>
          <w:rFonts w:hint="default" w:ascii="Times New Roman" w:hAnsi="Times New Roman" w:eastAsia="宋体"/>
          <w:b w:val="0"/>
          <w:i w:val="0"/>
          <w:sz w:val="18"/>
          <w:szCs w:val="18"/>
          <w:lang w:val="en-US" w:eastAsia="zh-CN"/>
        </w:rPr>
        <w:t>[6-7]</w:t>
      </w:r>
      <w:r>
        <w:rPr>
          <w:rFonts w:ascii="Times New Roman" w:hAnsi="Times New Roman" w:eastAsia="宋体"/>
          <w:b w:val="0"/>
          <w:i w:val="0"/>
          <w:sz w:val="18"/>
          <w:szCs w:val="18"/>
          <w:lang w:val="en-US" w:eastAsia="zh-CN"/>
        </w:rPr>
        <w:t>，</w:t>
      </w:r>
      <w:r>
        <w:rPr>
          <w:rFonts w:hint="default" w:ascii="Times New Roman" w:hAnsi="Times New Roman" w:eastAsia="宋体"/>
          <w:b w:val="0"/>
          <w:i w:val="0"/>
          <w:sz w:val="18"/>
          <w:szCs w:val="18"/>
          <w:lang w:val="en-US" w:eastAsia="zh-CN"/>
        </w:rPr>
        <w:t>PoisonedRAG</w:t>
      </w:r>
      <w:r>
        <w:rPr>
          <w:rFonts w:ascii="Times New Roman" w:hAnsi="Times New Roman" w:eastAsia="宋体"/>
          <w:b w:val="0"/>
          <w:i w:val="0"/>
          <w:sz w:val="18"/>
          <w:szCs w:val="18"/>
          <w:lang w:val="en-US" w:eastAsia="zh-CN"/>
        </w:rPr>
        <w:t>及实⽤投毒研究进⼀步考察了攻击者通过知识库内容诱导指定错误答案的能⼒</w:t>
      </w:r>
      <w:r>
        <w:rPr>
          <w:rFonts w:hint="default" w:ascii="Times New Roman" w:hAnsi="Times New Roman" w:eastAsia="宋体"/>
          <w:b w:val="0"/>
          <w:i w:val="0"/>
          <w:sz w:val="18"/>
          <w:szCs w:val="18"/>
          <w:lang w:val="en-US" w:eastAsia="zh-CN"/>
        </w:rPr>
        <w:t>[8-9]</w:t>
      </w:r>
      <w:r>
        <w:rPr>
          <w:rFonts w:ascii="Times New Roman" w:hAnsi="Times New Roman" w:eastAsia="宋体"/>
          <w:b w:val="0"/>
          <w:i w:val="0"/>
          <w:sz w:val="18"/>
          <w:szCs w:val="18"/>
          <w:lang w:val="en-US" w:eastAsia="zh-CN"/>
        </w:rPr>
        <w:t>。已有⼯作也分析了分块、重排、检索深度及语料配置对投毒结果的影响</w:t>
      </w:r>
      <w:r>
        <w:rPr>
          <w:rFonts w:hint="default" w:ascii="Times New Roman" w:hAnsi="Times New Roman" w:eastAsia="宋体"/>
          <w:b w:val="0"/>
          <w:i w:val="0"/>
          <w:sz w:val="18"/>
          <w:szCs w:val="18"/>
          <w:lang w:val="en-US" w:eastAsia="zh-CN"/>
        </w:rPr>
        <w:t>[10-11]</w:t>
      </w:r>
      <w:r>
        <w:rPr>
          <w:rFonts w:ascii="Times New Roman" w:hAnsi="Times New Roman" w:eastAsia="宋体"/>
          <w:b w:val="0"/>
          <w:i w:val="0"/>
          <w:sz w:val="18"/>
          <w:szCs w:val="18"/>
          <w:lang w:val="en-US" w:eastAsia="zh-CN"/>
        </w:rPr>
        <w:t>。因此，本⽂不将</w:t>
      </w:r>
      <w:r>
        <w:rPr>
          <w:rFonts w:hint="default" w:ascii="Times New Roman" w:hAnsi="Times New Roman" w:eastAsia="宋体"/>
          <w:b w:val="0"/>
          <w:i w:val="0"/>
          <w:sz w:val="18"/>
          <w:szCs w:val="18"/>
          <w:lang w:val="en-US" w:eastAsia="zh-CN"/>
        </w:rPr>
        <w:t>“</w:t>
      </w:r>
      <w:r>
        <w:rPr>
          <w:rFonts w:ascii="Times New Roman" w:hAnsi="Times New Roman" w:eastAsia="宋体"/>
          <w:b w:val="0"/>
          <w:i w:val="0"/>
          <w:sz w:val="18"/>
          <w:szCs w:val="18"/>
          <w:lang w:val="en-US" w:eastAsia="zh-CN"/>
        </w:rPr>
        <w:t>管线配置影响攻击结果</w:t>
      </w:r>
      <w:r>
        <w:rPr>
          <w:rFonts w:hint="default" w:ascii="Times New Roman" w:hAnsi="Times New Roman" w:eastAsia="宋体"/>
          <w:b w:val="0"/>
          <w:i w:val="0"/>
          <w:sz w:val="18"/>
          <w:szCs w:val="18"/>
          <w:lang w:val="en-US" w:eastAsia="zh-CN"/>
        </w:rPr>
        <w:t>”</w:t>
      </w:r>
      <w:r>
        <w:rPr>
          <w:rFonts w:ascii="Times New Roman" w:hAnsi="Times New Roman" w:eastAsia="宋体"/>
          <w:b w:val="0"/>
          <w:i w:val="0"/>
          <w:sz w:val="18"/>
          <w:szCs w:val="18"/>
          <w:lang w:val="en-US" w:eastAsia="zh-CN"/>
        </w:rPr>
        <w:t xml:space="preserve">本⾝作为独⽴的新发现，⽽进⼀步考察同⼀评测协议下⻔控部署位置与指标解释之间的关系。 </w:t>
      </w:r>
    </w:p>
    <w:p w14:paraId="290253D5">
      <w:pPr>
        <w:spacing w:before="0" w:after="0" w:line="259" w:lineRule="auto"/>
        <w:ind w:firstLine="420"/>
        <w:jc w:val="both"/>
        <w:rPr>
          <w:sz w:val="18"/>
          <w:szCs w:val="18"/>
        </w:rPr>
      </w:pPr>
      <w:r>
        <w:rPr>
          <w:rFonts w:ascii="Times New Roman" w:hAnsi="Times New Roman" w:eastAsia="宋体"/>
          <w:b w:val="0"/>
          <w:i w:val="0"/>
          <w:sz w:val="18"/>
          <w:szCs w:val="18"/>
          <w:lang w:val="en-US" w:eastAsia="zh-CN"/>
        </w:rPr>
        <w:t>TRIS、</w:t>
      </w:r>
      <w:r>
        <w:rPr>
          <w:rFonts w:hint="default" w:ascii="Times New Roman" w:hAnsi="Times New Roman" w:eastAsia="宋体"/>
          <w:b w:val="0"/>
          <w:i w:val="0"/>
          <w:sz w:val="18"/>
          <w:szCs w:val="18"/>
          <w:lang w:val="en-US" w:eastAsia="zh-CN"/>
        </w:rPr>
        <w:t>RAGSieve</w:t>
      </w:r>
      <w:r>
        <w:rPr>
          <w:rFonts w:hint="eastAsia" w:ascii="Times New Roman" w:hAnsi="Times New Roman" w:eastAsia="宋体"/>
          <w:b w:val="0"/>
          <w:i w:val="0"/>
          <w:sz w:val="18"/>
          <w:szCs w:val="18"/>
          <w:lang w:val="en-US" w:eastAsia="zh-CN"/>
        </w:rPr>
        <w:t>、</w:t>
      </w:r>
      <w:r>
        <w:rPr>
          <w:rFonts w:hint="default" w:ascii="Times New Roman" w:hAnsi="Times New Roman" w:eastAsia="宋体"/>
          <w:b w:val="0"/>
          <w:i w:val="0"/>
          <w:sz w:val="18"/>
          <w:szCs w:val="18"/>
          <w:lang w:val="en-US" w:eastAsia="zh-CN"/>
        </w:rPr>
        <w:t>RevPRAG</w:t>
      </w:r>
      <w:r>
        <w:rPr>
          <w:rFonts w:hint="eastAsia" w:ascii="Times New Roman" w:hAnsi="Times New Roman" w:eastAsia="宋体"/>
          <w:b w:val="0"/>
          <w:i w:val="0"/>
          <w:sz w:val="18"/>
          <w:szCs w:val="18"/>
          <w:lang w:val="en-US" w:eastAsia="zh-CN"/>
        </w:rPr>
        <w:t>、</w:t>
      </w:r>
      <w:r>
        <w:rPr>
          <w:rFonts w:hint="default" w:ascii="Times New Roman" w:hAnsi="Times New Roman" w:eastAsia="宋体"/>
          <w:b w:val="0"/>
          <w:i w:val="0"/>
          <w:sz w:val="18"/>
          <w:szCs w:val="18"/>
          <w:lang w:val="en-US" w:eastAsia="zh-CN"/>
        </w:rPr>
        <w:t>RAGPart/RAGMask</w:t>
      </w:r>
      <w:r>
        <w:rPr>
          <w:rFonts w:hint="eastAsia" w:ascii="Times New Roman" w:hAnsi="Times New Roman" w:eastAsia="宋体"/>
          <w:b w:val="0"/>
          <w:i w:val="0"/>
          <w:sz w:val="18"/>
          <w:szCs w:val="18"/>
          <w:lang w:val="en-US" w:eastAsia="zh-CN"/>
        </w:rPr>
        <w:t>及</w:t>
      </w:r>
      <w:r>
        <w:rPr>
          <w:rFonts w:hint="default" w:ascii="Times New Roman" w:hAnsi="Times New Roman" w:eastAsia="宋体"/>
          <w:b w:val="0"/>
          <w:i w:val="0"/>
          <w:sz w:val="18"/>
          <w:szCs w:val="18"/>
          <w:lang w:val="en-US" w:eastAsia="zh-CN"/>
        </w:rPr>
        <w:t>RobustRAG</w:t>
      </w:r>
      <w:r>
        <w:rPr>
          <w:rFonts w:hint="eastAsia" w:ascii="Times New Roman" w:hAnsi="Times New Roman" w:eastAsia="宋体"/>
          <w:b w:val="0"/>
          <w:i w:val="0"/>
          <w:sz w:val="18"/>
          <w:szCs w:val="18"/>
          <w:lang w:val="en-US" w:eastAsia="zh-CN"/>
        </w:rPr>
        <w:t>从不同环节研究检索内容筛查与稳健生成</w:t>
      </w:r>
      <w:r>
        <w:rPr>
          <w:rFonts w:hint="default" w:ascii="Times New Roman" w:hAnsi="Times New Roman" w:eastAsia="宋体"/>
          <w:b w:val="0"/>
          <w:i w:val="0"/>
          <w:sz w:val="18"/>
          <w:szCs w:val="18"/>
          <w:lang w:val="en-US" w:eastAsia="zh-CN"/>
        </w:rPr>
        <w:t>[12-16]</w:t>
      </w:r>
      <w:r>
        <w:rPr>
          <w:rFonts w:hint="eastAsia" w:ascii="Times New Roman" w:hAnsi="Times New Roman" w:eastAsia="宋体"/>
          <w:b w:val="0"/>
          <w:i w:val="0"/>
          <w:sz w:val="18"/>
          <w:szCs w:val="18"/>
          <w:lang w:val="en-US" w:eastAsia="zh-CN"/>
        </w:rPr>
        <w:t>；中文研究也从大模型安全、领域检索增强生成和文档问答等角度讨论相关应用问题</w:t>
      </w:r>
      <w:r>
        <w:rPr>
          <w:rFonts w:hint="default" w:ascii="Times New Roman" w:hAnsi="Times New Roman" w:eastAsia="宋体"/>
          <w:b w:val="0"/>
          <w:i w:val="0"/>
          <w:sz w:val="18"/>
          <w:szCs w:val="18"/>
          <w:lang w:val="en-US" w:eastAsia="zh-CN"/>
        </w:rPr>
        <w:t>[17-19]</w:t>
      </w:r>
      <w:r>
        <w:rPr>
          <w:rFonts w:hint="eastAsia" w:ascii="Times New Roman" w:hAnsi="Times New Roman" w:eastAsia="宋体"/>
          <w:b w:val="0"/>
          <w:i w:val="0"/>
          <w:sz w:val="18"/>
          <w:szCs w:val="18"/>
          <w:lang w:val="en-US" w:eastAsia="zh-CN"/>
        </w:rPr>
        <w:t>。不同方法的攻击设置、候选范围及计算预算并不一致，本文聚焦同一轻量探针在检索后与生成前的部署比较。</w:t>
      </w:r>
    </w:p>
    <w:p w14:paraId="1EEDB589">
      <w:pPr>
        <w:spacing w:before="0" w:after="0" w:line="259" w:lineRule="auto"/>
        <w:ind w:firstLine="420"/>
        <w:jc w:val="both"/>
        <w:rPr>
          <w:sz w:val="18"/>
          <w:szCs w:val="18"/>
        </w:rPr>
      </w:pPr>
      <w:r>
        <w:rPr>
          <w:rFonts w:ascii="Times New Roman" w:hAnsi="Times New Roman" w:eastAsia="宋体"/>
          <w:b w:val="0"/>
          <w:i w:val="0"/>
          <w:sz w:val="18"/>
          <w:szCs w:val="18"/>
        </w:rPr>
        <w:t>本文在受控多阶段管线中回答2个问题：RQ1，关闭重排的简化管线与包含固定重排器的多阶段管线是否给出不同的无门控ASR估计；RQ2，在统一风险函数下，检索后门控P_ret与生成前门控P_gen如何改变检查范围、块级检出代价与最终答案结果。分块与检索配置在主比较中保持固定，SafeGate仅作为可移动观测对象，不作为新的检测方法提出。</w:t>
      </w:r>
    </w:p>
    <w:p w14:paraId="4EF14227">
      <w:pPr>
        <w:spacing w:before="0" w:after="0" w:line="259" w:lineRule="auto"/>
        <w:ind w:firstLine="420"/>
        <w:jc w:val="both"/>
      </w:pPr>
      <w:r>
        <w:rPr>
          <w:rFonts w:ascii="Times New Roman" w:hAnsi="Times New Roman" w:eastAsia="宋体"/>
          <w:b w:val="0"/>
          <w:i w:val="0"/>
          <w:sz w:val="18"/>
          <w:szCs w:val="18"/>
        </w:rPr>
        <w:t>本文贡献有3点：（1）构建面向知识库投毒的受控多阶段评测协议，将语料来源、分块、检索、重排、候选池、门控位置、回填策略与阈值来源纳入可复现记录；（2）将门控位置作为独立评测变量，比较P_ret与P_gen的候选池、比例指标与每查询操作代价，并报告答案级结果的收敛现象及其边界条件；（3）通过简化管线对照、查询重叠单信号与匹配随机阻断消融，分析管线配置、信号匹配与删块数量对结果解释的影响，并如实保留多信号融合未形成一致优势的负结果。</w:t>
      </w:r>
    </w:p>
    <w:p w14:paraId="56749BC7">
      <w:pPr>
        <w:spacing w:before="160" w:after="60" w:line="259" w:lineRule="auto"/>
        <w:jc w:val="left"/>
      </w:pPr>
      <w:r>
        <w:rPr>
          <w:rFonts w:ascii="Times New Roman" w:hAnsi="Times New Roman" w:eastAsia="黑体"/>
          <w:b w:val="0"/>
          <w:i w:val="0"/>
          <w:sz w:val="24"/>
        </w:rPr>
        <w:t>2  相关工作</w:t>
      </w:r>
    </w:p>
    <w:p w14:paraId="0869FDF8">
      <w:pPr>
        <w:spacing w:before="0" w:after="0" w:line="259" w:lineRule="auto"/>
        <w:ind w:firstLine="420"/>
        <w:jc w:val="both"/>
        <w:rPr>
          <w:sz w:val="18"/>
          <w:szCs w:val="18"/>
        </w:rPr>
      </w:pPr>
      <w:r>
        <w:rPr>
          <w:rFonts w:ascii="Times New Roman" w:hAnsi="Times New Roman" w:eastAsia="宋体"/>
          <w:b w:val="0"/>
          <w:i w:val="0"/>
          <w:sz w:val="18"/>
          <w:szCs w:val="18"/>
          <w:lang w:val="en-US" w:eastAsia="zh-CN"/>
        </w:rPr>
        <w:t>相关工作可从攻击构造、影响因素与防护机制三个角度归纳：PoisonedRAG</w:t>
      </w:r>
      <w:r>
        <w:rPr>
          <w:rFonts w:hint="eastAsia" w:ascii="Times New Roman" w:hAnsi="Times New Roman" w:eastAsia="宋体"/>
          <w:b w:val="0"/>
          <w:i w:val="0"/>
          <w:sz w:val="18"/>
          <w:szCs w:val="18"/>
          <w:lang w:val="en-US" w:eastAsia="zh-CN"/>
        </w:rPr>
        <w:t>与实用投毒研究分别考察了定向知识篡改与实用化投毒</w:t>
      </w:r>
      <w:r>
        <w:rPr>
          <w:rFonts w:hint="default" w:ascii="Times New Roman" w:hAnsi="Times New Roman" w:eastAsia="宋体"/>
          <w:b w:val="0"/>
          <w:i w:val="0"/>
          <w:sz w:val="18"/>
          <w:szCs w:val="18"/>
          <w:lang w:val="en-US" w:eastAsia="zh-CN"/>
        </w:rPr>
        <w:t>[8-9]</w:t>
      </w:r>
      <w:r>
        <w:rPr>
          <w:rFonts w:hint="eastAsia" w:ascii="Times New Roman" w:hAnsi="Times New Roman" w:eastAsia="宋体"/>
          <w:b w:val="0"/>
          <w:i w:val="0"/>
          <w:sz w:val="18"/>
          <w:szCs w:val="18"/>
          <w:lang w:val="en-US" w:eastAsia="zh-CN"/>
        </w:rPr>
        <w:t>；分块、重排、检索深度、语料组成与生成器均会改变投毒结果</w:t>
      </w:r>
      <w:r>
        <w:rPr>
          <w:rFonts w:hint="default" w:ascii="Times New Roman" w:hAnsi="Times New Roman" w:eastAsia="宋体"/>
          <w:b w:val="0"/>
          <w:i w:val="0"/>
          <w:sz w:val="18"/>
          <w:szCs w:val="18"/>
          <w:lang w:val="en-US" w:eastAsia="zh-CN"/>
        </w:rPr>
        <w:t>[10-11]</w:t>
      </w:r>
      <w:r>
        <w:rPr>
          <w:rFonts w:hint="eastAsia" w:ascii="Times New Roman" w:hAnsi="Times New Roman" w:eastAsia="宋体"/>
          <w:b w:val="0"/>
          <w:i w:val="0"/>
          <w:sz w:val="18"/>
          <w:szCs w:val="18"/>
          <w:lang w:val="en-US" w:eastAsia="zh-CN"/>
        </w:rPr>
        <w:t>；</w:t>
      </w:r>
      <w:r>
        <w:rPr>
          <w:rFonts w:hint="default" w:ascii="Times New Roman" w:hAnsi="Times New Roman" w:eastAsia="宋体"/>
          <w:b w:val="0"/>
          <w:i w:val="0"/>
          <w:sz w:val="18"/>
          <w:szCs w:val="18"/>
          <w:lang w:val="en-US" w:eastAsia="zh-CN"/>
        </w:rPr>
        <w:t>TRIS</w:t>
      </w:r>
      <w:r>
        <w:rPr>
          <w:rFonts w:hint="eastAsia" w:ascii="Times New Roman" w:hAnsi="Times New Roman" w:eastAsia="宋体"/>
          <w:b w:val="0"/>
          <w:i w:val="0"/>
          <w:sz w:val="18"/>
          <w:szCs w:val="18"/>
          <w:lang w:val="en-US" w:eastAsia="zh-CN"/>
        </w:rPr>
        <w:t>、</w:t>
      </w:r>
      <w:r>
        <w:rPr>
          <w:rFonts w:hint="default" w:ascii="Times New Roman" w:hAnsi="Times New Roman" w:eastAsia="宋体"/>
          <w:b w:val="0"/>
          <w:i w:val="0"/>
          <w:sz w:val="18"/>
          <w:szCs w:val="18"/>
          <w:lang w:val="en-US" w:eastAsia="zh-CN"/>
        </w:rPr>
        <w:t>RAGSieve</w:t>
      </w:r>
      <w:r>
        <w:rPr>
          <w:rFonts w:hint="eastAsia" w:ascii="Times New Roman" w:hAnsi="Times New Roman" w:eastAsia="宋体"/>
          <w:b w:val="0"/>
          <w:i w:val="0"/>
          <w:sz w:val="18"/>
          <w:szCs w:val="18"/>
          <w:lang w:val="en-US" w:eastAsia="zh-CN"/>
        </w:rPr>
        <w:t>、</w:t>
      </w:r>
      <w:r>
        <w:rPr>
          <w:rFonts w:hint="default" w:ascii="Times New Roman" w:hAnsi="Times New Roman" w:eastAsia="宋体"/>
          <w:b w:val="0"/>
          <w:i w:val="0"/>
          <w:sz w:val="18"/>
          <w:szCs w:val="18"/>
          <w:lang w:val="en-US" w:eastAsia="zh-CN"/>
        </w:rPr>
        <w:t>RevPRAG</w:t>
      </w:r>
      <w:r>
        <w:rPr>
          <w:rFonts w:hint="eastAsia" w:ascii="Times New Roman" w:hAnsi="Times New Roman" w:eastAsia="宋体"/>
          <w:b w:val="0"/>
          <w:i w:val="0"/>
          <w:sz w:val="18"/>
          <w:szCs w:val="18"/>
          <w:lang w:val="en-US" w:eastAsia="zh-CN"/>
        </w:rPr>
        <w:t>、</w:t>
      </w:r>
      <w:r>
        <w:rPr>
          <w:rFonts w:hint="default" w:ascii="Times New Roman" w:hAnsi="Times New Roman" w:eastAsia="宋体"/>
          <w:b w:val="0"/>
          <w:i w:val="0"/>
          <w:sz w:val="18"/>
          <w:szCs w:val="18"/>
          <w:lang w:val="en-US" w:eastAsia="zh-CN"/>
        </w:rPr>
        <w:t>RAGPart/RAGMask</w:t>
      </w:r>
      <w:r>
        <w:rPr>
          <w:rFonts w:hint="eastAsia" w:ascii="Times New Roman" w:hAnsi="Times New Roman" w:eastAsia="宋体"/>
          <w:b w:val="0"/>
          <w:i w:val="0"/>
          <w:sz w:val="18"/>
          <w:szCs w:val="18"/>
          <w:lang w:val="en-US" w:eastAsia="zh-CN"/>
        </w:rPr>
        <w:t>与</w:t>
      </w:r>
      <w:r>
        <w:rPr>
          <w:rFonts w:hint="default" w:ascii="Times New Roman" w:hAnsi="Times New Roman" w:eastAsia="宋体"/>
          <w:b w:val="0"/>
          <w:i w:val="0"/>
          <w:sz w:val="18"/>
          <w:szCs w:val="18"/>
          <w:lang w:val="en-US" w:eastAsia="zh-CN"/>
        </w:rPr>
        <w:t>RobustRAG</w:t>
      </w:r>
      <w:r>
        <w:rPr>
          <w:rFonts w:hint="eastAsia" w:ascii="Times New Roman" w:hAnsi="Times New Roman" w:eastAsia="宋体"/>
          <w:b w:val="0"/>
          <w:i w:val="0"/>
          <w:sz w:val="18"/>
          <w:szCs w:val="18"/>
          <w:lang w:val="en-US" w:eastAsia="zh-CN"/>
        </w:rPr>
        <w:t>分别采用完整性筛查、局部对比、激活分析、检索过滤与隔离</w:t>
      </w:r>
      <w:r>
        <w:rPr>
          <w:rFonts w:hint="default" w:ascii="Times New Roman" w:hAnsi="Times New Roman" w:eastAsia="宋体"/>
          <w:b w:val="0"/>
          <w:i w:val="0"/>
          <w:sz w:val="18"/>
          <w:szCs w:val="18"/>
          <w:lang w:val="en-US" w:eastAsia="zh-CN"/>
        </w:rPr>
        <w:t>—</w:t>
      </w:r>
      <w:r>
        <w:rPr>
          <w:rFonts w:hint="eastAsia" w:ascii="Times New Roman" w:hAnsi="Times New Roman" w:eastAsia="宋体"/>
          <w:b w:val="0"/>
          <w:i w:val="0"/>
          <w:sz w:val="18"/>
          <w:szCs w:val="18"/>
          <w:lang w:val="en-US" w:eastAsia="zh-CN"/>
        </w:rPr>
        <w:t>聚合等机制</w:t>
      </w:r>
      <w:r>
        <w:rPr>
          <w:rFonts w:hint="default" w:ascii="Times New Roman" w:hAnsi="Times New Roman" w:eastAsia="宋体"/>
          <w:b w:val="0"/>
          <w:i w:val="0"/>
          <w:sz w:val="18"/>
          <w:szCs w:val="18"/>
          <w:lang w:val="en-US" w:eastAsia="zh-CN"/>
        </w:rPr>
        <w:t>[12-16]</w:t>
      </w:r>
      <w:r>
        <w:rPr>
          <w:rFonts w:hint="eastAsia" w:ascii="Times New Roman" w:hAnsi="Times New Roman" w:eastAsia="宋体"/>
          <w:b w:val="0"/>
          <w:i w:val="0"/>
          <w:sz w:val="18"/>
          <w:szCs w:val="18"/>
          <w:lang w:val="en-US" w:eastAsia="zh-CN"/>
        </w:rPr>
        <w:t>，其信息需求、运行成本与控制位置存在差异，不能仅凭跨论文数值排名。多数比较仍在不同管线配置下跨论文进行，缺少在同一协议内仅改变门控位置的受控评测。</w:t>
      </w:r>
    </w:p>
    <w:p w14:paraId="3BF0286E">
      <w:pPr>
        <w:spacing w:before="160" w:after="60" w:line="259" w:lineRule="auto"/>
        <w:jc w:val="left"/>
      </w:pPr>
      <w:r>
        <w:rPr>
          <w:rFonts w:ascii="Times New Roman" w:hAnsi="Times New Roman" w:eastAsia="黑体"/>
          <w:b w:val="0"/>
          <w:i w:val="0"/>
          <w:sz w:val="24"/>
        </w:rPr>
        <w:t>3  受控多阶段RAG投毒评测协议</w:t>
      </w:r>
    </w:p>
    <w:p w14:paraId="1FCE48C2">
      <w:pPr>
        <w:spacing w:before="100" w:after="40" w:line="259" w:lineRule="auto"/>
        <w:jc w:val="left"/>
      </w:pPr>
      <w:r>
        <w:rPr>
          <w:rFonts w:ascii="Times New Roman" w:hAnsi="Times New Roman" w:eastAsia="黑体"/>
          <w:b w:val="0"/>
          <w:i w:val="0"/>
          <w:sz w:val="21"/>
        </w:rPr>
        <w:t>3.1  威胁模型</w:t>
      </w:r>
    </w:p>
    <w:p w14:paraId="6F45EDA3">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攻击者的目标是使系统对目标问题输出指定错误答案。攻击者可向外部知识库写入与目标问题关联的文本块（本文按每个问题注入5个毒块），并知道目标问题与公开的检索语义；但不能修改检索器、重排器、生成器、提示模板或SafeGate参数，也不能访问生成器输出、标准答案、投毒标签或模型白盒激活。防御方可在检索后或生成前检查当前阶段可见的候选块，阈值只能由独立的干净校准集确定。该设置属于静态、定向、非自适应的知识库投毒，不覆盖低重叠流畅事实污染、在线反馈攻击、提示注入与生产语料漂移。</w:t>
      </w:r>
    </w:p>
    <w:p w14:paraId="74341794">
      <w:pPr>
        <w:spacing w:before="100" w:after="40" w:line="259" w:lineRule="auto"/>
        <w:jc w:val="left"/>
      </w:pPr>
      <w:r>
        <w:rPr>
          <w:rFonts w:ascii="Times New Roman" w:hAnsi="Times New Roman" w:eastAsia="黑体"/>
          <w:b w:val="0"/>
          <w:i w:val="0"/>
          <w:sz w:val="21"/>
        </w:rPr>
        <w:t>3.2  数据集与管线配置</w:t>
      </w:r>
    </w:p>
    <w:p w14:paraId="59C72D05">
      <w:pPr>
        <w:spacing w:before="0" w:after="0" w:line="259" w:lineRule="auto"/>
        <w:ind w:firstLine="420"/>
        <w:jc w:val="both"/>
      </w:pPr>
      <w:r>
        <w:rPr>
          <w:rFonts w:ascii="Times New Roman" w:hAnsi="Times New Roman" w:eastAsia="宋体"/>
          <w:b w:val="0"/>
          <w:i w:val="0"/>
          <w:sz w:val="18"/>
          <w:szCs w:val="18"/>
          <w:lang w:val="en-US" w:eastAsia="zh-CN"/>
        </w:rPr>
        <w:t>使用NQ（BEIR NQ原始段落语料库）与HotpotQA（本地原始上下文段落）两个问答数据集，均记录语料库、划分与哈希信息；划分使用split_seed=20260905，每个数据集含200条校准问题与300条评测问题，二者互斥。分块采用C128-S32（块长128词元、步长32、最小20词元，标题纳入块文本），NQ语料含2 681 468个文档与2 886 727个干净块，HotpotQA含24 908个文档与29 930个干净块。检索器包含BM25（仓库内固定实现，k1=0.9、b=0.4）与BGE密集向量检索（BAAI/bge-base-en-v1.5），top_m=50；重排器固定为BAAI/bge-reranker-base，K_gen=5；生成器固定为Qwen3-8B，采用确定性解码（temperature=0、do_sample=false、top_p=1.0、max_new_tokens=64）并关闭思考输出。攻击为targeted_template_poison，错误目标答案从同一数据集评测池的其他样本标准答案中抽取，并排除相同、互为子串或明显同义的候选，记录查询、目标答案、模板编号、种子与哈希。</w:t>
      </w:r>
    </w:p>
    <w:p w14:paraId="6872B880">
      <w:pPr>
        <w:spacing w:before="100" w:after="40" w:line="259" w:lineRule="auto"/>
        <w:jc w:val="left"/>
      </w:pPr>
      <w:r>
        <w:rPr>
          <w:rFonts w:ascii="Times New Roman" w:hAnsi="Times New Roman" w:eastAsia="黑体"/>
          <w:b w:val="0"/>
          <w:i w:val="0"/>
          <w:sz w:val="21"/>
        </w:rPr>
        <w:t>3.3  门控位置定义</w:t>
      </w:r>
    </w:p>
    <w:p w14:paraId="6CE164A0">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简化管线与多阶段管线使用相同语料、分块、检索器、top_m、K_gen、生成器与提示模板，受控对照中仅调整BGE重排器的关闭或开启状态。P_ret位于检索top-M之后、重排之前，每个问题固定检查50个检索候选，阻断后仅对剩余候选重排；P_gen位于重排后、提示词组装之前，从重排队列顺序检查候选并回填，直至得到5个通过门控的上下文，因此实际检查数随阻断情况变化。两个位置共享风险函数与干净校准规则，但候选池、检查数量与后续接口不同。</w:t>
      </w:r>
    </w:p>
    <w:p w14:paraId="683BF3D9">
      <w:pPr>
        <w:spacing w:before="100" w:after="40" w:line="259" w:lineRule="auto"/>
        <w:jc w:val="left"/>
      </w:pPr>
      <w:r>
        <w:rPr>
          <w:rFonts w:ascii="Times New Roman" w:hAnsi="Times New Roman" w:eastAsia="黑体"/>
          <w:b w:val="0"/>
          <w:i w:val="0"/>
          <w:sz w:val="21"/>
        </w:rPr>
        <w:t>3.4  评价指标</w:t>
      </w:r>
    </w:p>
    <w:p w14:paraId="72BFAE1F">
      <w:pPr>
        <w:spacing w:before="0" w:after="0" w:line="259" w:lineRule="auto"/>
        <w:ind w:firstLine="420"/>
        <w:jc w:val="both"/>
      </w:pPr>
      <w:r>
        <w:rPr>
          <w:rFonts w:ascii="Times New Roman" w:hAnsi="Times New Roman" w:eastAsia="宋体"/>
          <w:b w:val="0"/>
          <w:i w:val="0"/>
          <w:sz w:val="18"/>
          <w:szCs w:val="18"/>
          <w:lang w:val="en-US" w:eastAsia="zh-CN"/>
        </w:rPr>
        <w:t>答案匹配先进行小写化、去标点、去冠词与空白归一化。Clean EM为生成答案与任一标准答案归一化后完全匹配的比例，Clean F1按词元重叠计算并对同一问题的多个标准答案取最大值，ASR为污染运行中生成答案命中目标错误答案的比例。门控带来的安全收益与效用代价分别定义为</w:t>
      </w:r>
    </w:p>
    <w:p w14:paraId="7369817E">
      <w:pPr>
        <w:spacing w:before="40" w:after="40" w:line="240" w:lineRule="auto"/>
        <w:jc w:val="center"/>
      </w:pPr>
      <m:oMath>
        <m:r>
          <m:rPr>
            <m:sty m:val="p"/>
          </m:rPr>
          <m:t>ASRDrop=</m:t>
        </m:r>
        <m:sSub>
          <m:sSubPr/>
          <m:e>
            <m:r>
              <m:rPr>
                <m:sty m:val="p"/>
              </m:rPr>
              <m:t>ASR</m:t>
            </m:r>
          </m:e>
          <m:sub>
            <m:r>
              <m:rPr>
                <m:sty m:val="p"/>
              </m:rPr>
              <m:t>no</m:t>
            </m:r>
            <m:r>
              <m:rPr>
                <m:nor/>
                <m:sty m:val="p"/>
              </m:rPr>
              <m:t>-</m:t>
            </m:r>
            <m:r>
              <m:rPr>
                <m:sty m:val="p"/>
              </m:rPr>
              <m:t>gate</m:t>
            </m:r>
          </m:sub>
        </m:sSub>
        <m:r>
          <m:rPr>
            <m:sty m:val="p"/>
          </m:rPr>
          <m:t>−</m:t>
        </m:r>
        <m:sSub>
          <m:sSubPr/>
          <m:e>
            <m:r>
              <m:rPr>
                <m:sty m:val="p"/>
              </m:rPr>
              <m:t>ASR</m:t>
            </m:r>
          </m:e>
          <m:sub>
            <m:r>
              <m:rPr>
                <m:sty m:val="p"/>
              </m:rPr>
              <m:t>gate</m:t>
            </m:r>
          </m:sub>
        </m:sSub>
        <m:r>
          <m:rPr>
            <m:sty m:val="p"/>
          </m:rPr>
          <m:t>.</m:t>
        </m:r>
      </m:oMath>
      <w:r>
        <w:rPr>
          <w:rFonts w:ascii="Times New Roman" w:hAnsi="Times New Roman" w:eastAsia="宋体"/>
          <w:b w:val="0"/>
          <w:i w:val="0"/>
          <w:sz w:val="21"/>
        </w:rPr>
        <w:t xml:space="preserve">    (1)</w:t>
      </w:r>
    </w:p>
    <w:p w14:paraId="7158BFDB">
      <w:pPr>
        <w:spacing w:before="40" w:after="40" w:line="240" w:lineRule="auto"/>
        <w:jc w:val="center"/>
      </w:pPr>
      <m:oMath>
        <m:r>
          <m:rPr>
            <m:sty m:val="p"/>
          </m:rPr>
          <m:t>UtilityDrop=</m:t>
        </m:r>
        <m:sSub>
          <m:sSubPr/>
          <m:e>
            <m:r>
              <m:rPr>
                <m:sty m:val="p"/>
              </m:rPr>
              <m:t>CleanF1</m:t>
            </m:r>
          </m:e>
          <m:sub>
            <m:r>
              <m:rPr>
                <m:sty m:val="p"/>
              </m:rPr>
              <m:t>no</m:t>
            </m:r>
            <m:r>
              <m:rPr>
                <m:nor/>
                <m:sty m:val="p"/>
              </m:rPr>
              <m:t>-</m:t>
            </m:r>
            <m:r>
              <m:rPr>
                <m:sty m:val="p"/>
              </m:rPr>
              <m:t>gate</m:t>
            </m:r>
          </m:sub>
        </m:sSub>
        <m:r>
          <m:rPr>
            <m:sty m:val="p"/>
          </m:rPr>
          <m:t>−</m:t>
        </m:r>
        <m:sSub>
          <m:sSubPr/>
          <m:e>
            <m:r>
              <m:rPr>
                <m:sty m:val="p"/>
              </m:rPr>
              <m:t>CleanF1</m:t>
            </m:r>
          </m:e>
          <m:sub>
            <m:r>
              <m:rPr>
                <m:sty m:val="p"/>
              </m:rPr>
              <m:t>gate</m:t>
            </m:r>
          </m:sub>
        </m:sSub>
        <m:r>
          <m:rPr>
            <m:sty m:val="p"/>
          </m:rPr>
          <m:t>.</m:t>
        </m:r>
      </m:oMath>
      <w:r>
        <w:rPr>
          <w:rFonts w:ascii="Times New Roman" w:hAnsi="Times New Roman" w:eastAsia="宋体"/>
          <w:b w:val="0"/>
          <w:i w:val="0"/>
          <w:sz w:val="21"/>
        </w:rPr>
        <w:t xml:space="preserve">    (2)</w:t>
      </w:r>
    </w:p>
    <w:p w14:paraId="1F95037D">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块级检测指标TPR与FPR分别为门控输入中被阻断的毒块占比与被阻断的干净块占比。由于P_ret与P_gen的门控输入数量不同，本文同时报告每查询检查块数、误拦干净块数与拦截毒块数，不将不同分母上的TPR/FPR直接解释为位置优劣。协议结构与两个门控位置见图1。</w:t>
      </w:r>
    </w:p>
    <w:p w14:paraId="22192A43">
      <w:pPr>
        <w:spacing w:before="80" w:after="20" w:line="240" w:lineRule="auto"/>
        <w:jc w:val="center"/>
      </w:pPr>
      <w:r>
        <w:rPr>
          <w:rFonts w:hint="eastAsia" w:ascii="Times New Roman" w:hAnsi="Times New Roman" w:eastAsia="黑体"/>
          <w:b/>
          <w:sz w:val="24"/>
          <w:lang w:eastAsia="zh-CN"/>
        </w:rPr>
        <w:drawing>
          <wp:inline distT="0" distB="0" distL="114300" distR="114300">
            <wp:extent cx="3632835" cy="1495425"/>
            <wp:effectExtent l="0" t="0" r="9525" b="0"/>
            <wp:docPr id="7" name="图片 7" descr="图1 受控多阶段 RAG 投毒评测协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1 受控多阶段 RAG 投毒评测协议"/>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3632835" cy="1495425"/>
                    </a:xfrm>
                    <a:prstGeom prst="rect">
                      <a:avLst/>
                    </a:prstGeom>
                  </pic:spPr>
                </pic:pic>
              </a:graphicData>
            </a:graphic>
          </wp:inline>
        </w:drawing>
      </w:r>
    </w:p>
    <w:p w14:paraId="5EAC2A15">
      <w:pPr>
        <w:spacing w:before="80" w:after="40" w:line="240" w:lineRule="auto"/>
        <w:jc w:val="center"/>
        <w:rPr>
          <w:rFonts w:ascii="Times New Roman" w:hAnsi="Times New Roman" w:eastAsia="宋体"/>
          <w:b w:val="0"/>
          <w:i w:val="0"/>
          <w:sz w:val="18"/>
        </w:rPr>
      </w:pPr>
      <w:r>
        <w:rPr>
          <w:rFonts w:ascii="Times New Roman" w:hAnsi="Times New Roman" w:eastAsia="宋体"/>
          <w:b w:val="0"/>
          <w:i w:val="0"/>
          <w:sz w:val="18"/>
        </w:rPr>
        <w:t>图1  受控多阶段RAG投毒评测协议</w:t>
      </w:r>
    </w:p>
    <w:p w14:paraId="4EFB28D8">
      <w:pPr>
        <w:spacing w:before="80" w:after="40" w:line="240" w:lineRule="auto"/>
        <w:jc w:val="center"/>
        <w:rPr>
          <w:rFonts w:ascii="Times New Roman" w:hAnsi="Times New Roman" w:eastAsia="宋体"/>
          <w:b w:val="0"/>
          <w:i w:val="0"/>
          <w:sz w:val="18"/>
        </w:rPr>
      </w:pPr>
      <w:r>
        <w:rPr>
          <w:rFonts w:ascii="Times New Roman" w:hAnsi="Times New Roman" w:eastAsia="宋体"/>
          <w:b w:val="0"/>
          <w:i w:val="0"/>
          <w:sz w:val="18"/>
          <w:lang w:val="en-US" w:eastAsia="zh-CN"/>
        </w:rPr>
        <w:t>Fig. 1 Controlled evaluation protocol for poisoning in multi</w:t>
      </w:r>
      <w:r>
        <w:rPr>
          <w:rFonts w:hint="default" w:ascii="Times New Roman" w:hAnsi="Times New Roman" w:eastAsia="宋体"/>
          <w:b w:val="0"/>
          <w:i w:val="0"/>
          <w:sz w:val="18"/>
          <w:lang w:val="en-US" w:eastAsia="zh-CN"/>
        </w:rPr>
        <w:t>stage RAG</w:t>
      </w:r>
    </w:p>
    <w:p w14:paraId="5013F945">
      <w:pPr>
        <w:spacing w:before="0" w:after="0" w:line="240" w:lineRule="auto"/>
        <w:ind w:firstLine="360"/>
        <w:jc w:val="both"/>
        <w:rPr>
          <w:rFonts w:hint="eastAsia" w:ascii="Times New Roman" w:hAnsi="Times New Roman" w:eastAsia="宋体"/>
          <w:b w:val="0"/>
          <w:i w:val="0"/>
          <w:sz w:val="18"/>
        </w:rPr>
      </w:pPr>
      <w:r>
        <w:rPr>
          <w:rFonts w:hint="eastAsia" w:ascii="Times New Roman" w:hAnsi="Times New Roman" w:eastAsia="宋体"/>
          <w:b w:val="0"/>
          <w:i w:val="0"/>
          <w:sz w:val="18"/>
        </w:rPr>
        <w:t>图1说明：干净语料与定向模板投毒共同进入检索阶段；同一SafeGate探针分别置于检索后（P_ret）与生成前（P_gen）</w:t>
      </w:r>
    </w:p>
    <w:p w14:paraId="14FF5683">
      <w:pPr>
        <w:spacing w:before="160" w:after="60" w:line="259" w:lineRule="auto"/>
        <w:jc w:val="left"/>
      </w:pPr>
      <w:r>
        <w:rPr>
          <w:rFonts w:ascii="Times New Roman" w:hAnsi="Times New Roman" w:eastAsia="黑体"/>
          <w:b w:val="0"/>
          <w:i w:val="0"/>
          <w:sz w:val="24"/>
        </w:rPr>
        <w:t>4  可移动轻量门控探针SafeGate</w:t>
      </w:r>
    </w:p>
    <w:p w14:paraId="0A9C612C">
      <w:pPr>
        <w:spacing w:before="100" w:after="40" w:line="259" w:lineRule="auto"/>
        <w:jc w:val="left"/>
      </w:pPr>
      <w:r>
        <w:rPr>
          <w:rFonts w:ascii="Times New Roman" w:hAnsi="Times New Roman" w:eastAsia="黑体"/>
          <w:b w:val="0"/>
          <w:i w:val="0"/>
          <w:sz w:val="21"/>
        </w:rPr>
        <w:t>4.1  输入与风险信号</w:t>
      </w:r>
    </w:p>
    <w:p w14:paraId="6F2A3C43">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SafeGate在本文中是可移动轻量评测探针/基线对象，输入为问题文本、当前门控位置可见的候选块与在干净校准候选上估计的统计量，</w:t>
      </w:r>
      <w:r>
        <w:rPr>
          <w:rFonts w:hint="eastAsia" w:ascii="Times New Roman" w:hAnsi="Times New Roman" w:eastAsia="宋体"/>
          <w:b w:val="0"/>
          <w:i w:val="0"/>
          <w:sz w:val="18"/>
          <w:szCs w:val="18"/>
          <w:lang w:val="en-US" w:eastAsia="zh-CN"/>
        </w:rPr>
        <w:t>输出为风险分数与放行/阻断二值动作</w:t>
      </w:r>
      <w:r>
        <w:rPr>
          <w:rFonts w:ascii="Times New Roman" w:hAnsi="Times New Roman" w:eastAsia="宋体"/>
          <w:b w:val="0"/>
          <w:i w:val="0"/>
          <w:sz w:val="18"/>
          <w:szCs w:val="18"/>
          <w:lang w:val="en-US" w:eastAsia="zh-CN"/>
        </w:rPr>
        <w:t>；不使用投毒标签、标准答案、生成器输出或后续阶段不可见信息，阈值只由干净校准候选确定、不反向调参。该可见信息边界使P_ret与P_gen的比较更接近协议变量比较。探针使用4个在两个位置均可计算的启发式风险信号，均以干净校准中位数与四分位距标准化，分别定义为</w:t>
      </w:r>
    </w:p>
    <w:p w14:paraId="0CF9B9B5">
      <w:pPr>
        <w:spacing w:before="40" w:after="40" w:line="240" w:lineRule="auto"/>
        <w:jc w:val="center"/>
      </w:pPr>
      <m:oMath>
        <m:sSub>
          <m:sSubPr/>
          <m:e>
            <m:r>
              <m:rPr/>
              <m:t>s</m:t>
            </m:r>
          </m:e>
          <m:sub>
            <m:r>
              <m:rPr/>
              <m:t>1</m:t>
            </m:r>
          </m:sub>
        </m:sSub>
        <m:r>
          <m:rPr>
            <m:sty m:val="p"/>
          </m:rPr>
          <m:t>(</m:t>
        </m:r>
        <m:r>
          <m:rPr/>
          <m:t>q</m:t>
        </m:r>
        <m:r>
          <m:rPr>
            <m:sty m:val="p"/>
          </m:rPr>
          <m:t>,</m:t>
        </m:r>
        <m:r>
          <m:rPr/>
          <m:t>c</m:t>
        </m:r>
        <m:r>
          <m:rPr>
            <m:sty m:val="p"/>
          </m:rPr>
          <m:t>)=cos(</m:t>
        </m:r>
        <m:r>
          <m:rPr/>
          <m:t>E</m:t>
        </m:r>
        <m:r>
          <m:rPr>
            <m:sty m:val="p"/>
          </m:rPr>
          <m:t>(</m:t>
        </m:r>
        <m:r>
          <m:rPr/>
          <m:t>q</m:t>
        </m:r>
        <m:r>
          <m:rPr>
            <m:sty m:val="p"/>
          </m:rPr>
          <m:t>),</m:t>
        </m:r>
        <m:r>
          <m:rPr/>
          <m:t>E</m:t>
        </m:r>
        <m:r>
          <m:rPr>
            <m:sty m:val="p"/>
          </m:rPr>
          <m:t>(</m:t>
        </m:r>
        <m:r>
          <m:rPr/>
          <m:t>c</m:t>
        </m:r>
        <m:r>
          <m:rPr>
            <m:sty m:val="p"/>
          </m:rPr>
          <m:t>)),</m:t>
        </m:r>
        <m:r>
          <m:rPr/>
          <m:t> </m:t>
        </m:r>
        <m:sSub>
          <m:sSubPr/>
          <m:e>
            <m:r>
              <m:rPr/>
              <m:t>f</m:t>
            </m:r>
          </m:e>
          <m:sub>
            <m:r>
              <m:rPr/>
              <m:t>1</m:t>
            </m:r>
          </m:sub>
        </m:sSub>
        <m:r>
          <m:rPr>
            <m:sty m:val="p"/>
          </m:rPr>
          <m:t>=ReLU</m:t>
        </m:r>
        <m:d>
          <m:dPr>
            <m:sepChr m:val=""/>
          </m:dPr>
          <m:e>
            <m:f>
              <m:fPr/>
              <m:num>
                <m:sSub>
                  <m:sSubPr/>
                  <m:e>
                    <m:r>
                      <m:rPr/>
                      <m:t>s</m:t>
                    </m:r>
                  </m:e>
                  <m:sub>
                    <m:r>
                      <m:rPr/>
                      <m:t>1</m:t>
                    </m:r>
                  </m:sub>
                </m:sSub>
                <m:r>
                  <m:rPr>
                    <m:sty m:val="p"/>
                  </m:rPr>
                  <m:t>−</m:t>
                </m:r>
                <m:sSub>
                  <m:sSubPr/>
                  <m:e>
                    <m:r>
                      <m:rPr>
                        <m:sty m:val="p"/>
                      </m:rPr>
                      <m:t>median</m:t>
                    </m:r>
                  </m:e>
                  <m:sub>
                    <m:r>
                      <m:rPr>
                        <m:sty m:val="p"/>
                      </m:rPr>
                      <m:t>clean</m:t>
                    </m:r>
                  </m:sub>
                </m:sSub>
                <m:r>
                  <m:rPr>
                    <m:sty m:val="p"/>
                  </m:rPr>
                  <m:t>(</m:t>
                </m:r>
                <m:sSub>
                  <m:sSubPr/>
                  <m:e>
                    <m:r>
                      <m:rPr/>
                      <m:t>s</m:t>
                    </m:r>
                  </m:e>
                  <m:sub>
                    <m:r>
                      <m:rPr/>
                      <m:t>1</m:t>
                    </m:r>
                  </m:sub>
                </m:sSub>
                <m:r>
                  <m:rPr>
                    <m:sty m:val="p"/>
                  </m:rPr>
                  <m:t>)</m:t>
                </m:r>
              </m:num>
              <m:den>
                <m:r>
                  <m:rPr>
                    <m:sty m:val="p"/>
                  </m:rPr>
                  <m:t>max(</m:t>
                </m:r>
                <m:sSub>
                  <m:sSubPr/>
                  <m:e>
                    <m:r>
                      <m:rPr>
                        <m:sty m:val="p"/>
                      </m:rPr>
                      <m:t>IQR</m:t>
                    </m:r>
                  </m:e>
                  <m:sub>
                    <m:r>
                      <m:rPr>
                        <m:sty m:val="p"/>
                      </m:rPr>
                      <m:t>clean</m:t>
                    </m:r>
                  </m:sub>
                </m:sSub>
                <m:r>
                  <m:rPr>
                    <m:sty m:val="p"/>
                  </m:rPr>
                  <m:t>(</m:t>
                </m:r>
                <m:sSub>
                  <m:sSubPr/>
                  <m:e>
                    <m:r>
                      <m:rPr/>
                      <m:t>s</m:t>
                    </m:r>
                  </m:e>
                  <m:sub>
                    <m:r>
                      <m:rPr/>
                      <m:t>1</m:t>
                    </m:r>
                  </m:sub>
                </m:sSub>
                <m:r>
                  <m:rPr>
                    <m:sty m:val="p"/>
                  </m:rPr>
                  <m:t>),</m:t>
                </m:r>
                <m:sSup>
                  <m:sSupPr/>
                  <m:e>
                    <m:r>
                      <m:rPr/>
                      <m:t>10</m:t>
                    </m:r>
                  </m:e>
                  <m:sup>
                    <m:r>
                      <m:rPr>
                        <m:sty m:val="p"/>
                      </m:rPr>
                      <m:t>−</m:t>
                    </m:r>
                    <m:r>
                      <m:rPr/>
                      <m:t>6</m:t>
                    </m:r>
                  </m:sup>
                </m:sSup>
                <m:r>
                  <m:rPr>
                    <m:sty m:val="p"/>
                  </m:rPr>
                  <m:t>)</m:t>
                </m:r>
              </m:den>
            </m:f>
          </m:e>
        </m:d>
        <m:r>
          <m:rPr>
            <m:sty m:val="p"/>
          </m:rPr>
          <m:t>.</m:t>
        </m:r>
      </m:oMath>
      <w:r>
        <w:rPr>
          <w:rFonts w:ascii="Times New Roman" w:hAnsi="Times New Roman" w:eastAsia="宋体"/>
          <w:b w:val="0"/>
          <w:i w:val="0"/>
          <w:sz w:val="21"/>
        </w:rPr>
        <w:t xml:space="preserve">    (3)</w:t>
      </w:r>
    </w:p>
    <w:p w14:paraId="06CEF1AB">
      <w:pPr>
        <w:spacing w:before="40" w:after="40" w:line="240" w:lineRule="auto"/>
        <w:jc w:val="center"/>
      </w:pPr>
      <m:oMath>
        <m:sSub>
          <m:sSubPr/>
          <m:e>
            <m:r>
              <m:rPr/>
              <m:t>s</m:t>
            </m:r>
          </m:e>
          <m:sub>
            <m:r>
              <m:rPr/>
              <m:t>2</m:t>
            </m:r>
          </m:sub>
        </m:sSub>
        <m:r>
          <m:rPr>
            <m:sty m:val="p"/>
          </m:rPr>
          <m:t>(</m:t>
        </m:r>
        <m:r>
          <m:rPr/>
          <m:t>q</m:t>
        </m:r>
        <m:r>
          <m:rPr>
            <m:sty m:val="p"/>
          </m:rPr>
          <m:t>,</m:t>
        </m:r>
        <m:r>
          <m:rPr/>
          <m:t>c</m:t>
        </m:r>
        <m:r>
          <m:rPr>
            <m:sty m:val="p"/>
          </m:rPr>
          <m:t>)=</m:t>
        </m:r>
        <m:f>
          <m:fPr/>
          <m:num>
            <m:r>
              <m:rPr>
                <m:sty m:val="p"/>
              </m:rPr>
              <m:t>|</m:t>
            </m:r>
            <m:r>
              <m:rPr/>
              <m:t>W</m:t>
            </m:r>
            <m:r>
              <m:rPr>
                <m:sty m:val="p"/>
              </m:rPr>
              <m:t>(</m:t>
            </m:r>
            <m:r>
              <m:rPr/>
              <m:t>q</m:t>
            </m:r>
            <m:r>
              <m:rPr>
                <m:sty m:val="p"/>
              </m:rPr>
              <m:t>)∩</m:t>
            </m:r>
            <m:r>
              <m:rPr/>
              <m:t>W</m:t>
            </m:r>
            <m:r>
              <m:rPr>
                <m:sty m:val="p"/>
              </m:rPr>
              <m:t>(</m:t>
            </m:r>
            <m:r>
              <m:rPr/>
              <m:t>c</m:t>
            </m:r>
            <m:r>
              <m:rPr>
                <m:sty m:val="p"/>
              </m:rPr>
              <m:t>)|</m:t>
            </m:r>
          </m:num>
          <m:den>
            <m:r>
              <m:rPr>
                <m:sty m:val="p"/>
              </m:rPr>
              <m:t>max(</m:t>
            </m:r>
            <m:r>
              <m:rPr/>
              <m:t>1</m:t>
            </m:r>
            <m:r>
              <m:rPr>
                <m:sty m:val="p"/>
              </m:rPr>
              <m:t>,|</m:t>
            </m:r>
            <m:r>
              <m:rPr/>
              <m:t>W</m:t>
            </m:r>
            <m:r>
              <m:rPr>
                <m:sty m:val="p"/>
              </m:rPr>
              <m:t>(</m:t>
            </m:r>
            <m:r>
              <m:rPr/>
              <m:t>q</m:t>
            </m:r>
            <m:r>
              <m:rPr>
                <m:sty m:val="p"/>
              </m:rPr>
              <m:t>)|)</m:t>
            </m:r>
          </m:den>
        </m:f>
        <m:r>
          <m:rPr>
            <m:sty m:val="p"/>
          </m:rPr>
          <m:t>,</m:t>
        </m:r>
        <m:r>
          <m:rPr/>
          <m:t> </m:t>
        </m:r>
        <m:sSub>
          <m:sSubPr/>
          <m:e>
            <m:r>
              <m:rPr/>
              <m:t>f</m:t>
            </m:r>
          </m:e>
          <m:sub>
            <m:r>
              <m:rPr/>
              <m:t>2</m:t>
            </m:r>
          </m:sub>
        </m:sSub>
        <m:r>
          <m:rPr>
            <m:sty m:val="p"/>
          </m:rPr>
          <m:t>=ReLU</m:t>
        </m:r>
        <m:d>
          <m:dPr>
            <m:sepChr m:val=""/>
          </m:dPr>
          <m:e>
            <m:f>
              <m:fPr/>
              <m:num>
                <m:sSub>
                  <m:sSubPr/>
                  <m:e>
                    <m:r>
                      <m:rPr/>
                      <m:t>s</m:t>
                    </m:r>
                  </m:e>
                  <m:sub>
                    <m:r>
                      <m:rPr/>
                      <m:t>2</m:t>
                    </m:r>
                  </m:sub>
                </m:sSub>
                <m:r>
                  <m:rPr>
                    <m:sty m:val="p"/>
                  </m:rPr>
                  <m:t>−</m:t>
                </m:r>
                <m:sSub>
                  <m:sSubPr/>
                  <m:e>
                    <m:r>
                      <m:rPr>
                        <m:sty m:val="p"/>
                      </m:rPr>
                      <m:t>median</m:t>
                    </m:r>
                  </m:e>
                  <m:sub>
                    <m:r>
                      <m:rPr>
                        <m:sty m:val="p"/>
                      </m:rPr>
                      <m:t>clean</m:t>
                    </m:r>
                  </m:sub>
                </m:sSub>
                <m:r>
                  <m:rPr>
                    <m:sty m:val="p"/>
                  </m:rPr>
                  <m:t>(</m:t>
                </m:r>
                <m:sSub>
                  <m:sSubPr/>
                  <m:e>
                    <m:r>
                      <m:rPr/>
                      <m:t>s</m:t>
                    </m:r>
                  </m:e>
                  <m:sub>
                    <m:r>
                      <m:rPr/>
                      <m:t>2</m:t>
                    </m:r>
                  </m:sub>
                </m:sSub>
                <m:r>
                  <m:rPr>
                    <m:sty m:val="p"/>
                  </m:rPr>
                  <m:t>)</m:t>
                </m:r>
              </m:num>
              <m:den>
                <m:r>
                  <m:rPr>
                    <m:sty m:val="p"/>
                  </m:rPr>
                  <m:t>max(</m:t>
                </m:r>
                <m:sSub>
                  <m:sSubPr/>
                  <m:e>
                    <m:r>
                      <m:rPr>
                        <m:sty m:val="p"/>
                      </m:rPr>
                      <m:t>IQR</m:t>
                    </m:r>
                  </m:e>
                  <m:sub>
                    <m:r>
                      <m:rPr>
                        <m:sty m:val="p"/>
                      </m:rPr>
                      <m:t>clean</m:t>
                    </m:r>
                  </m:sub>
                </m:sSub>
                <m:r>
                  <m:rPr>
                    <m:sty m:val="p"/>
                  </m:rPr>
                  <m:t>(</m:t>
                </m:r>
                <m:sSub>
                  <m:sSubPr/>
                  <m:e>
                    <m:r>
                      <m:rPr/>
                      <m:t>s</m:t>
                    </m:r>
                  </m:e>
                  <m:sub>
                    <m:r>
                      <m:rPr/>
                      <m:t>2</m:t>
                    </m:r>
                  </m:sub>
                </m:sSub>
                <m:r>
                  <m:rPr>
                    <m:sty m:val="p"/>
                  </m:rPr>
                  <m:t>),</m:t>
                </m:r>
                <m:sSup>
                  <m:sSupPr/>
                  <m:e>
                    <m:r>
                      <m:rPr/>
                      <m:t>10</m:t>
                    </m:r>
                  </m:e>
                  <m:sup>
                    <m:r>
                      <m:rPr>
                        <m:sty m:val="p"/>
                      </m:rPr>
                      <m:t>−</m:t>
                    </m:r>
                    <m:r>
                      <m:rPr/>
                      <m:t>6</m:t>
                    </m:r>
                  </m:sup>
                </m:sSup>
                <m:r>
                  <m:rPr>
                    <m:sty m:val="p"/>
                  </m:rPr>
                  <m:t>)</m:t>
                </m:r>
              </m:den>
            </m:f>
          </m:e>
        </m:d>
        <m:r>
          <m:rPr>
            <m:sty m:val="p"/>
          </m:rPr>
          <m:t>.</m:t>
        </m:r>
      </m:oMath>
      <w:r>
        <w:rPr>
          <w:rFonts w:ascii="Times New Roman" w:hAnsi="Times New Roman" w:eastAsia="宋体"/>
          <w:b w:val="0"/>
          <w:i w:val="0"/>
          <w:sz w:val="21"/>
        </w:rPr>
        <w:t xml:space="preserve">    (4)</w:t>
      </w:r>
    </w:p>
    <w:p w14:paraId="7BCBF126">
      <w:pPr>
        <w:spacing w:before="40" w:after="40" w:line="240" w:lineRule="auto"/>
        <w:jc w:val="center"/>
      </w:pPr>
      <m:oMath>
        <m:sSub>
          <m:sSubPr/>
          <m:e>
            <m:r>
              <m:rPr/>
              <m:t>s</m:t>
            </m:r>
          </m:e>
          <m:sub>
            <m:r>
              <m:rPr/>
              <m:t>3</m:t>
            </m:r>
          </m:sub>
        </m:sSub>
        <m:r>
          <m:rPr>
            <m:sty m:val="p"/>
          </m:rPr>
          <m:t>(</m:t>
        </m:r>
        <m:r>
          <m:rPr/>
          <m:t>c</m:t>
        </m:r>
        <m:r>
          <m:rPr>
            <m:sty m:val="p"/>
          </m:rPr>
          <m:t>)=</m:t>
        </m:r>
        <m:r>
          <m:rPr/>
          <m:t>1</m:t>
        </m:r>
        <m:r>
          <m:rPr>
            <m:sty m:val="p"/>
          </m:rPr>
          <m:t>−cos(</m:t>
        </m:r>
        <m:r>
          <m:rPr/>
          <m:t>E</m:t>
        </m:r>
        <m:r>
          <m:rPr>
            <m:sty m:val="p"/>
          </m:rPr>
          <m:t>(</m:t>
        </m:r>
        <m:r>
          <m:rPr/>
          <m:t>c</m:t>
        </m:r>
        <m:r>
          <m:rPr>
            <m:sty m:val="p"/>
          </m:rPr>
          <m:t>),</m:t>
        </m:r>
        <m:sSub>
          <m:sSubPr/>
          <m:e>
            <m:r>
              <m:rPr>
                <m:sty m:val="p"/>
              </m:rPr>
              <m:t>centroid</m:t>
            </m:r>
          </m:e>
          <m:sub>
            <m:r>
              <m:rPr>
                <m:sty m:val="p"/>
              </m:rPr>
              <m:t>clean</m:t>
            </m:r>
          </m:sub>
        </m:sSub>
        <m:r>
          <m:rPr>
            <m:sty m:val="p"/>
          </m:rPr>
          <m:t>),</m:t>
        </m:r>
        <m:r>
          <m:rPr/>
          <m:t> </m:t>
        </m:r>
        <m:sSub>
          <m:sSubPr/>
          <m:e>
            <m:r>
              <m:rPr/>
              <m:t>f</m:t>
            </m:r>
          </m:e>
          <m:sub>
            <m:r>
              <m:rPr/>
              <m:t>3</m:t>
            </m:r>
          </m:sub>
        </m:sSub>
        <m:r>
          <m:rPr>
            <m:sty m:val="p"/>
          </m:rPr>
          <m:t>=ReLU</m:t>
        </m:r>
        <m:d>
          <m:dPr>
            <m:sepChr m:val=""/>
          </m:dPr>
          <m:e>
            <m:f>
              <m:fPr/>
              <m:num>
                <m:sSub>
                  <m:sSubPr/>
                  <m:e>
                    <m:r>
                      <m:rPr/>
                      <m:t>s</m:t>
                    </m:r>
                  </m:e>
                  <m:sub>
                    <m:r>
                      <m:rPr/>
                      <m:t>3</m:t>
                    </m:r>
                  </m:sub>
                </m:sSub>
                <m:r>
                  <m:rPr>
                    <m:sty m:val="p"/>
                  </m:rPr>
                  <m:t>−</m:t>
                </m:r>
                <m:sSub>
                  <m:sSubPr/>
                  <m:e>
                    <m:r>
                      <m:rPr>
                        <m:sty m:val="p"/>
                      </m:rPr>
                      <m:t>median</m:t>
                    </m:r>
                  </m:e>
                  <m:sub>
                    <m:r>
                      <m:rPr>
                        <m:sty m:val="p"/>
                      </m:rPr>
                      <m:t>clean</m:t>
                    </m:r>
                  </m:sub>
                </m:sSub>
                <m:r>
                  <m:rPr>
                    <m:sty m:val="p"/>
                  </m:rPr>
                  <m:t>(</m:t>
                </m:r>
                <m:sSub>
                  <m:sSubPr/>
                  <m:e>
                    <m:r>
                      <m:rPr/>
                      <m:t>s</m:t>
                    </m:r>
                  </m:e>
                  <m:sub>
                    <m:r>
                      <m:rPr/>
                      <m:t>3</m:t>
                    </m:r>
                  </m:sub>
                </m:sSub>
                <m:r>
                  <m:rPr>
                    <m:sty m:val="p"/>
                  </m:rPr>
                  <m:t>)</m:t>
                </m:r>
              </m:num>
              <m:den>
                <m:r>
                  <m:rPr>
                    <m:sty m:val="p"/>
                  </m:rPr>
                  <m:t>max(</m:t>
                </m:r>
                <m:sSub>
                  <m:sSubPr/>
                  <m:e>
                    <m:r>
                      <m:rPr>
                        <m:sty m:val="p"/>
                      </m:rPr>
                      <m:t>IQR</m:t>
                    </m:r>
                  </m:e>
                  <m:sub>
                    <m:r>
                      <m:rPr>
                        <m:sty m:val="p"/>
                      </m:rPr>
                      <m:t>clean</m:t>
                    </m:r>
                  </m:sub>
                </m:sSub>
                <m:r>
                  <m:rPr>
                    <m:sty m:val="p"/>
                  </m:rPr>
                  <m:t>(</m:t>
                </m:r>
                <m:sSub>
                  <m:sSubPr/>
                  <m:e>
                    <m:r>
                      <m:rPr/>
                      <m:t>s</m:t>
                    </m:r>
                  </m:e>
                  <m:sub>
                    <m:r>
                      <m:rPr/>
                      <m:t>3</m:t>
                    </m:r>
                  </m:sub>
                </m:sSub>
                <m:r>
                  <m:rPr>
                    <m:sty m:val="p"/>
                  </m:rPr>
                  <m:t>),</m:t>
                </m:r>
                <m:sSup>
                  <m:sSupPr/>
                  <m:e>
                    <m:r>
                      <m:rPr/>
                      <m:t>10</m:t>
                    </m:r>
                  </m:e>
                  <m:sup>
                    <m:r>
                      <m:rPr>
                        <m:sty m:val="p"/>
                      </m:rPr>
                      <m:t>−</m:t>
                    </m:r>
                    <m:r>
                      <m:rPr/>
                      <m:t>6</m:t>
                    </m:r>
                  </m:sup>
                </m:sSup>
                <m:r>
                  <m:rPr>
                    <m:sty m:val="p"/>
                  </m:rPr>
                  <m:t>)</m:t>
                </m:r>
              </m:den>
            </m:f>
          </m:e>
        </m:d>
        <m:r>
          <m:rPr>
            <m:sty m:val="p"/>
          </m:rPr>
          <m:t>.</m:t>
        </m:r>
      </m:oMath>
      <w:r>
        <w:rPr>
          <w:rFonts w:ascii="Times New Roman" w:hAnsi="Times New Roman" w:eastAsia="宋体"/>
          <w:b w:val="0"/>
          <w:i w:val="0"/>
          <w:sz w:val="21"/>
        </w:rPr>
        <w:t xml:space="preserve">    (5)</w:t>
      </w:r>
    </w:p>
    <w:p w14:paraId="539444B9">
      <w:pPr>
        <w:spacing w:before="40" w:after="40" w:line="240" w:lineRule="auto"/>
        <w:jc w:val="center"/>
      </w:pPr>
      <m:oMath>
        <m:sSub>
          <m:sSubPr/>
          <m:e>
            <m:r>
              <m:rPr/>
              <m:t>s</m:t>
            </m:r>
          </m:e>
          <m:sub>
            <m:r>
              <m:rPr/>
              <m:t>4</m:t>
            </m:r>
          </m:sub>
        </m:sSub>
        <m:r>
          <m:rPr>
            <m:sty m:val="p"/>
          </m:rPr>
          <m:t>(</m:t>
        </m:r>
        <m:r>
          <m:rPr/>
          <m:t>c</m:t>
        </m:r>
        <m:r>
          <m:rPr>
            <m:sty m:val="p"/>
          </m:rPr>
          <m:t>)=</m:t>
        </m:r>
        <m:r>
          <m:rPr/>
          <m:t>1</m:t>
        </m:r>
        <m:r>
          <m:rPr>
            <m:sty m:val="p"/>
          </m:rPr>
          <m:t>−</m:t>
        </m:r>
        <m:f>
          <m:fPr/>
          <m:num>
            <m:sSub>
              <m:sSubPr/>
              <m:e>
                <m:r>
                  <m:rPr/>
                  <m:t>u</m:t>
                </m:r>
              </m:e>
              <m:sub>
                <m:r>
                  <m:rPr/>
                  <m:t>3</m:t>
                </m:r>
              </m:sub>
            </m:sSub>
            <m:r>
              <m:rPr>
                <m:sty m:val="p"/>
              </m:rPr>
              <m:t>(</m:t>
            </m:r>
            <m:r>
              <m:rPr/>
              <m:t>c</m:t>
            </m:r>
            <m:r>
              <m:rPr>
                <m:sty m:val="p"/>
              </m:rPr>
              <m:t>)</m:t>
            </m:r>
          </m:num>
          <m:den>
            <m:r>
              <m:rPr>
                <m:sty m:val="p"/>
              </m:rPr>
              <m:t>max(</m:t>
            </m:r>
            <m:r>
              <m:rPr/>
              <m:t>1</m:t>
            </m:r>
            <m:r>
              <m:rPr>
                <m:sty m:val="p"/>
              </m:rPr>
              <m:t>,</m:t>
            </m:r>
            <m:sSub>
              <m:sSubPr/>
              <m:e>
                <m:r>
                  <m:rPr/>
                  <m:t>t</m:t>
                </m:r>
              </m:e>
              <m:sub>
                <m:r>
                  <m:rPr/>
                  <m:t>3</m:t>
                </m:r>
              </m:sub>
            </m:sSub>
            <m:r>
              <m:rPr>
                <m:sty m:val="p"/>
              </m:rPr>
              <m:t>(</m:t>
            </m:r>
            <m:r>
              <m:rPr/>
              <m:t>c</m:t>
            </m:r>
            <m:r>
              <m:rPr>
                <m:sty m:val="p"/>
              </m:rPr>
              <m:t>))</m:t>
            </m:r>
          </m:den>
        </m:f>
        <m:r>
          <m:rPr>
            <m:sty m:val="p"/>
          </m:rPr>
          <m:t>,</m:t>
        </m:r>
        <m:r>
          <m:rPr/>
          <m:t> </m:t>
        </m:r>
        <m:sSub>
          <m:sSubPr/>
          <m:e>
            <m:r>
              <m:rPr/>
              <m:t>f</m:t>
            </m:r>
          </m:e>
          <m:sub>
            <m:r>
              <m:rPr/>
              <m:t>4</m:t>
            </m:r>
          </m:sub>
        </m:sSub>
        <m:r>
          <m:rPr>
            <m:sty m:val="p"/>
          </m:rPr>
          <m:t>=ReLU</m:t>
        </m:r>
        <m:d>
          <m:dPr>
            <m:sepChr m:val=""/>
          </m:dPr>
          <m:e>
            <m:f>
              <m:fPr/>
              <m:num>
                <m:sSub>
                  <m:sSubPr/>
                  <m:e>
                    <m:r>
                      <m:rPr/>
                      <m:t>s</m:t>
                    </m:r>
                  </m:e>
                  <m:sub>
                    <m:r>
                      <m:rPr/>
                      <m:t>4</m:t>
                    </m:r>
                  </m:sub>
                </m:sSub>
                <m:r>
                  <m:rPr>
                    <m:sty m:val="p"/>
                  </m:rPr>
                  <m:t>−</m:t>
                </m:r>
                <m:sSub>
                  <m:sSubPr/>
                  <m:e>
                    <m:r>
                      <m:rPr>
                        <m:sty m:val="p"/>
                      </m:rPr>
                      <m:t>median</m:t>
                    </m:r>
                  </m:e>
                  <m:sub>
                    <m:r>
                      <m:rPr>
                        <m:sty m:val="p"/>
                      </m:rPr>
                      <m:t>clean</m:t>
                    </m:r>
                  </m:sub>
                </m:sSub>
                <m:r>
                  <m:rPr>
                    <m:sty m:val="p"/>
                  </m:rPr>
                  <m:t>(</m:t>
                </m:r>
                <m:sSub>
                  <m:sSubPr/>
                  <m:e>
                    <m:r>
                      <m:rPr/>
                      <m:t>s</m:t>
                    </m:r>
                  </m:e>
                  <m:sub>
                    <m:r>
                      <m:rPr/>
                      <m:t>4</m:t>
                    </m:r>
                  </m:sub>
                </m:sSub>
                <m:r>
                  <m:rPr>
                    <m:sty m:val="p"/>
                  </m:rPr>
                  <m:t>)</m:t>
                </m:r>
              </m:num>
              <m:den>
                <m:r>
                  <m:rPr>
                    <m:sty m:val="p"/>
                  </m:rPr>
                  <m:t>max(</m:t>
                </m:r>
                <m:sSub>
                  <m:sSubPr/>
                  <m:e>
                    <m:r>
                      <m:rPr>
                        <m:sty m:val="p"/>
                      </m:rPr>
                      <m:t>IQR</m:t>
                    </m:r>
                  </m:e>
                  <m:sub>
                    <m:r>
                      <m:rPr>
                        <m:sty m:val="p"/>
                      </m:rPr>
                      <m:t>clean</m:t>
                    </m:r>
                  </m:sub>
                </m:sSub>
                <m:r>
                  <m:rPr>
                    <m:sty m:val="p"/>
                  </m:rPr>
                  <m:t>(</m:t>
                </m:r>
                <m:sSub>
                  <m:sSubPr/>
                  <m:e>
                    <m:r>
                      <m:rPr/>
                      <m:t>s</m:t>
                    </m:r>
                  </m:e>
                  <m:sub>
                    <m:r>
                      <m:rPr/>
                      <m:t>4</m:t>
                    </m:r>
                  </m:sub>
                </m:sSub>
                <m:r>
                  <m:rPr>
                    <m:sty m:val="p"/>
                  </m:rPr>
                  <m:t>),</m:t>
                </m:r>
                <m:sSup>
                  <m:sSupPr/>
                  <m:e>
                    <m:r>
                      <m:rPr/>
                      <m:t>10</m:t>
                    </m:r>
                  </m:e>
                  <m:sup>
                    <m:r>
                      <m:rPr>
                        <m:sty m:val="p"/>
                      </m:rPr>
                      <m:t>−</m:t>
                    </m:r>
                    <m:r>
                      <m:rPr/>
                      <m:t>6</m:t>
                    </m:r>
                  </m:sup>
                </m:sSup>
                <m:r>
                  <m:rPr>
                    <m:sty m:val="p"/>
                  </m:rPr>
                  <m:t>)</m:t>
                </m:r>
              </m:den>
            </m:f>
          </m:e>
        </m:d>
        <m:r>
          <m:rPr>
            <m:sty m:val="p"/>
          </m:rPr>
          <m:t>.</m:t>
        </m:r>
      </m:oMath>
      <w:r>
        <w:rPr>
          <w:rFonts w:ascii="Times New Roman" w:hAnsi="Times New Roman" w:eastAsia="宋体"/>
          <w:b w:val="0"/>
          <w:i w:val="0"/>
          <w:sz w:val="21"/>
        </w:rPr>
        <w:t xml:space="preserve">    (6)</w:t>
      </w:r>
    </w:p>
    <w:p w14:paraId="54ACD9C4">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主版本采用无训练均值融合</w:t>
      </w:r>
    </w:p>
    <w:p w14:paraId="22729CE2">
      <w:pPr>
        <w:spacing w:before="40" w:after="40" w:line="240" w:lineRule="auto"/>
        <w:jc w:val="center"/>
      </w:pPr>
      <m:oMath>
        <m:r>
          <m:rPr/>
          <m:t>r</m:t>
        </m:r>
        <m:r>
          <m:rPr>
            <m:sty m:val="p"/>
          </m:rPr>
          <m:t>(</m:t>
        </m:r>
        <m:r>
          <m:rPr/>
          <m:t>q</m:t>
        </m:r>
        <m:r>
          <m:rPr>
            <m:sty m:val="p"/>
          </m:rPr>
          <m:t>,</m:t>
        </m:r>
        <m:r>
          <m:rPr/>
          <m:t>c</m:t>
        </m:r>
        <m:r>
          <m:rPr>
            <m:sty m:val="p"/>
          </m:rPr>
          <m:t>)=</m:t>
        </m:r>
        <m:r>
          <m:rPr/>
          <m:t>mean</m:t>
        </m:r>
        <m:r>
          <m:rPr>
            <m:sty m:val="p"/>
          </m:rPr>
          <m:t>(</m:t>
        </m:r>
        <m:sSub>
          <m:sSubPr/>
          <m:e>
            <m:r>
              <m:rPr/>
              <m:t>f</m:t>
            </m:r>
          </m:e>
          <m:sub>
            <m:r>
              <m:rPr/>
              <m:t>1</m:t>
            </m:r>
          </m:sub>
        </m:sSub>
        <m:r>
          <m:rPr>
            <m:sty m:val="p"/>
          </m:rPr>
          <m:t>(</m:t>
        </m:r>
        <m:r>
          <m:rPr/>
          <m:t>q</m:t>
        </m:r>
        <m:r>
          <m:rPr>
            <m:sty m:val="p"/>
          </m:rPr>
          <m:t>,</m:t>
        </m:r>
        <m:r>
          <m:rPr/>
          <m:t>c</m:t>
        </m:r>
        <m:r>
          <m:rPr>
            <m:sty m:val="p"/>
          </m:rPr>
          <m:t>),</m:t>
        </m:r>
        <m:sSub>
          <m:sSubPr/>
          <m:e>
            <m:r>
              <m:rPr/>
              <m:t>f</m:t>
            </m:r>
          </m:e>
          <m:sub>
            <m:r>
              <m:rPr/>
              <m:t>2</m:t>
            </m:r>
          </m:sub>
        </m:sSub>
        <m:r>
          <m:rPr>
            <m:sty m:val="p"/>
          </m:rPr>
          <m:t>(</m:t>
        </m:r>
        <m:r>
          <m:rPr/>
          <m:t>q</m:t>
        </m:r>
        <m:r>
          <m:rPr>
            <m:sty m:val="p"/>
          </m:rPr>
          <m:t>,</m:t>
        </m:r>
        <m:r>
          <m:rPr/>
          <m:t>c</m:t>
        </m:r>
        <m:r>
          <m:rPr>
            <m:sty m:val="p"/>
          </m:rPr>
          <m:t>),</m:t>
        </m:r>
        <m:sSub>
          <m:sSubPr/>
          <m:e>
            <m:r>
              <m:rPr/>
              <m:t>f</m:t>
            </m:r>
          </m:e>
          <m:sub>
            <m:r>
              <m:rPr/>
              <m:t>3</m:t>
            </m:r>
          </m:sub>
        </m:sSub>
        <m:r>
          <m:rPr>
            <m:sty m:val="p"/>
          </m:rPr>
          <m:t>(</m:t>
        </m:r>
        <m:r>
          <m:rPr/>
          <m:t>c</m:t>
        </m:r>
        <m:r>
          <m:rPr>
            <m:sty m:val="p"/>
          </m:rPr>
          <m:t>),</m:t>
        </m:r>
        <m:sSub>
          <m:sSubPr/>
          <m:e>
            <m:r>
              <m:rPr/>
              <m:t>f</m:t>
            </m:r>
          </m:e>
          <m:sub>
            <m:r>
              <m:rPr/>
              <m:t>4</m:t>
            </m:r>
          </m:sub>
        </m:sSub>
        <m:r>
          <m:rPr>
            <m:sty m:val="p"/>
          </m:rPr>
          <m:t>(</m:t>
        </m:r>
        <m:r>
          <m:rPr/>
          <m:t>c</m:t>
        </m:r>
        <m:r>
          <m:rPr>
            <m:sty m:val="p"/>
          </m:rPr>
          <m:t>)).</m:t>
        </m:r>
      </m:oMath>
      <w:r>
        <w:rPr>
          <w:rFonts w:ascii="Times New Roman" w:hAnsi="Times New Roman" w:eastAsia="宋体"/>
          <w:b w:val="0"/>
          <w:i w:val="0"/>
          <w:sz w:val="21"/>
        </w:rPr>
        <w:t xml:space="preserve">    (7)</w:t>
      </w:r>
    </w:p>
    <w:p w14:paraId="069136D9">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这些信号只用于构造可复现的风险分数，不能被解释为毒块的充分判别条件：高相似度或高重叠度也可能来自正常证据，低重复度的隐蔽投毒也可能绕过该类信号。</w:t>
      </w:r>
    </w:p>
    <w:p w14:paraId="129D1339">
      <w:pPr>
        <w:spacing w:before="100" w:after="40" w:line="259" w:lineRule="auto"/>
        <w:jc w:val="left"/>
      </w:pPr>
      <w:r>
        <w:rPr>
          <w:rFonts w:ascii="Times New Roman" w:hAnsi="Times New Roman" w:eastAsia="黑体"/>
          <w:b w:val="0"/>
          <w:i w:val="0"/>
          <w:sz w:val="21"/>
        </w:rPr>
        <w:t>4.2  阈值、动作与流程</w:t>
      </w:r>
    </w:p>
    <w:p w14:paraId="674E7C9C">
      <w:pPr>
        <w:spacing w:before="0" w:after="0" w:line="259" w:lineRule="auto"/>
        <w:ind w:firstLine="420"/>
        <w:jc w:val="both"/>
      </w:pPr>
      <w:r>
        <w:rPr>
          <w:rFonts w:ascii="Times New Roman" w:hAnsi="Times New Roman" w:eastAsia="宋体"/>
          <w:b w:val="0"/>
          <w:i w:val="0"/>
          <w:sz w:val="18"/>
          <w:szCs w:val="18"/>
          <w:lang w:val="en-US" w:eastAsia="zh-CN"/>
        </w:rPr>
        <w:t>在干净校准候选上取α_block=0.05对应的经验分位数作为阻断阈值τ_block</w:t>
      </w:r>
      <w:r>
        <w:rPr>
          <w:rFonts w:hint="eastAsia" w:ascii="Times New Roman" w:hAnsi="Times New Roman" w:eastAsia="宋体"/>
          <w:b w:val="0"/>
          <w:i w:val="0"/>
          <w:sz w:val="18"/>
          <w:szCs w:val="18"/>
          <w:lang w:val="en-US" w:eastAsia="zh-CN"/>
        </w:rPr>
        <w:t>：当</w:t>
      </w:r>
      <w:r>
        <w:rPr>
          <w:rFonts w:ascii="Times New Roman" w:hAnsi="Times New Roman" w:eastAsia="宋体"/>
          <w:b w:val="0"/>
          <w:i w:val="0"/>
          <w:sz w:val="18"/>
          <w:szCs w:val="18"/>
          <w:lang w:val="en-US" w:eastAsia="zh-CN"/>
        </w:rPr>
        <w:t>r(q,c)&gt;τ_block时阻断</w:t>
      </w:r>
      <w:r>
        <w:rPr>
          <w:rFonts w:hint="eastAsia" w:ascii="Times New Roman" w:hAnsi="Times New Roman" w:eastAsia="宋体"/>
          <w:b w:val="0"/>
          <w:i w:val="0"/>
          <w:sz w:val="18"/>
          <w:szCs w:val="18"/>
          <w:lang w:val="en-US" w:eastAsia="zh-CN"/>
        </w:rPr>
        <w:t>该候选块，</w:t>
      </w:r>
      <w:r>
        <w:rPr>
          <w:rFonts w:ascii="Times New Roman" w:hAnsi="Times New Roman" w:eastAsia="宋体"/>
          <w:b w:val="0"/>
          <w:i w:val="0"/>
          <w:sz w:val="18"/>
          <w:szCs w:val="18"/>
          <w:lang w:val="en-US" w:eastAsia="zh-CN"/>
        </w:rPr>
        <w:t>否则放行。单信号消融使用查询重叠信号f_2作为唯一分数，用于检验融合是否带来一致收益；主实验在3个攻击种子间复用同一校准配置，攻击种子不参与阈值估计。算法1给出打分与门控流程。</w:t>
      </w:r>
    </w:p>
    <w:p w14:paraId="0D34B557">
      <w:pPr>
        <w:spacing w:before="80" w:after="40" w:line="240" w:lineRule="auto"/>
        <w:jc w:val="center"/>
        <w:rPr>
          <w:rFonts w:ascii="Times New Roman" w:hAnsi="Times New Roman" w:eastAsia="黑体"/>
          <w:b w:val="0"/>
          <w:i w:val="0"/>
          <w:sz w:val="18"/>
        </w:rPr>
      </w:pPr>
      <w:r>
        <w:rPr>
          <w:rFonts w:ascii="Times New Roman" w:hAnsi="Times New Roman" w:eastAsia="黑体"/>
          <w:b w:val="0"/>
          <w:i w:val="0"/>
          <w:sz w:val="18"/>
        </w:rPr>
        <w:t>算法1  SafeGate风险打分与门控流程</w:t>
      </w:r>
    </w:p>
    <w:p w14:paraId="18F8087A">
      <w:pPr>
        <w:spacing w:before="80" w:after="40" w:line="240" w:lineRule="auto"/>
        <w:jc w:val="center"/>
        <w:rPr>
          <w:rFonts w:ascii="Times New Roman" w:hAnsi="Times New Roman" w:eastAsia="黑体"/>
          <w:b w:val="0"/>
          <w:i w:val="0"/>
          <w:sz w:val="18"/>
        </w:rPr>
      </w:pPr>
      <w:r>
        <w:rPr>
          <w:rFonts w:ascii="Times New Roman" w:hAnsi="Times New Roman" w:eastAsia="黑体"/>
          <w:b w:val="0"/>
          <w:i w:val="0"/>
          <w:sz w:val="18"/>
          <w:lang w:val="en-US" w:eastAsia="zh-CN"/>
        </w:rPr>
        <w:t>Algorithm 1 SafeGate risk scoring and gating procedure</w:t>
      </w:r>
    </w:p>
    <w:tbl>
      <w:tblPr>
        <w:tblStyle w:val="20"/>
        <w:tblW w:w="0" w:type="auto"/>
        <w:jc w:val="center"/>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4819"/>
        <w:gridCol w:w="4819"/>
      </w:tblGrid>
      <w:tr w14:paraId="6DA28438">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907" w:type="dxa"/>
          </w:tcPr>
          <w:p w14:paraId="53006633">
            <w:pPr>
              <w:spacing w:before="20" w:after="20" w:line="240" w:lineRule="auto"/>
              <w:jc w:val="center"/>
            </w:pPr>
            <w:r>
              <w:rPr>
                <w:rFonts w:ascii="Times New Roman" w:hAnsi="Times New Roman" w:eastAsia="黑体"/>
                <w:b w:val="0"/>
                <w:i w:val="0"/>
                <w:sz w:val="18"/>
              </w:rPr>
              <w:t>步骤</w:t>
            </w:r>
          </w:p>
        </w:tc>
        <w:tc>
          <w:tcPr>
            <w:tcW w:w="8164" w:type="dxa"/>
          </w:tcPr>
          <w:p w14:paraId="11560981">
            <w:pPr>
              <w:spacing w:before="20" w:after="20" w:line="240" w:lineRule="auto"/>
              <w:jc w:val="center"/>
            </w:pPr>
            <w:r>
              <w:rPr>
                <w:rFonts w:ascii="Times New Roman" w:hAnsi="Times New Roman" w:eastAsia="黑体"/>
                <w:b w:val="0"/>
                <w:i w:val="0"/>
                <w:sz w:val="18"/>
              </w:rPr>
              <w:t>操作</w:t>
            </w:r>
          </w:p>
        </w:tc>
      </w:tr>
      <w:tr w14:paraId="2F4F9296">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907" w:type="dxa"/>
          </w:tcPr>
          <w:p w14:paraId="6E8975FA">
            <w:pPr>
              <w:spacing w:before="20" w:after="20" w:line="240" w:lineRule="auto"/>
              <w:jc w:val="center"/>
            </w:pPr>
            <w:r>
              <w:rPr>
                <w:rFonts w:ascii="Times New Roman" w:hAnsi="Times New Roman" w:eastAsia="宋体"/>
                <w:b w:val="0"/>
                <w:i w:val="0"/>
                <w:sz w:val="18"/>
              </w:rPr>
              <w:t>1</w:t>
            </w:r>
          </w:p>
        </w:tc>
        <w:tc>
          <w:tcPr>
            <w:tcW w:w="8164" w:type="dxa"/>
          </w:tcPr>
          <w:p w14:paraId="43440C33">
            <w:pPr>
              <w:spacing w:before="20" w:after="20" w:line="240" w:lineRule="auto"/>
              <w:jc w:val="center"/>
            </w:pPr>
            <w:r>
              <w:rPr>
                <w:rFonts w:ascii="Times New Roman" w:hAnsi="Times New Roman" w:eastAsia="宋体"/>
                <w:b w:val="0"/>
                <w:i w:val="0"/>
                <w:sz w:val="18"/>
              </w:rPr>
              <w:t>输入问题q、有序候选集合C、干净校准统计量C_stats与阻断阈值τ_block，初始化保留集合S为空</w:t>
            </w:r>
          </w:p>
        </w:tc>
      </w:tr>
      <w:tr w14:paraId="436CA8B7">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907" w:type="dxa"/>
          </w:tcPr>
          <w:p w14:paraId="5DAFD062">
            <w:pPr>
              <w:spacing w:before="20" w:after="20" w:line="240" w:lineRule="auto"/>
              <w:jc w:val="center"/>
            </w:pPr>
            <w:r>
              <w:rPr>
                <w:rFonts w:ascii="Times New Roman" w:hAnsi="Times New Roman" w:eastAsia="宋体"/>
                <w:b w:val="0"/>
                <w:i w:val="0"/>
                <w:sz w:val="18"/>
              </w:rPr>
              <w:t>2</w:t>
            </w:r>
          </w:p>
        </w:tc>
        <w:tc>
          <w:tcPr>
            <w:tcW w:w="8164" w:type="dxa"/>
          </w:tcPr>
          <w:p w14:paraId="5977AB9A">
            <w:pPr>
              <w:spacing w:before="20" w:after="20" w:line="240" w:lineRule="auto"/>
              <w:jc w:val="center"/>
            </w:pPr>
            <w:r>
              <w:rPr>
                <w:rFonts w:ascii="Times New Roman" w:hAnsi="Times New Roman" w:eastAsia="宋体"/>
                <w:b w:val="0"/>
                <w:i w:val="0"/>
                <w:sz w:val="18"/>
              </w:rPr>
              <w:t>对每个候选块计算查询相似度、查询重叠度、语料距离与表面重复度的ReLU标准分</w:t>
            </w:r>
          </w:p>
        </w:tc>
      </w:tr>
      <w:tr w14:paraId="3007A376">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907" w:type="dxa"/>
          </w:tcPr>
          <w:p w14:paraId="733D9A78">
            <w:pPr>
              <w:spacing w:before="20" w:after="20" w:line="240" w:lineRule="auto"/>
              <w:jc w:val="center"/>
            </w:pPr>
            <w:r>
              <w:rPr>
                <w:rFonts w:ascii="Times New Roman" w:hAnsi="Times New Roman" w:eastAsia="宋体"/>
                <w:b w:val="0"/>
                <w:i w:val="0"/>
                <w:sz w:val="18"/>
              </w:rPr>
              <w:t>3</w:t>
            </w:r>
          </w:p>
        </w:tc>
        <w:tc>
          <w:tcPr>
            <w:tcW w:w="8164" w:type="dxa"/>
          </w:tcPr>
          <w:p w14:paraId="00981E43">
            <w:pPr>
              <w:spacing w:before="20" w:after="20" w:line="240" w:lineRule="auto"/>
              <w:jc w:val="center"/>
            </w:pPr>
            <w:r>
              <w:rPr>
                <w:rFonts w:ascii="Times New Roman" w:hAnsi="Times New Roman" w:eastAsia="宋体"/>
                <w:b w:val="0"/>
                <w:i w:val="0"/>
                <w:sz w:val="18"/>
              </w:rPr>
              <w:t>计算4个信号的均值风险分数r(q,c)</w:t>
            </w:r>
          </w:p>
        </w:tc>
      </w:tr>
      <w:tr w14:paraId="28078004">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907" w:type="dxa"/>
          </w:tcPr>
          <w:p w14:paraId="6A284818">
            <w:pPr>
              <w:spacing w:before="20" w:after="20" w:line="240" w:lineRule="auto"/>
              <w:jc w:val="center"/>
            </w:pPr>
            <w:r>
              <w:rPr>
                <w:rFonts w:ascii="Times New Roman" w:hAnsi="Times New Roman" w:eastAsia="宋体"/>
                <w:b w:val="0"/>
                <w:i w:val="0"/>
                <w:sz w:val="18"/>
              </w:rPr>
              <w:t>4</w:t>
            </w:r>
          </w:p>
        </w:tc>
        <w:tc>
          <w:tcPr>
            <w:tcW w:w="8164" w:type="dxa"/>
          </w:tcPr>
          <w:p w14:paraId="6EC60335">
            <w:pPr>
              <w:spacing w:before="20" w:after="20" w:line="240" w:lineRule="auto"/>
              <w:jc w:val="center"/>
            </w:pPr>
            <w:r>
              <w:rPr>
                <w:rFonts w:ascii="Times New Roman" w:hAnsi="Times New Roman" w:eastAsia="宋体"/>
                <w:b w:val="0"/>
                <w:i w:val="0"/>
                <w:sz w:val="18"/>
              </w:rPr>
              <w:t>若r(q,c)&gt;τ_block则阻断该块，否则加入保留集合S</w:t>
            </w:r>
          </w:p>
        </w:tc>
      </w:tr>
      <w:tr w14:paraId="5DEA9057">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907" w:type="dxa"/>
          </w:tcPr>
          <w:p w14:paraId="093D5D1C">
            <w:pPr>
              <w:spacing w:before="20" w:after="20" w:line="240" w:lineRule="auto"/>
              <w:jc w:val="center"/>
            </w:pPr>
            <w:r>
              <w:rPr>
                <w:rFonts w:ascii="Times New Roman" w:hAnsi="Times New Roman" w:eastAsia="宋体"/>
                <w:b w:val="0"/>
                <w:i w:val="0"/>
                <w:sz w:val="18"/>
              </w:rPr>
              <w:t>5</w:t>
            </w:r>
          </w:p>
        </w:tc>
        <w:tc>
          <w:tcPr>
            <w:tcW w:w="8164" w:type="dxa"/>
          </w:tcPr>
          <w:p w14:paraId="24B52AB7">
            <w:pPr>
              <w:spacing w:before="20" w:after="20" w:line="240" w:lineRule="auto"/>
              <w:jc w:val="center"/>
            </w:pPr>
            <w:r>
              <w:rPr>
                <w:rFonts w:ascii="Times New Roman" w:hAnsi="Times New Roman" w:eastAsia="宋体"/>
                <w:b w:val="0"/>
                <w:i w:val="0"/>
                <w:sz w:val="18"/>
              </w:rPr>
              <w:t>P_ret将剩余候选送入重排器；P_gen继续扫描重排队列直至获得K_gen=5个通过候选</w:t>
            </w:r>
          </w:p>
        </w:tc>
      </w:tr>
      <w:tr w14:paraId="2BA1695D">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907" w:type="dxa"/>
          </w:tcPr>
          <w:p w14:paraId="06BAFA18">
            <w:pPr>
              <w:spacing w:before="20" w:after="20" w:line="240" w:lineRule="auto"/>
              <w:jc w:val="center"/>
            </w:pPr>
            <w:r>
              <w:rPr>
                <w:rFonts w:ascii="Times New Roman" w:hAnsi="Times New Roman" w:eastAsia="宋体"/>
                <w:b w:val="0"/>
                <w:i w:val="0"/>
                <w:sz w:val="18"/>
              </w:rPr>
              <w:t>6</w:t>
            </w:r>
          </w:p>
        </w:tc>
        <w:tc>
          <w:tcPr>
            <w:tcW w:w="8164" w:type="dxa"/>
          </w:tcPr>
          <w:p w14:paraId="000B1E0B">
            <w:pPr>
              <w:spacing w:before="20" w:after="20" w:line="240" w:lineRule="auto"/>
              <w:jc w:val="center"/>
            </w:pPr>
            <w:r>
              <w:rPr>
                <w:rFonts w:ascii="Times New Roman" w:hAnsi="Times New Roman" w:eastAsia="宋体"/>
                <w:b w:val="0"/>
                <w:i w:val="0"/>
                <w:sz w:val="18"/>
              </w:rPr>
              <w:t>返回保留候选集合及块级门控日志</w:t>
            </w:r>
          </w:p>
        </w:tc>
      </w:tr>
    </w:tbl>
    <w:p w14:paraId="36DD65FA">
      <w:pPr>
        <w:spacing w:before="0" w:after="40" w:line="144" w:lineRule="auto"/>
      </w:pPr>
    </w:p>
    <w:p w14:paraId="16BDA2A2">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算法流程相同不意味着两个位置的候选池、阈值数值与后续接口相同。若问题与候选块嵌入可复用，在</w:t>
      </w:r>
      <w:r>
        <w:rPr>
          <w:rFonts w:hint="eastAsia" w:ascii="Times New Roman" w:hAnsi="Times New Roman" w:eastAsia="宋体"/>
          <w:b w:val="0"/>
          <w:i w:val="0"/>
          <w:sz w:val="18"/>
          <w:szCs w:val="18"/>
          <w:lang w:val="en-US" w:eastAsia="zh-CN"/>
        </w:rPr>
        <w:t>线复杂度约为</w:t>
      </w:r>
      <w:r>
        <w:rPr>
          <w:rFonts w:ascii="Times New Roman" w:hAnsi="Times New Roman" w:eastAsia="宋体"/>
          <w:b w:val="0"/>
          <w:i w:val="0"/>
          <w:sz w:val="18"/>
          <w:szCs w:val="18"/>
          <w:lang w:val="en-US" w:eastAsia="zh-CN"/>
        </w:rPr>
        <w:t>O(m(d+L+J))</w:t>
      </w:r>
      <w:r>
        <w:rPr>
          <w:rFonts w:hint="eastAsia" w:ascii="Times New Roman" w:hAnsi="Times New Roman" w:eastAsia="宋体"/>
          <w:b w:val="0"/>
          <w:i w:val="0"/>
          <w:sz w:val="18"/>
          <w:szCs w:val="18"/>
          <w:lang w:val="en-US" w:eastAsia="zh-CN"/>
        </w:rPr>
        <w:t>，其中</w:t>
      </w:r>
      <w:r>
        <w:rPr>
          <w:rFonts w:hint="default" w:ascii="Times New Roman" w:hAnsi="Times New Roman" w:eastAsia="宋体"/>
          <w:b w:val="0"/>
          <w:i w:val="0"/>
          <w:sz w:val="18"/>
          <w:szCs w:val="18"/>
          <w:lang w:val="en-US" w:eastAsia="zh-CN"/>
        </w:rPr>
        <w:t>m</w:t>
      </w:r>
      <w:r>
        <w:rPr>
          <w:rFonts w:hint="eastAsia" w:ascii="Times New Roman" w:hAnsi="Times New Roman" w:eastAsia="宋体"/>
          <w:b w:val="0"/>
          <w:i w:val="0"/>
          <w:sz w:val="18"/>
          <w:szCs w:val="18"/>
          <w:lang w:val="en-US" w:eastAsia="zh-CN"/>
        </w:rPr>
        <w:t>为候选块数、</w:t>
      </w:r>
      <w:r>
        <w:rPr>
          <w:rFonts w:hint="default" w:ascii="Times New Roman" w:hAnsi="Times New Roman" w:eastAsia="宋体"/>
          <w:b w:val="0"/>
          <w:i w:val="0"/>
          <w:sz w:val="18"/>
          <w:szCs w:val="18"/>
          <w:lang w:val="en-US" w:eastAsia="zh-CN"/>
        </w:rPr>
        <w:t>d</w:t>
      </w:r>
      <w:r>
        <w:rPr>
          <w:rFonts w:hint="eastAsia" w:ascii="Times New Roman" w:hAnsi="Times New Roman" w:eastAsia="宋体"/>
          <w:b w:val="0"/>
          <w:i w:val="0"/>
          <w:sz w:val="18"/>
          <w:szCs w:val="18"/>
          <w:lang w:val="en-US" w:eastAsia="zh-CN"/>
        </w:rPr>
        <w:t>为嵌入维度、</w:t>
      </w:r>
      <w:r>
        <w:rPr>
          <w:rFonts w:hint="default" w:ascii="Times New Roman" w:hAnsi="Times New Roman" w:eastAsia="宋体"/>
          <w:b w:val="0"/>
          <w:i w:val="0"/>
          <w:sz w:val="18"/>
          <w:szCs w:val="18"/>
          <w:lang w:val="en-US" w:eastAsia="zh-CN"/>
        </w:rPr>
        <w:t>L</w:t>
      </w:r>
      <w:r>
        <w:rPr>
          <w:rFonts w:hint="eastAsia" w:ascii="Times New Roman" w:hAnsi="Times New Roman" w:eastAsia="宋体"/>
          <w:b w:val="0"/>
          <w:i w:val="0"/>
          <w:sz w:val="18"/>
          <w:szCs w:val="18"/>
          <w:lang w:val="en-US" w:eastAsia="zh-CN"/>
        </w:rPr>
        <w:t>为平均词元数、</w:t>
      </w:r>
      <w:r>
        <w:rPr>
          <w:rFonts w:hint="default" w:ascii="Times New Roman" w:hAnsi="Times New Roman" w:eastAsia="宋体"/>
          <w:b w:val="0"/>
          <w:i w:val="0"/>
          <w:sz w:val="18"/>
          <w:szCs w:val="18"/>
          <w:lang w:val="en-US" w:eastAsia="zh-CN"/>
        </w:rPr>
        <w:t>J=4</w:t>
      </w:r>
      <w:r>
        <w:rPr>
          <w:rFonts w:hint="eastAsia" w:ascii="Times New Roman" w:hAnsi="Times New Roman" w:eastAsia="宋体"/>
          <w:b w:val="0"/>
          <w:i w:val="0"/>
          <w:sz w:val="18"/>
          <w:szCs w:val="18"/>
          <w:lang w:val="en-US" w:eastAsia="zh-CN"/>
        </w:rPr>
        <w:t>为信号数；该复杂度不包含嵌入编码、检索、重排与生成开销，本文未测量端到端耗时，不据此断言某一门控位置的系统总成本更低。</w:t>
      </w:r>
    </w:p>
    <w:p w14:paraId="637A1B93">
      <w:pPr>
        <w:spacing w:before="100" w:after="40" w:line="259" w:lineRule="auto"/>
        <w:jc w:val="left"/>
      </w:pPr>
      <w:r>
        <w:rPr>
          <w:rFonts w:ascii="Times New Roman" w:hAnsi="Times New Roman" w:eastAsia="黑体"/>
          <w:b w:val="0"/>
          <w:i w:val="0"/>
          <w:sz w:val="21"/>
        </w:rPr>
        <w:t>4.3  与已有防护方法的定位差异</w:t>
      </w:r>
    </w:p>
    <w:p w14:paraId="12E4CA6E">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SafeGate与已有方法的目标和信息需求不同。TRIS、RAGSieve、RevPRAG、RAGPart/RAGMask与RobustRAG均以检测或稳健生成为主要目标[12-16]，本文则固定一个无训练风险函数并在同一管线内移动其位置；查询重叠单信号构成可执行的轻量规则基线，匹配随机阻断用于控制删除块数本身的影响。公开方法因攻击、数据、生成器与调用预算不同，本文不直接移植其论文数值，仅作机制定位（表1）。</w:t>
      </w:r>
    </w:p>
    <w:p w14:paraId="64649591">
      <w:pPr>
        <w:spacing w:before="80" w:after="40" w:line="240" w:lineRule="auto"/>
        <w:jc w:val="center"/>
        <w:rPr>
          <w:rFonts w:ascii="Times New Roman" w:hAnsi="Times New Roman" w:eastAsia="黑体"/>
          <w:b w:val="0"/>
          <w:i w:val="0"/>
          <w:sz w:val="18"/>
        </w:rPr>
      </w:pPr>
      <w:r>
        <w:rPr>
          <w:rFonts w:ascii="Times New Roman" w:hAnsi="Times New Roman" w:eastAsia="黑体"/>
          <w:b w:val="0"/>
          <w:i w:val="0"/>
          <w:sz w:val="18"/>
        </w:rPr>
        <w:t>表1  SafeGate与相关公开防护方法的机制定位</w:t>
      </w:r>
    </w:p>
    <w:p w14:paraId="23E02AD6">
      <w:pPr>
        <w:spacing w:before="80" w:after="40" w:line="240" w:lineRule="auto"/>
        <w:jc w:val="center"/>
        <w:rPr>
          <w:rFonts w:ascii="Times New Roman" w:hAnsi="Times New Roman" w:eastAsia="黑体"/>
          <w:b w:val="0"/>
          <w:i w:val="0"/>
          <w:sz w:val="18"/>
        </w:rPr>
      </w:pPr>
      <w:r>
        <w:rPr>
          <w:rFonts w:ascii="Times New Roman" w:hAnsi="Times New Roman" w:eastAsia="黑体"/>
          <w:b w:val="0"/>
          <w:i w:val="0"/>
          <w:sz w:val="18"/>
          <w:lang w:val="en-US" w:eastAsia="zh-CN"/>
        </w:rPr>
        <w:t xml:space="preserve">Table 1 Mechanistic positioning of SafeGate and related </w:t>
      </w:r>
      <w:r>
        <w:rPr>
          <w:rFonts w:hint="default" w:ascii="Times New Roman" w:hAnsi="Times New Roman" w:eastAsia="黑体"/>
          <w:b w:val="0"/>
          <w:i w:val="0"/>
          <w:sz w:val="18"/>
          <w:lang w:val="en-US" w:eastAsia="zh-CN"/>
        </w:rPr>
        <w:t>defense methods</w:t>
      </w:r>
    </w:p>
    <w:tbl>
      <w:tblPr>
        <w:tblStyle w:val="20"/>
        <w:tblW w:w="0" w:type="auto"/>
        <w:jc w:val="center"/>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3213"/>
        <w:gridCol w:w="3213"/>
        <w:gridCol w:w="3213"/>
      </w:tblGrid>
      <w:tr w14:paraId="0F6A77F4">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814" w:type="dxa"/>
          </w:tcPr>
          <w:p w14:paraId="18884B8A">
            <w:pPr>
              <w:spacing w:before="20" w:after="20" w:line="240" w:lineRule="auto"/>
              <w:jc w:val="center"/>
            </w:pPr>
            <w:r>
              <w:rPr>
                <w:rFonts w:ascii="Times New Roman" w:hAnsi="Times New Roman" w:eastAsia="黑体"/>
                <w:b w:val="0"/>
                <w:i w:val="0"/>
                <w:sz w:val="18"/>
              </w:rPr>
              <w:t>方法</w:t>
            </w:r>
          </w:p>
        </w:tc>
        <w:tc>
          <w:tcPr>
            <w:tcW w:w="1928" w:type="dxa"/>
          </w:tcPr>
          <w:p w14:paraId="6ADDA395">
            <w:pPr>
              <w:spacing w:before="20" w:after="20" w:line="240" w:lineRule="auto"/>
              <w:jc w:val="center"/>
            </w:pPr>
            <w:r>
              <w:rPr>
                <w:rFonts w:ascii="Times New Roman" w:hAnsi="Times New Roman" w:eastAsia="黑体"/>
                <w:b w:val="0"/>
                <w:i w:val="0"/>
                <w:sz w:val="18"/>
              </w:rPr>
              <w:t>主要控制位置</w:t>
            </w:r>
          </w:p>
        </w:tc>
        <w:tc>
          <w:tcPr>
            <w:tcW w:w="5329" w:type="dxa"/>
          </w:tcPr>
          <w:p w14:paraId="2A005D6A">
            <w:pPr>
              <w:spacing w:before="20" w:after="20" w:line="240" w:lineRule="auto"/>
              <w:jc w:val="center"/>
            </w:pPr>
            <w:r>
              <w:rPr>
                <w:rFonts w:ascii="Times New Roman" w:hAnsi="Times New Roman" w:eastAsia="黑体"/>
                <w:b w:val="0"/>
                <w:i w:val="0"/>
                <w:sz w:val="18"/>
              </w:rPr>
              <w:t>与本文关系</w:t>
            </w:r>
          </w:p>
        </w:tc>
      </w:tr>
      <w:tr w14:paraId="52C876ED">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814" w:type="dxa"/>
          </w:tcPr>
          <w:p w14:paraId="59C35F2B">
            <w:pPr>
              <w:spacing w:before="20" w:after="20" w:line="240" w:lineRule="auto"/>
              <w:jc w:val="center"/>
            </w:pPr>
            <w:r>
              <w:rPr>
                <w:rFonts w:ascii="Times New Roman" w:hAnsi="Times New Roman" w:eastAsia="宋体"/>
                <w:b w:val="0"/>
                <w:i w:val="0"/>
                <w:sz w:val="18"/>
              </w:rPr>
              <w:t>TRIS[12]</w:t>
            </w:r>
          </w:p>
        </w:tc>
        <w:tc>
          <w:tcPr>
            <w:tcW w:w="1928" w:type="dxa"/>
          </w:tcPr>
          <w:p w14:paraId="25E06959">
            <w:pPr>
              <w:spacing w:before="20" w:after="20" w:line="240" w:lineRule="auto"/>
              <w:jc w:val="center"/>
            </w:pPr>
            <w:r>
              <w:rPr>
                <w:rFonts w:ascii="Times New Roman" w:hAnsi="Times New Roman" w:eastAsia="宋体"/>
                <w:b w:val="0"/>
                <w:i w:val="0"/>
                <w:sz w:val="18"/>
              </w:rPr>
              <w:t>检索后、生成前</w:t>
            </w:r>
          </w:p>
        </w:tc>
        <w:tc>
          <w:tcPr>
            <w:tcW w:w="5329" w:type="dxa"/>
          </w:tcPr>
          <w:p w14:paraId="00676A0C">
            <w:pPr>
              <w:spacing w:before="20" w:after="20" w:line="240" w:lineRule="auto"/>
              <w:jc w:val="center"/>
            </w:pPr>
            <w:r>
              <w:rPr>
                <w:rFonts w:ascii="Times New Roman" w:hAnsi="Times New Roman" w:eastAsia="宋体"/>
                <w:b w:val="0"/>
                <w:i w:val="0"/>
                <w:sz w:val="18"/>
              </w:rPr>
              <w:t>固定位置防护；本文比较同一探针的不同位置</w:t>
            </w:r>
          </w:p>
        </w:tc>
      </w:tr>
      <w:tr w14:paraId="52BFF407">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814" w:type="dxa"/>
          </w:tcPr>
          <w:p w14:paraId="03241132">
            <w:pPr>
              <w:spacing w:before="20" w:after="20" w:line="240" w:lineRule="auto"/>
              <w:jc w:val="center"/>
            </w:pPr>
            <w:r>
              <w:rPr>
                <w:rFonts w:ascii="Times New Roman" w:hAnsi="Times New Roman" w:eastAsia="宋体"/>
                <w:b w:val="0"/>
                <w:i w:val="0"/>
                <w:sz w:val="18"/>
              </w:rPr>
              <w:t>RAGSieve[13]</w:t>
            </w:r>
          </w:p>
        </w:tc>
        <w:tc>
          <w:tcPr>
            <w:tcW w:w="1928" w:type="dxa"/>
          </w:tcPr>
          <w:p w14:paraId="5E39D80F">
            <w:pPr>
              <w:spacing w:before="20" w:after="20" w:line="240" w:lineRule="auto"/>
              <w:jc w:val="center"/>
            </w:pPr>
            <w:r>
              <w:rPr>
                <w:rFonts w:ascii="Times New Roman" w:hAnsi="Times New Roman" w:eastAsia="宋体"/>
                <w:b w:val="0"/>
                <w:i w:val="0"/>
                <w:sz w:val="18"/>
              </w:rPr>
              <w:t>查询时与语料级</w:t>
            </w:r>
          </w:p>
        </w:tc>
        <w:tc>
          <w:tcPr>
            <w:tcW w:w="5329" w:type="dxa"/>
          </w:tcPr>
          <w:p w14:paraId="1CD0E747">
            <w:pPr>
              <w:spacing w:before="20" w:after="20" w:line="240" w:lineRule="auto"/>
              <w:jc w:val="center"/>
            </w:pPr>
            <w:r>
              <w:rPr>
                <w:rFonts w:ascii="Times New Roman" w:hAnsi="Times New Roman" w:eastAsia="宋体"/>
                <w:b w:val="0"/>
                <w:i w:val="0"/>
                <w:sz w:val="18"/>
              </w:rPr>
              <w:t>轻量检测近邻；本文不提出新的检测器</w:t>
            </w:r>
          </w:p>
        </w:tc>
      </w:tr>
      <w:tr w14:paraId="6C8C414E">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814" w:type="dxa"/>
          </w:tcPr>
          <w:p w14:paraId="568C4B30">
            <w:pPr>
              <w:spacing w:before="20" w:after="20" w:line="240" w:lineRule="auto"/>
              <w:jc w:val="center"/>
            </w:pPr>
            <w:r>
              <w:rPr>
                <w:rFonts w:ascii="Times New Roman" w:hAnsi="Times New Roman" w:eastAsia="宋体"/>
                <w:b w:val="0"/>
                <w:i w:val="0"/>
                <w:sz w:val="18"/>
              </w:rPr>
              <w:t>RevPRAG[14]</w:t>
            </w:r>
          </w:p>
        </w:tc>
        <w:tc>
          <w:tcPr>
            <w:tcW w:w="1928" w:type="dxa"/>
          </w:tcPr>
          <w:p w14:paraId="26676F21">
            <w:pPr>
              <w:spacing w:before="20" w:after="20" w:line="240" w:lineRule="auto"/>
              <w:jc w:val="center"/>
            </w:pPr>
            <w:r>
              <w:rPr>
                <w:rFonts w:ascii="Times New Roman" w:hAnsi="Times New Roman" w:eastAsia="宋体"/>
                <w:b w:val="0"/>
                <w:i w:val="0"/>
                <w:sz w:val="18"/>
              </w:rPr>
              <w:t>模型内部/响应侧</w:t>
            </w:r>
          </w:p>
        </w:tc>
        <w:tc>
          <w:tcPr>
            <w:tcW w:w="5329" w:type="dxa"/>
          </w:tcPr>
          <w:p w14:paraId="04378090">
            <w:pPr>
              <w:spacing w:before="20" w:after="20" w:line="240" w:lineRule="auto"/>
              <w:jc w:val="center"/>
            </w:pPr>
            <w:r>
              <w:rPr>
                <w:rFonts w:ascii="Times New Roman" w:hAnsi="Times New Roman" w:eastAsia="宋体"/>
                <w:b w:val="0"/>
                <w:i w:val="0"/>
                <w:sz w:val="18"/>
              </w:rPr>
              <w:t>信息边界不同；SafeGate不访问模型激活</w:t>
            </w:r>
          </w:p>
        </w:tc>
      </w:tr>
      <w:tr w14:paraId="41F54C03">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814" w:type="dxa"/>
          </w:tcPr>
          <w:p w14:paraId="37D7E659">
            <w:pPr>
              <w:spacing w:before="20" w:after="20" w:line="240" w:lineRule="auto"/>
              <w:jc w:val="center"/>
            </w:pPr>
            <w:r>
              <w:rPr>
                <w:rFonts w:ascii="Times New Roman" w:hAnsi="Times New Roman" w:eastAsia="宋体"/>
                <w:b w:val="0"/>
                <w:i w:val="0"/>
                <w:sz w:val="18"/>
              </w:rPr>
              <w:t>RAGPart/RAGMask[15]</w:t>
            </w:r>
          </w:p>
        </w:tc>
        <w:tc>
          <w:tcPr>
            <w:tcW w:w="1928" w:type="dxa"/>
          </w:tcPr>
          <w:p w14:paraId="09DDDCCB">
            <w:pPr>
              <w:spacing w:before="20" w:after="20" w:line="240" w:lineRule="auto"/>
              <w:jc w:val="center"/>
            </w:pPr>
            <w:r>
              <w:rPr>
                <w:rFonts w:ascii="Times New Roman" w:hAnsi="Times New Roman" w:eastAsia="宋体"/>
                <w:b w:val="0"/>
                <w:i w:val="0"/>
                <w:sz w:val="18"/>
              </w:rPr>
              <w:t>检索阶段</w:t>
            </w:r>
          </w:p>
        </w:tc>
        <w:tc>
          <w:tcPr>
            <w:tcW w:w="5329" w:type="dxa"/>
          </w:tcPr>
          <w:p w14:paraId="74EB9951">
            <w:pPr>
              <w:spacing w:before="20" w:after="20" w:line="240" w:lineRule="auto"/>
              <w:jc w:val="center"/>
            </w:pPr>
            <w:r>
              <w:rPr>
                <w:rFonts w:ascii="Times New Roman" w:hAnsi="Times New Roman" w:eastAsia="宋体"/>
                <w:b w:val="0"/>
                <w:i w:val="0"/>
                <w:sz w:val="18"/>
              </w:rPr>
              <w:t>与P_ret邻近，但未比较统一探针的P_gen位置</w:t>
            </w:r>
          </w:p>
        </w:tc>
      </w:tr>
      <w:tr w14:paraId="27FFB52D">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814" w:type="dxa"/>
          </w:tcPr>
          <w:p w14:paraId="6B7EE21F">
            <w:pPr>
              <w:spacing w:before="20" w:after="20" w:line="240" w:lineRule="auto"/>
              <w:jc w:val="center"/>
            </w:pPr>
            <w:r>
              <w:rPr>
                <w:rFonts w:ascii="Times New Roman" w:hAnsi="Times New Roman" w:eastAsia="宋体"/>
                <w:b w:val="0"/>
                <w:i w:val="0"/>
                <w:sz w:val="18"/>
              </w:rPr>
              <w:t>RobustRAG[16]</w:t>
            </w:r>
          </w:p>
        </w:tc>
        <w:tc>
          <w:tcPr>
            <w:tcW w:w="1928" w:type="dxa"/>
          </w:tcPr>
          <w:p w14:paraId="2963B483">
            <w:pPr>
              <w:spacing w:before="20" w:after="20" w:line="240" w:lineRule="auto"/>
              <w:jc w:val="center"/>
            </w:pPr>
            <w:r>
              <w:rPr>
                <w:rFonts w:ascii="Times New Roman" w:hAnsi="Times New Roman" w:eastAsia="宋体"/>
                <w:b w:val="0"/>
                <w:i w:val="0"/>
                <w:sz w:val="18"/>
              </w:rPr>
              <w:t>生成前与聚合</w:t>
            </w:r>
          </w:p>
        </w:tc>
        <w:tc>
          <w:tcPr>
            <w:tcW w:w="5329" w:type="dxa"/>
          </w:tcPr>
          <w:p w14:paraId="5FD71952">
            <w:pPr>
              <w:spacing w:before="20" w:after="20" w:line="240" w:lineRule="auto"/>
              <w:jc w:val="center"/>
            </w:pPr>
            <w:r>
              <w:rPr>
                <w:rFonts w:ascii="Times New Roman" w:hAnsi="Times New Roman" w:eastAsia="宋体"/>
                <w:b w:val="0"/>
                <w:i w:val="0"/>
                <w:sz w:val="18"/>
              </w:rPr>
              <w:t>调用预算不同，不与轻量探针直接排名</w:t>
            </w:r>
          </w:p>
        </w:tc>
      </w:tr>
    </w:tbl>
    <w:p w14:paraId="3E9E1051">
      <w:pPr>
        <w:spacing w:before="0" w:after="40" w:line="144" w:lineRule="auto"/>
      </w:pPr>
    </w:p>
    <w:p w14:paraId="413C61B5">
      <w:pPr>
        <w:spacing w:before="160" w:after="60" w:line="259" w:lineRule="auto"/>
        <w:jc w:val="left"/>
      </w:pPr>
      <w:r>
        <w:rPr>
          <w:rFonts w:ascii="Times New Roman" w:hAnsi="Times New Roman" w:eastAsia="黑体"/>
          <w:b w:val="0"/>
          <w:i w:val="0"/>
          <w:sz w:val="24"/>
        </w:rPr>
        <w:t>5  实验设置</w:t>
      </w:r>
    </w:p>
    <w:p w14:paraId="4BB498C5">
      <w:pPr>
        <w:spacing w:before="100" w:after="40" w:line="259" w:lineRule="auto"/>
        <w:jc w:val="left"/>
      </w:pPr>
      <w:r>
        <w:rPr>
          <w:rFonts w:ascii="Times New Roman" w:hAnsi="Times New Roman" w:eastAsia="黑体"/>
          <w:b w:val="0"/>
          <w:i w:val="0"/>
          <w:sz w:val="21"/>
        </w:rPr>
        <w:t>5.1  实验矩阵</w:t>
      </w:r>
    </w:p>
    <w:p w14:paraId="59B8D46A">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实验由主矩阵与控制/消融矩阵组成。主矩阵含72个运行，覆盖2个数据集、2类检索器、3个攻击随机种子、干净/污染语料与无门控/P_ret/P_gen；控制与消融矩阵含120个运行，覆盖简化管线与多阶段管线对比、SafeGate单信号消融与匹配随机阻断基线。全部192个运行均已归档。主要变量配置见表2。</w:t>
      </w:r>
    </w:p>
    <w:p w14:paraId="3AB007A7">
      <w:pPr>
        <w:spacing w:before="80" w:after="40" w:line="240" w:lineRule="auto"/>
        <w:jc w:val="center"/>
        <w:rPr>
          <w:rFonts w:ascii="Times New Roman" w:hAnsi="Times New Roman" w:eastAsia="黑体"/>
          <w:b w:val="0"/>
          <w:i w:val="0"/>
          <w:sz w:val="18"/>
        </w:rPr>
      </w:pPr>
      <w:r>
        <w:rPr>
          <w:rFonts w:ascii="Times New Roman" w:hAnsi="Times New Roman" w:eastAsia="黑体"/>
          <w:b w:val="0"/>
          <w:i w:val="0"/>
          <w:sz w:val="18"/>
        </w:rPr>
        <w:t>表2  实验矩阵与变量配置</w:t>
      </w:r>
    </w:p>
    <w:p w14:paraId="62082A71">
      <w:pPr>
        <w:spacing w:before="80" w:after="40" w:line="240" w:lineRule="auto"/>
        <w:jc w:val="center"/>
        <w:rPr>
          <w:rFonts w:ascii="Times New Roman" w:hAnsi="Times New Roman" w:eastAsia="黑体"/>
          <w:b w:val="0"/>
          <w:i w:val="0"/>
          <w:sz w:val="18"/>
        </w:rPr>
      </w:pPr>
      <w:r>
        <w:rPr>
          <w:rFonts w:ascii="Times New Roman" w:hAnsi="Times New Roman" w:eastAsia="黑体"/>
          <w:b w:val="0"/>
          <w:i w:val="0"/>
          <w:sz w:val="18"/>
          <w:lang w:val="en-US" w:eastAsia="zh-CN"/>
        </w:rPr>
        <w:t>Table 2 Experimental matrix and configuration</w:t>
      </w:r>
    </w:p>
    <w:tbl>
      <w:tblPr>
        <w:tblStyle w:val="20"/>
        <w:tblW w:w="0" w:type="auto"/>
        <w:jc w:val="center"/>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4819"/>
        <w:gridCol w:w="4819"/>
      </w:tblGrid>
      <w:tr w14:paraId="16C9D960">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701" w:type="dxa"/>
          </w:tcPr>
          <w:p w14:paraId="0E48DA77">
            <w:pPr>
              <w:spacing w:before="20" w:after="20" w:line="240" w:lineRule="auto"/>
              <w:jc w:val="center"/>
            </w:pPr>
            <w:r>
              <w:rPr>
                <w:rFonts w:ascii="Times New Roman" w:hAnsi="Times New Roman" w:eastAsia="黑体"/>
                <w:b w:val="0"/>
                <w:i w:val="0"/>
                <w:sz w:val="18"/>
              </w:rPr>
              <w:t>项目</w:t>
            </w:r>
          </w:p>
        </w:tc>
        <w:tc>
          <w:tcPr>
            <w:tcW w:w="7370" w:type="dxa"/>
          </w:tcPr>
          <w:p w14:paraId="6356D2AE">
            <w:pPr>
              <w:spacing w:before="20" w:after="20" w:line="240" w:lineRule="auto"/>
              <w:jc w:val="center"/>
            </w:pPr>
            <w:r>
              <w:rPr>
                <w:rFonts w:ascii="Times New Roman" w:hAnsi="Times New Roman" w:eastAsia="黑体"/>
                <w:b w:val="0"/>
                <w:i w:val="0"/>
                <w:sz w:val="18"/>
              </w:rPr>
              <w:t>配置</w:t>
            </w:r>
          </w:p>
        </w:tc>
      </w:tr>
      <w:tr w14:paraId="486F096A">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701" w:type="dxa"/>
          </w:tcPr>
          <w:p w14:paraId="795F179F">
            <w:pPr>
              <w:spacing w:before="20" w:after="20" w:line="240" w:lineRule="auto"/>
              <w:jc w:val="center"/>
            </w:pPr>
            <w:r>
              <w:rPr>
                <w:rFonts w:ascii="Times New Roman" w:hAnsi="Times New Roman" w:eastAsia="宋体"/>
                <w:b w:val="0"/>
                <w:i w:val="0"/>
                <w:sz w:val="18"/>
              </w:rPr>
              <w:t>数据集与划分</w:t>
            </w:r>
          </w:p>
        </w:tc>
        <w:tc>
          <w:tcPr>
            <w:tcW w:w="7370" w:type="dxa"/>
          </w:tcPr>
          <w:p w14:paraId="1036C457">
            <w:pPr>
              <w:spacing w:before="20" w:after="20" w:line="240" w:lineRule="auto"/>
              <w:jc w:val="center"/>
            </w:pPr>
            <w:r>
              <w:rPr>
                <w:rFonts w:ascii="Times New Roman" w:hAnsi="Times New Roman" w:eastAsia="宋体"/>
                <w:b w:val="0"/>
                <w:i w:val="0"/>
                <w:sz w:val="18"/>
              </w:rPr>
              <w:t>NQ（BEIR原始段落语料库）、HotpotQA（本地原始上下文语料）；split_seed=20260905，校准200问、评测300问，二者互斥</w:t>
            </w:r>
          </w:p>
        </w:tc>
      </w:tr>
      <w:tr w14:paraId="152EE111">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701" w:type="dxa"/>
          </w:tcPr>
          <w:p w14:paraId="1A0ED4E4">
            <w:pPr>
              <w:spacing w:before="20" w:after="20" w:line="240" w:lineRule="auto"/>
              <w:jc w:val="center"/>
            </w:pPr>
            <w:r>
              <w:rPr>
                <w:rFonts w:ascii="Times New Roman" w:hAnsi="Times New Roman" w:eastAsia="宋体"/>
                <w:b w:val="0"/>
                <w:i w:val="0"/>
                <w:sz w:val="18"/>
              </w:rPr>
              <w:t>分块</w:t>
            </w:r>
          </w:p>
        </w:tc>
        <w:tc>
          <w:tcPr>
            <w:tcW w:w="7370" w:type="dxa"/>
          </w:tcPr>
          <w:p w14:paraId="4F32554B">
            <w:pPr>
              <w:spacing w:before="20" w:after="20" w:line="240" w:lineRule="auto"/>
              <w:jc w:val="center"/>
            </w:pPr>
            <w:r>
              <w:rPr>
                <w:rFonts w:ascii="Times New Roman" w:hAnsi="Times New Roman" w:eastAsia="宋体"/>
                <w:b w:val="0"/>
                <w:i w:val="0"/>
                <w:sz w:val="18"/>
              </w:rPr>
              <w:t>C128-S32；块长128词元、步长32、最小20，纳入标题</w:t>
            </w:r>
          </w:p>
        </w:tc>
      </w:tr>
      <w:tr w14:paraId="0AD0FE88">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701" w:type="dxa"/>
          </w:tcPr>
          <w:p w14:paraId="56E37CE3">
            <w:pPr>
              <w:spacing w:before="20" w:after="20" w:line="240" w:lineRule="auto"/>
              <w:jc w:val="center"/>
            </w:pPr>
            <w:r>
              <w:rPr>
                <w:rFonts w:ascii="Times New Roman" w:hAnsi="Times New Roman" w:eastAsia="宋体"/>
                <w:b w:val="0"/>
                <w:i w:val="0"/>
                <w:sz w:val="18"/>
              </w:rPr>
              <w:t>检索与重排</w:t>
            </w:r>
          </w:p>
        </w:tc>
        <w:tc>
          <w:tcPr>
            <w:tcW w:w="7370" w:type="dxa"/>
          </w:tcPr>
          <w:p w14:paraId="6AFA5B00">
            <w:pPr>
              <w:spacing w:before="20" w:after="20" w:line="240" w:lineRule="auto"/>
              <w:jc w:val="center"/>
            </w:pPr>
            <w:r>
              <w:rPr>
                <w:rFonts w:ascii="Times New Roman" w:hAnsi="Times New Roman" w:eastAsia="宋体"/>
                <w:b w:val="0"/>
                <w:i w:val="0"/>
                <w:sz w:val="18"/>
              </w:rPr>
              <w:t>BM25固定实现（k1=0.9、b=0.4）、BGE密集检索（bge-base-en-v1.5）；重排器bge-reranker-base，主矩阵开启、简化管线关闭；top_m=50、K_gen=5</w:t>
            </w:r>
          </w:p>
        </w:tc>
      </w:tr>
      <w:tr w14:paraId="2E348C3B">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701" w:type="dxa"/>
          </w:tcPr>
          <w:p w14:paraId="7773A190">
            <w:pPr>
              <w:spacing w:before="20" w:after="20" w:line="240" w:lineRule="auto"/>
              <w:jc w:val="center"/>
            </w:pPr>
            <w:r>
              <w:rPr>
                <w:rFonts w:ascii="Times New Roman" w:hAnsi="Times New Roman" w:eastAsia="宋体"/>
                <w:b w:val="0"/>
                <w:i w:val="0"/>
                <w:sz w:val="18"/>
              </w:rPr>
              <w:t>生成器</w:t>
            </w:r>
          </w:p>
        </w:tc>
        <w:tc>
          <w:tcPr>
            <w:tcW w:w="7370" w:type="dxa"/>
          </w:tcPr>
          <w:p w14:paraId="273C6C65">
            <w:pPr>
              <w:spacing w:before="20" w:after="20" w:line="240" w:lineRule="auto"/>
              <w:jc w:val="center"/>
            </w:pPr>
            <w:r>
              <w:rPr>
                <w:rFonts w:ascii="Times New Roman" w:hAnsi="Times New Roman" w:eastAsia="宋体"/>
                <w:b w:val="0"/>
                <w:i w:val="0"/>
                <w:sz w:val="18"/>
              </w:rPr>
              <w:t>Qwen3-8B；temperature=0、do_sample=false、top_p=1.0、max_new_tokens=64</w:t>
            </w:r>
          </w:p>
        </w:tc>
      </w:tr>
      <w:tr w14:paraId="46FADECD">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701" w:type="dxa"/>
          </w:tcPr>
          <w:p w14:paraId="3CB8FCA4">
            <w:pPr>
              <w:spacing w:before="20" w:after="20" w:line="240" w:lineRule="auto"/>
              <w:jc w:val="center"/>
            </w:pPr>
            <w:r>
              <w:rPr>
                <w:rFonts w:ascii="Times New Roman" w:hAnsi="Times New Roman" w:eastAsia="宋体"/>
                <w:b w:val="0"/>
                <w:i w:val="0"/>
                <w:sz w:val="18"/>
              </w:rPr>
              <w:t>攻击与种子</w:t>
            </w:r>
          </w:p>
        </w:tc>
        <w:tc>
          <w:tcPr>
            <w:tcW w:w="7370" w:type="dxa"/>
          </w:tcPr>
          <w:p w14:paraId="0C8F01A3">
            <w:pPr>
              <w:spacing w:before="20" w:after="20" w:line="240" w:lineRule="auto"/>
              <w:jc w:val="center"/>
            </w:pPr>
            <w:r>
              <w:rPr>
                <w:rFonts w:ascii="Times New Roman" w:hAnsi="Times New Roman" w:eastAsia="宋体"/>
                <w:b w:val="0"/>
                <w:i w:val="0"/>
                <w:sz w:val="18"/>
              </w:rPr>
              <w:t>targeted_template_poison，每问题注入5个毒块；attack_seed=13, 42, 2026</w:t>
            </w:r>
          </w:p>
        </w:tc>
      </w:tr>
      <w:tr w14:paraId="741FF1D2">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701" w:type="dxa"/>
          </w:tcPr>
          <w:p w14:paraId="333BA2C9">
            <w:pPr>
              <w:spacing w:before="20" w:after="20" w:line="240" w:lineRule="auto"/>
              <w:jc w:val="center"/>
            </w:pPr>
            <w:r>
              <w:rPr>
                <w:rFonts w:ascii="Times New Roman" w:hAnsi="Times New Roman" w:eastAsia="宋体"/>
                <w:b w:val="0"/>
                <w:i w:val="0"/>
                <w:sz w:val="18"/>
              </w:rPr>
              <w:t>门控与阈值</w:t>
            </w:r>
          </w:p>
        </w:tc>
        <w:tc>
          <w:tcPr>
            <w:tcW w:w="7370" w:type="dxa"/>
          </w:tcPr>
          <w:p w14:paraId="215A3052">
            <w:pPr>
              <w:spacing w:before="20" w:after="20" w:line="240" w:lineRule="auto"/>
              <w:jc w:val="center"/>
            </w:pPr>
            <w:r>
              <w:rPr>
                <w:rFonts w:ascii="Times New Roman" w:hAnsi="Times New Roman" w:eastAsia="宋体"/>
                <w:b w:val="0"/>
                <w:i w:val="0"/>
                <w:sz w:val="18"/>
              </w:rPr>
              <w:t>P_ret、P_gen；按数据集×检索器×门控位置仅用干净校准候选校准，α_block=0.05</w:t>
            </w:r>
            <w:r>
              <w:rPr>
                <w:rFonts w:hint="eastAsia" w:ascii="Times New Roman" w:hAnsi="Times New Roman" w:eastAsia="宋体"/>
                <w:b w:val="0"/>
                <w:i w:val="0"/>
                <w:sz w:val="18"/>
                <w:lang w:eastAsia="zh-CN"/>
              </w:rPr>
              <w:t>；</w:t>
            </w:r>
            <w:r>
              <w:rPr>
                <w:rFonts w:hint="eastAsia" w:ascii="Times New Roman" w:hAnsi="Times New Roman" w:eastAsia="宋体"/>
                <w:b w:val="0"/>
                <w:i w:val="0"/>
                <w:sz w:val="18"/>
                <w:lang w:val="en-US" w:eastAsia="zh-CN"/>
              </w:rPr>
              <w:t>主实验仅执行放行/阻断</w:t>
            </w:r>
            <w:r>
              <w:rPr>
                <w:rFonts w:ascii="Times New Roman" w:hAnsi="Times New Roman" w:eastAsia="宋体"/>
                <w:b w:val="0"/>
                <w:i w:val="0"/>
                <w:sz w:val="18"/>
              </w:rPr>
              <w:t>，3个种子复用</w:t>
            </w:r>
          </w:p>
        </w:tc>
      </w:tr>
      <w:tr w14:paraId="25A4D5AF">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701" w:type="dxa"/>
          </w:tcPr>
          <w:p w14:paraId="1E4F0225">
            <w:pPr>
              <w:spacing w:before="20" w:after="20" w:line="240" w:lineRule="auto"/>
              <w:jc w:val="center"/>
            </w:pPr>
            <w:r>
              <w:rPr>
                <w:rFonts w:ascii="Times New Roman" w:hAnsi="Times New Roman" w:eastAsia="宋体"/>
                <w:b w:val="0"/>
                <w:i w:val="0"/>
                <w:sz w:val="18"/>
              </w:rPr>
              <w:t>报告指标</w:t>
            </w:r>
          </w:p>
        </w:tc>
        <w:tc>
          <w:tcPr>
            <w:tcW w:w="7370" w:type="dxa"/>
          </w:tcPr>
          <w:p w14:paraId="27118908">
            <w:pPr>
              <w:spacing w:before="20" w:after="20" w:line="240" w:lineRule="auto"/>
              <w:jc w:val="center"/>
            </w:pPr>
            <w:r>
              <w:rPr>
                <w:rFonts w:ascii="Times New Roman" w:hAnsi="Times New Roman" w:eastAsia="宋体"/>
                <w:b w:val="0"/>
                <w:i w:val="0"/>
                <w:sz w:val="18"/>
              </w:rPr>
              <w:t>ASR、ASR-Drop、Clean EM/F1、TPR、FPR、Utility Drop、PoisonPresence@5</w:t>
            </w:r>
          </w:p>
        </w:tc>
      </w:tr>
    </w:tbl>
    <w:p w14:paraId="5D4F283A">
      <w:pPr>
        <w:spacing w:before="0" w:after="40" w:line="144" w:lineRule="auto"/>
      </w:pPr>
    </w:p>
    <w:p w14:paraId="3483BE77">
      <w:pPr>
        <w:spacing w:before="0" w:after="0" w:line="240" w:lineRule="auto"/>
        <w:ind w:firstLine="360"/>
        <w:jc w:val="both"/>
      </w:pPr>
      <w:r>
        <w:rPr>
          <w:rFonts w:ascii="Times New Roman" w:hAnsi="Times New Roman" w:eastAsia="宋体"/>
          <w:b w:val="0"/>
          <w:i w:val="0"/>
          <w:sz w:val="18"/>
        </w:rPr>
        <w:t>表2说明：BM25为仓库内固定实现，非Pyserini、Lucene或rank_bm25；P_rerank未纳入主实验。</w:t>
      </w:r>
    </w:p>
    <w:p w14:paraId="7ADAB0BD">
      <w:pPr>
        <w:spacing w:before="100" w:after="40" w:line="259" w:lineRule="auto"/>
        <w:jc w:val="left"/>
      </w:pPr>
      <w:r>
        <w:rPr>
          <w:rFonts w:ascii="Times New Roman" w:hAnsi="Times New Roman" w:eastAsia="黑体"/>
          <w:b w:val="0"/>
          <w:i w:val="0"/>
          <w:sz w:val="21"/>
        </w:rPr>
        <w:t>5.2  实验环境与统计报告</w:t>
      </w:r>
    </w:p>
    <w:p w14:paraId="38A8E99E">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实验在本地Linux</w:t>
      </w:r>
      <w:r>
        <w:rPr>
          <w:rFonts w:hint="eastAsia" w:ascii="Times New Roman" w:hAnsi="Times New Roman" w:eastAsia="宋体"/>
          <w:b w:val="0"/>
          <w:i w:val="0"/>
          <w:sz w:val="18"/>
          <w:szCs w:val="18"/>
          <w:lang w:val="en-US" w:eastAsia="zh-CN"/>
        </w:rPr>
        <w:t>工作站上完成，配备</w:t>
      </w:r>
      <w:r>
        <w:rPr>
          <w:rFonts w:hint="default" w:ascii="Times New Roman" w:hAnsi="Times New Roman" w:eastAsia="宋体"/>
          <w:b w:val="0"/>
          <w:i w:val="0"/>
          <w:sz w:val="18"/>
          <w:szCs w:val="18"/>
          <w:lang w:val="en-US" w:eastAsia="zh-CN"/>
        </w:rPr>
        <w:t>64</w:t>
      </w:r>
      <w:r>
        <w:rPr>
          <w:rFonts w:hint="eastAsia" w:ascii="Times New Roman" w:hAnsi="Times New Roman" w:eastAsia="宋体"/>
          <w:b w:val="0"/>
          <w:i w:val="0"/>
          <w:sz w:val="18"/>
          <w:szCs w:val="18"/>
          <w:lang w:val="en-US" w:eastAsia="zh-CN"/>
        </w:rPr>
        <w:t>个逻辑</w:t>
      </w:r>
      <w:r>
        <w:rPr>
          <w:rFonts w:hint="default" w:ascii="Times New Roman" w:hAnsi="Times New Roman" w:eastAsia="宋体"/>
          <w:b w:val="0"/>
          <w:i w:val="0"/>
          <w:sz w:val="18"/>
          <w:szCs w:val="18"/>
          <w:lang w:val="en-US" w:eastAsia="zh-CN"/>
        </w:rPr>
        <w:t>CPU</w:t>
      </w:r>
      <w:r>
        <w:rPr>
          <w:rFonts w:hint="eastAsia" w:ascii="Times New Roman" w:hAnsi="Times New Roman" w:eastAsia="宋体"/>
          <w:b w:val="0"/>
          <w:i w:val="0"/>
          <w:sz w:val="18"/>
          <w:szCs w:val="18"/>
          <w:lang w:val="en-US" w:eastAsia="zh-CN"/>
        </w:rPr>
        <w:t>核、约</w:t>
      </w:r>
      <w:r>
        <w:rPr>
          <w:rFonts w:hint="default" w:ascii="Times New Roman" w:hAnsi="Times New Roman" w:eastAsia="宋体"/>
          <w:b w:val="0"/>
          <w:i w:val="0"/>
          <w:sz w:val="18"/>
          <w:szCs w:val="18"/>
          <w:lang w:val="en-US" w:eastAsia="zh-CN"/>
        </w:rPr>
        <w:t>200 GiB</w:t>
      </w:r>
      <w:r>
        <w:rPr>
          <w:rFonts w:hint="eastAsia" w:ascii="Times New Roman" w:hAnsi="Times New Roman" w:eastAsia="宋体"/>
          <w:b w:val="0"/>
          <w:i w:val="0"/>
          <w:sz w:val="18"/>
          <w:szCs w:val="18"/>
          <w:lang w:val="en-US" w:eastAsia="zh-CN"/>
        </w:rPr>
        <w:t>内存和</w:t>
      </w:r>
      <w:r>
        <w:rPr>
          <w:rFonts w:hint="default" w:ascii="Times New Roman" w:hAnsi="Times New Roman" w:eastAsia="宋体"/>
          <w:b w:val="0"/>
          <w:i w:val="0"/>
          <w:sz w:val="18"/>
          <w:szCs w:val="18"/>
          <w:lang w:val="en-US" w:eastAsia="zh-CN"/>
        </w:rPr>
        <w:t>4</w:t>
      </w:r>
      <w:r>
        <w:rPr>
          <w:rFonts w:hint="eastAsia" w:ascii="Times New Roman" w:hAnsi="Times New Roman" w:eastAsia="宋体"/>
          <w:b w:val="0"/>
          <w:i w:val="0"/>
          <w:sz w:val="18"/>
          <w:szCs w:val="18"/>
          <w:lang w:val="en-US" w:eastAsia="zh-CN"/>
        </w:rPr>
        <w:t>块</w:t>
      </w:r>
      <w:r>
        <w:rPr>
          <w:rFonts w:hint="default" w:ascii="Times New Roman" w:hAnsi="Times New Roman" w:eastAsia="宋体"/>
          <w:b w:val="0"/>
          <w:i w:val="0"/>
          <w:sz w:val="18"/>
          <w:szCs w:val="18"/>
          <w:lang w:val="en-US" w:eastAsia="zh-CN"/>
        </w:rPr>
        <w:t>NVIDIA GeForce RTX 3090 GPU</w:t>
      </w:r>
      <w:r>
        <w:rPr>
          <w:rFonts w:hint="eastAsia" w:ascii="Times New Roman" w:hAnsi="Times New Roman" w:eastAsia="宋体"/>
          <w:b w:val="0"/>
          <w:i w:val="0"/>
          <w:sz w:val="18"/>
          <w:szCs w:val="18"/>
          <w:lang w:val="en-US" w:eastAsia="zh-CN"/>
        </w:rPr>
        <w:t>。主程序采用</w:t>
      </w:r>
      <w:r>
        <w:rPr>
          <w:rFonts w:hint="default" w:ascii="Times New Roman" w:hAnsi="Times New Roman" w:eastAsia="宋体"/>
          <w:b w:val="0"/>
          <w:i w:val="0"/>
          <w:sz w:val="18"/>
          <w:szCs w:val="18"/>
          <w:lang w:val="en-US" w:eastAsia="zh-CN"/>
        </w:rPr>
        <w:t>Python 3.11.11</w:t>
      </w:r>
      <w:r>
        <w:rPr>
          <w:rFonts w:hint="eastAsia" w:ascii="Times New Roman" w:hAnsi="Times New Roman" w:eastAsia="宋体"/>
          <w:b w:val="0"/>
          <w:i w:val="0"/>
          <w:sz w:val="18"/>
          <w:szCs w:val="18"/>
          <w:lang w:val="en-US" w:eastAsia="zh-CN"/>
        </w:rPr>
        <w:t>，推理软件栈包括</w:t>
      </w:r>
      <w:r>
        <w:rPr>
          <w:rFonts w:hint="default" w:ascii="Times New Roman" w:hAnsi="Times New Roman" w:eastAsia="宋体"/>
          <w:b w:val="0"/>
          <w:i w:val="0"/>
          <w:sz w:val="18"/>
          <w:szCs w:val="18"/>
          <w:lang w:val="en-US" w:eastAsia="zh-CN"/>
        </w:rPr>
        <w:t>PyTorch 2.9.0.dev20250909+cu128</w:t>
      </w:r>
      <w:r>
        <w:rPr>
          <w:rFonts w:hint="eastAsia" w:ascii="Times New Roman" w:hAnsi="Times New Roman" w:eastAsia="宋体"/>
          <w:b w:val="0"/>
          <w:i w:val="0"/>
          <w:sz w:val="18"/>
          <w:szCs w:val="18"/>
          <w:lang w:val="en-US" w:eastAsia="zh-CN"/>
        </w:rPr>
        <w:t xml:space="preserve">、 </w:t>
      </w:r>
      <w:r>
        <w:rPr>
          <w:rFonts w:hint="default" w:ascii="Times New Roman" w:hAnsi="Times New Roman" w:eastAsia="宋体"/>
          <w:b w:val="0"/>
          <w:i w:val="0"/>
          <w:sz w:val="18"/>
          <w:szCs w:val="18"/>
          <w:lang w:val="en-US" w:eastAsia="zh-CN"/>
        </w:rPr>
        <w:t>Transformers 5.16.1</w:t>
      </w:r>
      <w:r>
        <w:rPr>
          <w:rFonts w:hint="eastAsia" w:ascii="Times New Roman" w:hAnsi="Times New Roman" w:eastAsia="宋体"/>
          <w:b w:val="0"/>
          <w:i w:val="0"/>
          <w:sz w:val="18"/>
          <w:szCs w:val="18"/>
          <w:lang w:val="en-US" w:eastAsia="zh-CN"/>
        </w:rPr>
        <w:t>和</w:t>
      </w:r>
      <w:r>
        <w:rPr>
          <w:rFonts w:hint="default" w:ascii="Times New Roman" w:hAnsi="Times New Roman" w:eastAsia="宋体"/>
          <w:b w:val="0"/>
          <w:i w:val="0"/>
          <w:sz w:val="18"/>
          <w:szCs w:val="18"/>
          <w:lang w:val="en-US" w:eastAsia="zh-CN"/>
        </w:rPr>
        <w:t>Sentence-Transformers 6.0.1</w:t>
      </w:r>
      <w:r>
        <w:rPr>
          <w:rFonts w:hint="eastAsia" w:ascii="Times New Roman" w:hAnsi="Times New Roman" w:eastAsia="宋体"/>
          <w:b w:val="0"/>
          <w:i w:val="0"/>
          <w:sz w:val="18"/>
          <w:szCs w:val="18"/>
          <w:lang w:val="en-US" w:eastAsia="zh-CN"/>
        </w:rPr>
        <w:t>。</w:t>
      </w:r>
      <w:r>
        <w:rPr>
          <w:rFonts w:hint="default" w:ascii="Times New Roman" w:hAnsi="Times New Roman" w:eastAsia="宋体"/>
          <w:b w:val="0"/>
          <w:i w:val="0"/>
          <w:sz w:val="18"/>
          <w:szCs w:val="18"/>
          <w:lang w:val="en-US" w:eastAsia="zh-CN"/>
        </w:rPr>
        <w:t>ASR</w:t>
      </w:r>
      <w:r>
        <w:rPr>
          <w:rFonts w:hint="eastAsia" w:ascii="Times New Roman" w:hAnsi="Times New Roman" w:eastAsia="宋体"/>
          <w:b w:val="0"/>
          <w:i w:val="0"/>
          <w:sz w:val="18"/>
          <w:szCs w:val="18"/>
          <w:lang w:val="en-US" w:eastAsia="zh-CN"/>
        </w:rPr>
        <w:t>、</w:t>
      </w:r>
      <w:r>
        <w:rPr>
          <w:rFonts w:hint="default" w:ascii="Times New Roman" w:hAnsi="Times New Roman" w:eastAsia="宋体"/>
          <w:b w:val="0"/>
          <w:i w:val="0"/>
          <w:sz w:val="18"/>
          <w:szCs w:val="18"/>
          <w:lang w:val="en-US" w:eastAsia="zh-CN"/>
        </w:rPr>
        <w:t>EM</w:t>
      </w:r>
      <w:r>
        <w:rPr>
          <w:rFonts w:hint="eastAsia" w:ascii="Times New Roman" w:hAnsi="Times New Roman" w:eastAsia="宋体"/>
          <w:b w:val="0"/>
          <w:i w:val="0"/>
          <w:sz w:val="18"/>
          <w:szCs w:val="18"/>
          <w:lang w:val="en-US" w:eastAsia="zh-CN"/>
        </w:rPr>
        <w:t>等问题级二元比例指标在单次运行中的最小变化单位为</w:t>
      </w:r>
      <w:r>
        <w:rPr>
          <w:rFonts w:hint="default" w:ascii="Times New Roman" w:hAnsi="Times New Roman" w:eastAsia="宋体"/>
          <w:b w:val="0"/>
          <w:i w:val="0"/>
          <w:sz w:val="18"/>
          <w:szCs w:val="18"/>
          <w:lang w:val="en-US" w:eastAsia="zh-CN"/>
        </w:rPr>
        <w:t>1/300≈0.33</w:t>
      </w:r>
      <w:r>
        <w:rPr>
          <w:rFonts w:hint="eastAsia" w:ascii="Times New Roman" w:hAnsi="Times New Roman" w:eastAsia="宋体"/>
          <w:b w:val="0"/>
          <w:i w:val="0"/>
          <w:sz w:val="18"/>
          <w:szCs w:val="18"/>
          <w:lang w:val="en-US" w:eastAsia="zh-CN"/>
        </w:rPr>
        <w:t>个百分点。本文保留</w:t>
      </w:r>
      <w:r>
        <w:rPr>
          <w:rFonts w:hint="default" w:ascii="Times New Roman" w:hAnsi="Times New Roman" w:eastAsia="宋体"/>
          <w:b w:val="0"/>
          <w:i w:val="0"/>
          <w:sz w:val="18"/>
          <w:szCs w:val="18"/>
          <w:lang w:val="en-US" w:eastAsia="zh-CN"/>
        </w:rPr>
        <w:t>3</w:t>
      </w:r>
      <w:r>
        <w:rPr>
          <w:rFonts w:hint="eastAsia" w:ascii="Times New Roman" w:hAnsi="Times New Roman" w:eastAsia="宋体"/>
          <w:b w:val="0"/>
          <w:i w:val="0"/>
          <w:sz w:val="18"/>
          <w:szCs w:val="18"/>
          <w:lang w:val="en-US" w:eastAsia="zh-CN"/>
        </w:rPr>
        <w:t>个预设攻击种子，不进行结果导向筛选。问题级结果及其配对差值在每个种子内以问题为配对重采样单位执行</w:t>
      </w:r>
      <w:r>
        <w:rPr>
          <w:rFonts w:hint="default" w:ascii="Times New Roman" w:hAnsi="Times New Roman" w:eastAsia="宋体"/>
          <w:b w:val="0"/>
          <w:i w:val="0"/>
          <w:sz w:val="18"/>
          <w:szCs w:val="18"/>
          <w:lang w:val="en-US" w:eastAsia="zh-CN"/>
        </w:rPr>
        <w:t>2 000</w:t>
      </w:r>
      <w:r>
        <w:rPr>
          <w:rFonts w:hint="eastAsia" w:ascii="Times New Roman" w:hAnsi="Times New Roman" w:eastAsia="宋体"/>
          <w:b w:val="0"/>
          <w:i w:val="0"/>
          <w:sz w:val="18"/>
          <w:szCs w:val="18"/>
          <w:lang w:val="en-US" w:eastAsia="zh-CN"/>
        </w:rPr>
        <w:t>次</w:t>
      </w:r>
      <w:r>
        <w:rPr>
          <w:rFonts w:hint="default" w:ascii="Times New Roman" w:hAnsi="Times New Roman" w:eastAsia="宋体"/>
          <w:b w:val="0"/>
          <w:i w:val="0"/>
          <w:sz w:val="18"/>
          <w:szCs w:val="18"/>
          <w:lang w:val="en-US" w:eastAsia="zh-CN"/>
        </w:rPr>
        <w:t>bootstrap</w:t>
      </w:r>
      <w:r>
        <w:rPr>
          <w:rFonts w:hint="eastAsia" w:ascii="Times New Roman" w:hAnsi="Times New Roman" w:eastAsia="宋体"/>
          <w:b w:val="0"/>
          <w:i w:val="0"/>
          <w:sz w:val="18"/>
          <w:szCs w:val="18"/>
          <w:lang w:val="en-US" w:eastAsia="zh-CN"/>
        </w:rPr>
        <w:t>，报告</w:t>
      </w:r>
      <w:r>
        <w:rPr>
          <w:rFonts w:hint="default" w:ascii="Times New Roman" w:hAnsi="Times New Roman" w:eastAsia="宋体"/>
          <w:b w:val="0"/>
          <w:i w:val="0"/>
          <w:sz w:val="18"/>
          <w:szCs w:val="18"/>
          <w:lang w:val="en-US" w:eastAsia="zh-CN"/>
        </w:rPr>
        <w:t>2.5%</w:t>
      </w:r>
      <w:r>
        <w:rPr>
          <w:rFonts w:hint="eastAsia" w:ascii="Times New Roman" w:hAnsi="Times New Roman" w:eastAsia="宋体"/>
          <w:b w:val="0"/>
          <w:i w:val="0"/>
          <w:sz w:val="18"/>
          <w:szCs w:val="18"/>
          <w:lang w:val="en-US" w:eastAsia="zh-CN"/>
        </w:rPr>
        <w:t xml:space="preserve">与 </w:t>
      </w:r>
      <w:r>
        <w:rPr>
          <w:rFonts w:hint="default" w:ascii="Times New Roman" w:hAnsi="Times New Roman" w:eastAsia="宋体"/>
          <w:b w:val="0"/>
          <w:i w:val="0"/>
          <w:sz w:val="18"/>
          <w:szCs w:val="18"/>
          <w:lang w:val="en-US" w:eastAsia="zh-CN"/>
        </w:rPr>
        <w:t>97.5%</w:t>
      </w:r>
      <w:r>
        <w:rPr>
          <w:rFonts w:hint="eastAsia" w:ascii="Times New Roman" w:hAnsi="Times New Roman" w:eastAsia="宋体"/>
          <w:b w:val="0"/>
          <w:i w:val="0"/>
          <w:sz w:val="18"/>
          <w:szCs w:val="18"/>
          <w:lang w:val="en-US" w:eastAsia="zh-CN"/>
        </w:rPr>
        <w:t>分位数构成的描述性</w:t>
      </w:r>
      <w:r>
        <w:rPr>
          <w:rFonts w:hint="default" w:ascii="Times New Roman" w:hAnsi="Times New Roman" w:eastAsia="宋体"/>
          <w:b w:val="0"/>
          <w:i w:val="0"/>
          <w:sz w:val="18"/>
          <w:szCs w:val="18"/>
          <w:lang w:val="en-US" w:eastAsia="zh-CN"/>
        </w:rPr>
        <w:t>95%</w:t>
      </w:r>
      <w:r>
        <w:rPr>
          <w:rFonts w:hint="eastAsia" w:ascii="Times New Roman" w:hAnsi="Times New Roman" w:eastAsia="宋体"/>
          <w:b w:val="0"/>
          <w:i w:val="0"/>
          <w:sz w:val="18"/>
          <w:szCs w:val="18"/>
          <w:lang w:val="en-US" w:eastAsia="zh-CN"/>
        </w:rPr>
        <w:t>区间；块级</w:t>
      </w:r>
      <w:r>
        <w:rPr>
          <w:rFonts w:hint="default" w:ascii="Times New Roman" w:hAnsi="Times New Roman" w:eastAsia="宋体"/>
          <w:b w:val="0"/>
          <w:i w:val="0"/>
          <w:sz w:val="18"/>
          <w:szCs w:val="18"/>
          <w:lang w:val="en-US" w:eastAsia="zh-CN"/>
        </w:rPr>
        <w:t>TPR</w:t>
      </w:r>
      <w:r>
        <w:rPr>
          <w:rFonts w:hint="eastAsia" w:ascii="Times New Roman" w:hAnsi="Times New Roman" w:eastAsia="宋体"/>
          <w:b w:val="0"/>
          <w:i w:val="0"/>
          <w:sz w:val="18"/>
          <w:szCs w:val="18"/>
          <w:lang w:val="en-US" w:eastAsia="zh-CN"/>
        </w:rPr>
        <w:t>与</w:t>
      </w:r>
      <w:r>
        <w:rPr>
          <w:rFonts w:hint="default" w:ascii="Times New Roman" w:hAnsi="Times New Roman" w:eastAsia="宋体"/>
          <w:b w:val="0"/>
          <w:i w:val="0"/>
          <w:sz w:val="18"/>
          <w:szCs w:val="18"/>
          <w:lang w:val="en-US" w:eastAsia="zh-CN"/>
        </w:rPr>
        <w:t>FPR</w:t>
      </w:r>
      <w:r>
        <w:rPr>
          <w:rFonts w:hint="eastAsia" w:ascii="Times New Roman" w:hAnsi="Times New Roman" w:eastAsia="宋体"/>
          <w:b w:val="0"/>
          <w:i w:val="0"/>
          <w:sz w:val="18"/>
          <w:szCs w:val="18"/>
          <w:lang w:val="en-US" w:eastAsia="zh-CN"/>
        </w:rPr>
        <w:t>采用以问题为簇的</w:t>
      </w:r>
      <w:r>
        <w:rPr>
          <w:rFonts w:hint="default" w:ascii="Times New Roman" w:hAnsi="Times New Roman" w:eastAsia="宋体"/>
          <w:b w:val="0"/>
          <w:i w:val="0"/>
          <w:sz w:val="18"/>
          <w:szCs w:val="18"/>
          <w:lang w:val="en-US" w:eastAsia="zh-CN"/>
        </w:rPr>
        <w:t>bootstrap</w:t>
      </w:r>
      <w:r>
        <w:rPr>
          <w:rFonts w:hint="eastAsia" w:ascii="Times New Roman" w:hAnsi="Times New Roman" w:eastAsia="宋体"/>
          <w:b w:val="0"/>
          <w:i w:val="0"/>
          <w:sz w:val="18"/>
          <w:szCs w:val="18"/>
          <w:lang w:val="en-US" w:eastAsia="zh-CN"/>
        </w:rPr>
        <w:t>，以保留同一问题内候选块之间的相关性。跨种子结果报告均值与样本标准差。鉴于攻击种子仅有</w:t>
      </w:r>
      <w:r>
        <w:rPr>
          <w:rFonts w:hint="default" w:ascii="Times New Roman" w:hAnsi="Times New Roman" w:eastAsia="宋体"/>
          <w:b w:val="0"/>
          <w:i w:val="0"/>
          <w:sz w:val="18"/>
          <w:szCs w:val="18"/>
          <w:lang w:val="en-US" w:eastAsia="zh-CN"/>
        </w:rPr>
        <w:t>3</w:t>
      </w:r>
      <w:r>
        <w:rPr>
          <w:rFonts w:hint="eastAsia" w:ascii="Times New Roman" w:hAnsi="Times New Roman" w:eastAsia="宋体"/>
          <w:b w:val="0"/>
          <w:i w:val="0"/>
          <w:sz w:val="18"/>
          <w:szCs w:val="18"/>
          <w:lang w:val="en-US" w:eastAsia="zh-CN"/>
        </w:rPr>
        <w:t>个，上述分析仅刻画问题级抽样不确定性，不用于广泛的随机性推断或假设检验。实验审计未发现校准集与评测集重叠、污染标签进入模型输入或其他已记录的数据泄漏。</w:t>
      </w:r>
    </w:p>
    <w:p w14:paraId="5BD11E59">
      <w:pPr>
        <w:spacing w:before="160" w:after="60" w:line="259" w:lineRule="auto"/>
        <w:jc w:val="left"/>
      </w:pPr>
      <w:r>
        <w:rPr>
          <w:rFonts w:ascii="Times New Roman" w:hAnsi="Times New Roman" w:eastAsia="黑体"/>
          <w:b w:val="0"/>
          <w:i w:val="0"/>
          <w:sz w:val="24"/>
        </w:rPr>
        <w:t>6  实验结果与分析</w:t>
      </w:r>
    </w:p>
    <w:p w14:paraId="370240C3">
      <w:pPr>
        <w:spacing w:before="100" w:after="40" w:line="259" w:lineRule="auto"/>
        <w:jc w:val="left"/>
      </w:pPr>
      <w:r>
        <w:rPr>
          <w:rFonts w:ascii="Times New Roman" w:hAnsi="Times New Roman" w:eastAsia="黑体"/>
          <w:b w:val="0"/>
          <w:i w:val="0"/>
          <w:sz w:val="21"/>
        </w:rPr>
        <w:t>6.1  重排阶段改变无门控ASR估计</w:t>
      </w:r>
    </w:p>
    <w:p w14:paraId="5A6B7676">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表3与图2比较关闭重排的简化管线与开启固定重排器的多阶段管线。4个数据集—检索器组合中，简化管线的无门控ASR均值高出2.2~18.1个百分点；NQ/BM25、NQ/BGE与HotpotQA/BM25的3个种子查询级95%配对区间均位于0以上，HotpotQA/BGE的区间包络为−4.3%~8.3%，方向不确定。</w:t>
      </w:r>
    </w:p>
    <w:p w14:paraId="223BB4EC">
      <w:pPr>
        <w:spacing w:before="80" w:after="40" w:line="240" w:lineRule="auto"/>
        <w:jc w:val="center"/>
        <w:rPr>
          <w:rFonts w:ascii="Times New Roman" w:hAnsi="Times New Roman" w:eastAsia="黑体"/>
          <w:b w:val="0"/>
          <w:i w:val="0"/>
          <w:sz w:val="18"/>
        </w:rPr>
      </w:pPr>
      <w:r>
        <w:rPr>
          <w:rFonts w:ascii="Times New Roman" w:hAnsi="Times New Roman" w:eastAsia="黑体"/>
          <w:b w:val="0"/>
          <w:i w:val="0"/>
          <w:sz w:val="18"/>
        </w:rPr>
        <w:t>表3  简化管线与多阶段管线的无门控ASR对比</w:t>
      </w:r>
    </w:p>
    <w:p w14:paraId="72E89A4A">
      <w:pPr>
        <w:spacing w:before="80" w:after="40" w:line="240" w:lineRule="auto"/>
        <w:jc w:val="center"/>
        <w:rPr>
          <w:rFonts w:ascii="Times New Roman" w:hAnsi="Times New Roman" w:eastAsia="黑体"/>
          <w:b w:val="0"/>
          <w:i w:val="0"/>
          <w:sz w:val="18"/>
        </w:rPr>
      </w:pPr>
      <w:r>
        <w:rPr>
          <w:rFonts w:ascii="Times New Roman" w:hAnsi="Times New Roman" w:eastAsia="黑体"/>
          <w:b w:val="0"/>
          <w:i w:val="0"/>
          <w:sz w:val="18"/>
          <w:lang w:val="en-US" w:eastAsia="zh-CN"/>
        </w:rPr>
        <w:t>Table 3 No-gate ASR with and without reranking</w:t>
      </w:r>
    </w:p>
    <w:tbl>
      <w:tblPr>
        <w:tblStyle w:val="20"/>
        <w:tblW w:w="0" w:type="auto"/>
        <w:jc w:val="center"/>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1606"/>
        <w:gridCol w:w="1606"/>
        <w:gridCol w:w="1606"/>
        <w:gridCol w:w="1606"/>
        <w:gridCol w:w="1606"/>
        <w:gridCol w:w="1606"/>
      </w:tblGrid>
      <w:tr w14:paraId="1CEB6F4C">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20" w:type="dxa"/>
          </w:tcPr>
          <w:p w14:paraId="2F6D7D7D">
            <w:pPr>
              <w:spacing w:before="20" w:after="20" w:line="240" w:lineRule="auto"/>
              <w:jc w:val="center"/>
            </w:pPr>
            <w:r>
              <w:rPr>
                <w:rFonts w:ascii="Times New Roman" w:hAnsi="Times New Roman" w:eastAsia="黑体"/>
                <w:b w:val="0"/>
                <w:i w:val="0"/>
                <w:sz w:val="18"/>
              </w:rPr>
              <w:t>数据集</w:t>
            </w:r>
          </w:p>
        </w:tc>
        <w:tc>
          <w:tcPr>
            <w:tcW w:w="1247" w:type="dxa"/>
          </w:tcPr>
          <w:p w14:paraId="0F514A55">
            <w:pPr>
              <w:spacing w:before="20" w:after="20" w:line="240" w:lineRule="auto"/>
              <w:jc w:val="center"/>
            </w:pPr>
            <w:r>
              <w:rPr>
                <w:rFonts w:ascii="Times New Roman" w:hAnsi="Times New Roman" w:eastAsia="黑体"/>
                <w:b w:val="0"/>
                <w:i w:val="0"/>
                <w:sz w:val="18"/>
              </w:rPr>
              <w:t>检索器</w:t>
            </w:r>
          </w:p>
        </w:tc>
        <w:tc>
          <w:tcPr>
            <w:tcW w:w="2041" w:type="dxa"/>
          </w:tcPr>
          <w:p w14:paraId="63103C68">
            <w:pPr>
              <w:spacing w:before="20" w:after="20" w:line="240" w:lineRule="auto"/>
              <w:jc w:val="center"/>
            </w:pPr>
            <w:r>
              <w:rPr>
                <w:rFonts w:ascii="Times New Roman" w:hAnsi="Times New Roman" w:eastAsia="黑体"/>
                <w:b w:val="0"/>
                <w:i w:val="0"/>
                <w:sz w:val="18"/>
              </w:rPr>
              <w:t>简化管线ASR（3种子）</w:t>
            </w:r>
          </w:p>
        </w:tc>
        <w:tc>
          <w:tcPr>
            <w:tcW w:w="2041" w:type="dxa"/>
          </w:tcPr>
          <w:p w14:paraId="426013F7">
            <w:pPr>
              <w:spacing w:before="20" w:after="20" w:line="240" w:lineRule="auto"/>
              <w:jc w:val="center"/>
            </w:pPr>
            <w:r>
              <w:rPr>
                <w:rFonts w:ascii="Times New Roman" w:hAnsi="Times New Roman" w:eastAsia="黑体"/>
                <w:b w:val="0"/>
                <w:i w:val="0"/>
                <w:sz w:val="18"/>
              </w:rPr>
              <w:t>多阶段管线ASR（3种子）</w:t>
            </w:r>
          </w:p>
        </w:tc>
        <w:tc>
          <w:tcPr>
            <w:tcW w:w="1644" w:type="dxa"/>
          </w:tcPr>
          <w:p w14:paraId="06E6EC65">
            <w:pPr>
              <w:spacing w:before="20" w:after="20" w:line="240" w:lineRule="auto"/>
              <w:jc w:val="center"/>
            </w:pPr>
            <w:r>
              <w:rPr>
                <w:rFonts w:ascii="Times New Roman" w:hAnsi="Times New Roman" w:eastAsia="黑体"/>
                <w:b w:val="0"/>
                <w:i w:val="0"/>
                <w:sz w:val="18"/>
              </w:rPr>
              <w:t>ASR差值（均值±标准差）</w:t>
            </w:r>
          </w:p>
        </w:tc>
        <w:tc>
          <w:tcPr>
            <w:tcW w:w="1304" w:type="dxa"/>
          </w:tcPr>
          <w:p w14:paraId="36C93926">
            <w:pPr>
              <w:spacing w:before="20" w:after="20" w:line="240" w:lineRule="auto"/>
              <w:jc w:val="center"/>
            </w:pPr>
            <w:r>
              <w:rPr>
                <w:rFonts w:ascii="Times New Roman" w:hAnsi="Times New Roman" w:eastAsia="黑体"/>
                <w:b w:val="0"/>
                <w:i w:val="0"/>
                <w:sz w:val="18"/>
              </w:rPr>
              <w:t>3种子95%区间包络</w:t>
            </w:r>
          </w:p>
        </w:tc>
      </w:tr>
      <w:tr w14:paraId="12E70A8C">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20" w:type="dxa"/>
          </w:tcPr>
          <w:p w14:paraId="4F6A00F6">
            <w:pPr>
              <w:spacing w:before="20" w:after="20" w:line="240" w:lineRule="auto"/>
              <w:jc w:val="center"/>
            </w:pPr>
            <w:r>
              <w:rPr>
                <w:rFonts w:ascii="Times New Roman" w:hAnsi="Times New Roman" w:eastAsia="宋体"/>
                <w:b w:val="0"/>
                <w:i w:val="0"/>
                <w:sz w:val="18"/>
              </w:rPr>
              <w:t>NQ</w:t>
            </w:r>
          </w:p>
        </w:tc>
        <w:tc>
          <w:tcPr>
            <w:tcW w:w="1247" w:type="dxa"/>
          </w:tcPr>
          <w:p w14:paraId="46883060">
            <w:pPr>
              <w:spacing w:before="20" w:after="20" w:line="240" w:lineRule="auto"/>
              <w:jc w:val="center"/>
            </w:pPr>
            <w:r>
              <w:rPr>
                <w:rFonts w:ascii="Times New Roman" w:hAnsi="Times New Roman" w:eastAsia="宋体"/>
                <w:b w:val="0"/>
                <w:i w:val="0"/>
                <w:sz w:val="18"/>
              </w:rPr>
              <w:t>BM25</w:t>
            </w:r>
          </w:p>
        </w:tc>
        <w:tc>
          <w:tcPr>
            <w:tcW w:w="2041" w:type="dxa"/>
          </w:tcPr>
          <w:p w14:paraId="455F2C46">
            <w:pPr>
              <w:spacing w:before="20" w:after="20" w:line="240" w:lineRule="auto"/>
              <w:jc w:val="center"/>
            </w:pPr>
            <w:r>
              <w:rPr>
                <w:rFonts w:ascii="Times New Roman" w:hAnsi="Times New Roman" w:eastAsia="宋体"/>
                <w:b w:val="0"/>
                <w:i w:val="0"/>
                <w:sz w:val="18"/>
              </w:rPr>
              <w:t>59.0% / 63.0% / 58.0%</w:t>
            </w:r>
          </w:p>
        </w:tc>
        <w:tc>
          <w:tcPr>
            <w:tcW w:w="2041" w:type="dxa"/>
          </w:tcPr>
          <w:p w14:paraId="3C8AEDA2">
            <w:pPr>
              <w:spacing w:before="20" w:after="20" w:line="240" w:lineRule="auto"/>
              <w:jc w:val="center"/>
            </w:pPr>
            <w:r>
              <w:rPr>
                <w:rFonts w:ascii="Times New Roman" w:hAnsi="Times New Roman" w:eastAsia="宋体"/>
                <w:b w:val="0"/>
                <w:i w:val="0"/>
                <w:sz w:val="18"/>
              </w:rPr>
              <w:t>38.3% / 44.0% / 43.3%</w:t>
            </w:r>
          </w:p>
        </w:tc>
        <w:tc>
          <w:tcPr>
            <w:tcW w:w="1644" w:type="dxa"/>
          </w:tcPr>
          <w:p w14:paraId="09BD410F">
            <w:pPr>
              <w:spacing w:before="20" w:after="20" w:line="240" w:lineRule="auto"/>
              <w:jc w:val="center"/>
            </w:pPr>
            <w:r>
              <w:rPr>
                <w:rFonts w:ascii="Times New Roman" w:hAnsi="Times New Roman" w:eastAsia="宋体"/>
                <w:b w:val="0"/>
                <w:i w:val="0"/>
                <w:sz w:val="18"/>
              </w:rPr>
              <w:t>18.1% ± 3.1%</w:t>
            </w:r>
          </w:p>
        </w:tc>
        <w:tc>
          <w:tcPr>
            <w:tcW w:w="1304" w:type="dxa"/>
          </w:tcPr>
          <w:p w14:paraId="34D0A30B">
            <w:pPr>
              <w:spacing w:before="20" w:after="20" w:line="240" w:lineRule="auto"/>
              <w:jc w:val="center"/>
            </w:pPr>
            <w:r>
              <w:rPr>
                <w:rFonts w:ascii="Times New Roman" w:hAnsi="Times New Roman" w:eastAsia="宋体"/>
                <w:b w:val="0"/>
                <w:i w:val="0"/>
                <w:sz w:val="18"/>
              </w:rPr>
              <w:t>10.0%~25.7%</w:t>
            </w:r>
          </w:p>
        </w:tc>
      </w:tr>
      <w:tr w14:paraId="2F23C53C">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20" w:type="dxa"/>
          </w:tcPr>
          <w:p w14:paraId="7CAC26A8">
            <w:pPr>
              <w:spacing w:before="20" w:after="20" w:line="240" w:lineRule="auto"/>
              <w:jc w:val="center"/>
            </w:pPr>
            <w:r>
              <w:rPr>
                <w:rFonts w:ascii="Times New Roman" w:hAnsi="Times New Roman" w:eastAsia="宋体"/>
                <w:b w:val="0"/>
                <w:i w:val="0"/>
                <w:sz w:val="18"/>
              </w:rPr>
              <w:t>NQ</w:t>
            </w:r>
          </w:p>
        </w:tc>
        <w:tc>
          <w:tcPr>
            <w:tcW w:w="1247" w:type="dxa"/>
          </w:tcPr>
          <w:p w14:paraId="6208AF8E">
            <w:pPr>
              <w:spacing w:before="20" w:after="20" w:line="240" w:lineRule="auto"/>
              <w:jc w:val="center"/>
            </w:pPr>
            <w:r>
              <w:rPr>
                <w:rFonts w:ascii="Times New Roman" w:hAnsi="Times New Roman" w:eastAsia="宋体"/>
                <w:b w:val="0"/>
                <w:i w:val="0"/>
                <w:sz w:val="18"/>
              </w:rPr>
              <w:t>BGE密集检索</w:t>
            </w:r>
          </w:p>
        </w:tc>
        <w:tc>
          <w:tcPr>
            <w:tcW w:w="2041" w:type="dxa"/>
          </w:tcPr>
          <w:p w14:paraId="6B9F8A80">
            <w:pPr>
              <w:spacing w:before="20" w:after="20" w:line="240" w:lineRule="auto"/>
              <w:jc w:val="center"/>
            </w:pPr>
            <w:r>
              <w:rPr>
                <w:rFonts w:ascii="Times New Roman" w:hAnsi="Times New Roman" w:eastAsia="宋体"/>
                <w:b w:val="0"/>
                <w:i w:val="0"/>
                <w:sz w:val="18"/>
              </w:rPr>
              <w:t>37.7% / 43.0% / 41.3%</w:t>
            </w:r>
          </w:p>
        </w:tc>
        <w:tc>
          <w:tcPr>
            <w:tcW w:w="2041" w:type="dxa"/>
          </w:tcPr>
          <w:p w14:paraId="65A81BAC">
            <w:pPr>
              <w:spacing w:before="20" w:after="20" w:line="240" w:lineRule="auto"/>
              <w:jc w:val="center"/>
            </w:pPr>
            <w:r>
              <w:rPr>
                <w:rFonts w:ascii="Times New Roman" w:hAnsi="Times New Roman" w:eastAsia="宋体"/>
                <w:b w:val="0"/>
                <w:i w:val="0"/>
                <w:sz w:val="18"/>
              </w:rPr>
              <w:t>26.7% / 31.7% / 30.3%</w:t>
            </w:r>
          </w:p>
        </w:tc>
        <w:tc>
          <w:tcPr>
            <w:tcW w:w="1644" w:type="dxa"/>
          </w:tcPr>
          <w:p w14:paraId="18E8259C">
            <w:pPr>
              <w:spacing w:before="20" w:after="20" w:line="240" w:lineRule="auto"/>
              <w:jc w:val="center"/>
            </w:pPr>
            <w:r>
              <w:rPr>
                <w:rFonts w:ascii="Times New Roman" w:hAnsi="Times New Roman" w:eastAsia="宋体"/>
                <w:b w:val="0"/>
                <w:i w:val="0"/>
                <w:sz w:val="18"/>
              </w:rPr>
              <w:t>11.1% ± 0.2%</w:t>
            </w:r>
          </w:p>
        </w:tc>
        <w:tc>
          <w:tcPr>
            <w:tcW w:w="1304" w:type="dxa"/>
          </w:tcPr>
          <w:p w14:paraId="35BD15C9">
            <w:pPr>
              <w:spacing w:before="20" w:after="20" w:line="240" w:lineRule="auto"/>
              <w:jc w:val="center"/>
            </w:pPr>
            <w:r>
              <w:rPr>
                <w:rFonts w:ascii="Times New Roman" w:hAnsi="Times New Roman" w:eastAsia="宋体"/>
                <w:b w:val="0"/>
                <w:i w:val="0"/>
                <w:sz w:val="18"/>
              </w:rPr>
              <w:t>6.3%~16.3%</w:t>
            </w:r>
          </w:p>
        </w:tc>
      </w:tr>
      <w:tr w14:paraId="14F46CEA">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20" w:type="dxa"/>
          </w:tcPr>
          <w:p w14:paraId="7A8A3A63">
            <w:pPr>
              <w:spacing w:before="20" w:after="20" w:line="240" w:lineRule="auto"/>
              <w:jc w:val="center"/>
            </w:pPr>
            <w:r>
              <w:rPr>
                <w:rFonts w:ascii="Times New Roman" w:hAnsi="Times New Roman" w:eastAsia="宋体"/>
                <w:b w:val="0"/>
                <w:i w:val="0"/>
                <w:sz w:val="18"/>
              </w:rPr>
              <w:t>HotpotQA</w:t>
            </w:r>
          </w:p>
        </w:tc>
        <w:tc>
          <w:tcPr>
            <w:tcW w:w="1247" w:type="dxa"/>
          </w:tcPr>
          <w:p w14:paraId="48E9E076">
            <w:pPr>
              <w:spacing w:before="20" w:after="20" w:line="240" w:lineRule="auto"/>
              <w:jc w:val="center"/>
            </w:pPr>
            <w:r>
              <w:rPr>
                <w:rFonts w:ascii="Times New Roman" w:hAnsi="Times New Roman" w:eastAsia="宋体"/>
                <w:b w:val="0"/>
                <w:i w:val="0"/>
                <w:sz w:val="18"/>
              </w:rPr>
              <w:t>BM25</w:t>
            </w:r>
          </w:p>
        </w:tc>
        <w:tc>
          <w:tcPr>
            <w:tcW w:w="2041" w:type="dxa"/>
          </w:tcPr>
          <w:p w14:paraId="639E2388">
            <w:pPr>
              <w:spacing w:before="20" w:after="20" w:line="240" w:lineRule="auto"/>
              <w:jc w:val="center"/>
            </w:pPr>
            <w:r>
              <w:rPr>
                <w:rFonts w:ascii="Times New Roman" w:hAnsi="Times New Roman" w:eastAsia="宋体"/>
                <w:b w:val="0"/>
                <w:i w:val="0"/>
                <w:sz w:val="18"/>
              </w:rPr>
              <w:t>63.0% / 62.3% / 62.3%</w:t>
            </w:r>
          </w:p>
        </w:tc>
        <w:tc>
          <w:tcPr>
            <w:tcW w:w="2041" w:type="dxa"/>
          </w:tcPr>
          <w:p w14:paraId="3F81AD05">
            <w:pPr>
              <w:spacing w:before="20" w:after="20" w:line="240" w:lineRule="auto"/>
              <w:jc w:val="center"/>
            </w:pPr>
            <w:r>
              <w:rPr>
                <w:rFonts w:ascii="Times New Roman" w:hAnsi="Times New Roman" w:eastAsia="宋体"/>
                <w:b w:val="0"/>
                <w:i w:val="0"/>
                <w:sz w:val="18"/>
              </w:rPr>
              <w:t>46.7% / 46.3% / 48.0%</w:t>
            </w:r>
          </w:p>
        </w:tc>
        <w:tc>
          <w:tcPr>
            <w:tcW w:w="1644" w:type="dxa"/>
          </w:tcPr>
          <w:p w14:paraId="2B2F45E5">
            <w:pPr>
              <w:spacing w:before="20" w:after="20" w:line="240" w:lineRule="auto"/>
              <w:jc w:val="center"/>
            </w:pPr>
            <w:r>
              <w:rPr>
                <w:rFonts w:ascii="Times New Roman" w:hAnsi="Times New Roman" w:eastAsia="宋体"/>
                <w:b w:val="0"/>
                <w:i w:val="0"/>
                <w:sz w:val="18"/>
              </w:rPr>
              <w:t>15.6% ± 1.1%</w:t>
            </w:r>
          </w:p>
        </w:tc>
        <w:tc>
          <w:tcPr>
            <w:tcW w:w="1304" w:type="dxa"/>
          </w:tcPr>
          <w:p w14:paraId="1F32454B">
            <w:pPr>
              <w:spacing w:before="20" w:after="20" w:line="240" w:lineRule="auto"/>
              <w:jc w:val="center"/>
            </w:pPr>
            <w:r>
              <w:rPr>
                <w:rFonts w:ascii="Times New Roman" w:hAnsi="Times New Roman" w:eastAsia="宋体"/>
                <w:b w:val="0"/>
                <w:i w:val="0"/>
                <w:sz w:val="18"/>
              </w:rPr>
              <w:t>10.0%~21.0%</w:t>
            </w:r>
          </w:p>
        </w:tc>
      </w:tr>
      <w:tr w14:paraId="5CA4F0A5">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20" w:type="dxa"/>
          </w:tcPr>
          <w:p w14:paraId="00C4631A">
            <w:pPr>
              <w:spacing w:before="20" w:after="20" w:line="240" w:lineRule="auto"/>
              <w:jc w:val="center"/>
            </w:pPr>
            <w:r>
              <w:rPr>
                <w:rFonts w:ascii="Times New Roman" w:hAnsi="Times New Roman" w:eastAsia="宋体"/>
                <w:b w:val="0"/>
                <w:i w:val="0"/>
                <w:sz w:val="18"/>
              </w:rPr>
              <w:t>HotpotQA</w:t>
            </w:r>
          </w:p>
        </w:tc>
        <w:tc>
          <w:tcPr>
            <w:tcW w:w="1247" w:type="dxa"/>
          </w:tcPr>
          <w:p w14:paraId="55EB673B">
            <w:pPr>
              <w:spacing w:before="20" w:after="20" w:line="240" w:lineRule="auto"/>
              <w:jc w:val="center"/>
            </w:pPr>
            <w:r>
              <w:rPr>
                <w:rFonts w:ascii="Times New Roman" w:hAnsi="Times New Roman" w:eastAsia="宋体"/>
                <w:b w:val="0"/>
                <w:i w:val="0"/>
                <w:sz w:val="18"/>
              </w:rPr>
              <w:t>BGE密集检索</w:t>
            </w:r>
          </w:p>
        </w:tc>
        <w:tc>
          <w:tcPr>
            <w:tcW w:w="2041" w:type="dxa"/>
          </w:tcPr>
          <w:p w14:paraId="18C98A07">
            <w:pPr>
              <w:spacing w:before="20" w:after="20" w:line="240" w:lineRule="auto"/>
              <w:jc w:val="center"/>
            </w:pPr>
            <w:r>
              <w:rPr>
                <w:rFonts w:ascii="Times New Roman" w:hAnsi="Times New Roman" w:eastAsia="宋体"/>
                <w:b w:val="0"/>
                <w:i w:val="0"/>
                <w:sz w:val="18"/>
              </w:rPr>
              <w:t>49.0% / 49.7% / 47.7%</w:t>
            </w:r>
          </w:p>
        </w:tc>
        <w:tc>
          <w:tcPr>
            <w:tcW w:w="2041" w:type="dxa"/>
          </w:tcPr>
          <w:p w14:paraId="74FA3001">
            <w:pPr>
              <w:spacing w:before="20" w:after="20" w:line="240" w:lineRule="auto"/>
              <w:jc w:val="center"/>
            </w:pPr>
            <w:r>
              <w:rPr>
                <w:rFonts w:ascii="Times New Roman" w:hAnsi="Times New Roman" w:eastAsia="宋体"/>
                <w:b w:val="0"/>
                <w:i w:val="0"/>
                <w:sz w:val="18"/>
              </w:rPr>
              <w:t>45.7% / 46.0% / 48.0%</w:t>
            </w:r>
          </w:p>
        </w:tc>
        <w:tc>
          <w:tcPr>
            <w:tcW w:w="1644" w:type="dxa"/>
          </w:tcPr>
          <w:p w14:paraId="447CDF98">
            <w:pPr>
              <w:spacing w:before="20" w:after="20" w:line="240" w:lineRule="auto"/>
              <w:jc w:val="center"/>
            </w:pPr>
            <w:r>
              <w:rPr>
                <w:rFonts w:ascii="Times New Roman" w:hAnsi="Times New Roman" w:eastAsia="宋体"/>
                <w:b w:val="0"/>
                <w:i w:val="0"/>
                <w:sz w:val="18"/>
              </w:rPr>
              <w:t>2.2% ± 2.2%</w:t>
            </w:r>
          </w:p>
        </w:tc>
        <w:tc>
          <w:tcPr>
            <w:tcW w:w="1304" w:type="dxa"/>
          </w:tcPr>
          <w:p w14:paraId="1DF78E61">
            <w:pPr>
              <w:spacing w:before="20" w:after="20" w:line="240" w:lineRule="auto"/>
              <w:jc w:val="center"/>
            </w:pPr>
            <w:r>
              <w:rPr>
                <w:rFonts w:ascii="Times New Roman" w:hAnsi="Times New Roman" w:eastAsia="宋体"/>
                <w:b w:val="0"/>
                <w:i w:val="0"/>
                <w:sz w:val="18"/>
              </w:rPr>
              <w:t>−4.3%~8.3%</w:t>
            </w:r>
          </w:p>
        </w:tc>
      </w:tr>
    </w:tbl>
    <w:p w14:paraId="7D7AD5B4">
      <w:pPr>
        <w:spacing w:before="0" w:after="40" w:line="144" w:lineRule="auto"/>
      </w:pPr>
    </w:p>
    <w:p w14:paraId="5B35A972">
      <w:pPr>
        <w:spacing w:before="0" w:after="0" w:line="240" w:lineRule="auto"/>
        <w:ind w:firstLine="360"/>
        <w:jc w:val="both"/>
      </w:pPr>
      <w:r>
        <w:rPr>
          <w:rFonts w:ascii="Times New Roman" w:hAnsi="Times New Roman" w:eastAsia="宋体"/>
          <w:b w:val="0"/>
          <w:i w:val="0"/>
          <w:sz w:val="18"/>
        </w:rPr>
        <w:t>表3说明：ASR数值按attack_seed=13、42、2026顺序列出；区间包络取3个种子各自查询级95%配对区间的最小下界与最大上界，仅作描述性不确定性报告。</w:t>
      </w:r>
    </w:p>
    <w:p w14:paraId="30FDE77B">
      <w:pPr>
        <w:spacing w:before="80" w:after="20" w:line="240" w:lineRule="auto"/>
        <w:jc w:val="center"/>
      </w:pPr>
      <w:r>
        <w:rPr>
          <w:rFonts w:ascii="Times New Roman" w:hAnsi="Times New Roman" w:eastAsia="宋体"/>
          <w:b w:val="0"/>
          <w:sz w:val="21"/>
        </w:rPr>
        <w:drawing>
          <wp:inline distT="0" distB="0" distL="114300" distR="114300">
            <wp:extent cx="3246120" cy="1854835"/>
            <wp:effectExtent l="0" t="0" r="0" b="4445"/>
            <wp:docPr id="36" name="Picture" descr="图2 管线形态对无门控 ASR 的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图2 管线形态对无门控 ASR 的影响"/>
                    <pic:cNvPicPr>
                      <a:picLocks noChangeAspect="1" noChangeArrowheads="1"/>
                    </pic:cNvPicPr>
                  </pic:nvPicPr>
                  <pic:blipFill>
                    <a:blip r:embed="rId7"/>
                    <a:stretch>
                      <a:fillRect/>
                    </a:stretch>
                  </pic:blipFill>
                  <pic:spPr>
                    <a:xfrm>
                      <a:off x="0" y="0"/>
                      <a:ext cx="3246120" cy="1854835"/>
                    </a:xfrm>
                    <a:prstGeom prst="rect">
                      <a:avLst/>
                    </a:prstGeom>
                    <a:noFill/>
                    <a:ln w="9525">
                      <a:noFill/>
                    </a:ln>
                  </pic:spPr>
                </pic:pic>
              </a:graphicData>
            </a:graphic>
          </wp:inline>
        </w:drawing>
      </w:r>
    </w:p>
    <w:p w14:paraId="1AE4D3E2">
      <w:pPr>
        <w:spacing w:before="80" w:after="40" w:line="240" w:lineRule="auto"/>
        <w:jc w:val="center"/>
        <w:rPr>
          <w:rFonts w:ascii="Times New Roman" w:hAnsi="Times New Roman" w:eastAsia="宋体"/>
          <w:b w:val="0"/>
          <w:i w:val="0"/>
          <w:sz w:val="18"/>
        </w:rPr>
      </w:pPr>
      <w:r>
        <w:rPr>
          <w:rFonts w:ascii="Times New Roman" w:hAnsi="Times New Roman" w:eastAsia="宋体"/>
          <w:b w:val="0"/>
          <w:i w:val="0"/>
          <w:sz w:val="18"/>
        </w:rPr>
        <w:t>图2  管线形态对无门控ASR的影响</w:t>
      </w:r>
    </w:p>
    <w:p w14:paraId="3CAD3D44">
      <w:pPr>
        <w:spacing w:before="80" w:after="40" w:line="240" w:lineRule="auto"/>
        <w:jc w:val="center"/>
        <w:rPr>
          <w:rFonts w:ascii="Times New Roman" w:hAnsi="Times New Roman" w:eastAsia="宋体"/>
          <w:b w:val="0"/>
          <w:i w:val="0"/>
          <w:sz w:val="18"/>
          <w:lang w:val="en-US" w:eastAsia="zh-CN"/>
        </w:rPr>
      </w:pPr>
      <w:r>
        <w:rPr>
          <w:rFonts w:ascii="Times New Roman" w:hAnsi="Times New Roman" w:eastAsia="宋体"/>
          <w:b w:val="0"/>
          <w:i w:val="0"/>
          <w:sz w:val="18"/>
          <w:lang w:val="en-US" w:eastAsia="zh-CN"/>
        </w:rPr>
        <w:t>Fig. 2 Effect of pipeline configuration on no-gate ASR</w:t>
      </w:r>
    </w:p>
    <w:p w14:paraId="51869400">
      <w:pPr>
        <w:spacing w:before="0" w:after="0" w:line="240" w:lineRule="auto"/>
        <w:ind w:firstLine="360"/>
        <w:jc w:val="both"/>
      </w:pPr>
      <w:r>
        <w:rPr>
          <w:rFonts w:ascii="Times New Roman" w:hAnsi="Times New Roman" w:eastAsia="宋体"/>
          <w:b w:val="0"/>
          <w:i w:val="0"/>
          <w:sz w:val="18"/>
        </w:rPr>
        <w:t>图2说明：误差线表示3个攻击种子的离散程度；HotpotQA/BGE密集检索组合的区间跨零，不据此作稳定差异判断。</w:t>
      </w:r>
    </w:p>
    <w:p w14:paraId="2305315F">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该结果支持本文评测动机：管线形态会改变知识投毒ASR</w:t>
      </w:r>
      <w:r>
        <w:rPr>
          <w:rFonts w:hint="eastAsia" w:ascii="Times New Roman" w:hAnsi="Times New Roman" w:eastAsia="宋体"/>
          <w:b w:val="0"/>
          <w:i w:val="0"/>
          <w:sz w:val="18"/>
          <w:szCs w:val="18"/>
          <w:lang w:val="en-US" w:eastAsia="zh-CN"/>
        </w:rPr>
        <w:t>的观测值，但不表示多阶段管线在所有场景中更安全</w:t>
      </w:r>
      <w:r>
        <w:rPr>
          <w:rFonts w:hint="default" w:ascii="Times New Roman" w:hAnsi="Times New Roman" w:eastAsia="宋体"/>
          <w:b w:val="0"/>
          <w:i w:val="0"/>
          <w:sz w:val="18"/>
          <w:szCs w:val="18"/>
          <w:lang w:val="en-US" w:eastAsia="zh-CN"/>
        </w:rPr>
        <w:t>——</w:t>
      </w:r>
      <w:r>
        <w:rPr>
          <w:rFonts w:hint="eastAsia" w:ascii="Times New Roman" w:hAnsi="Times New Roman" w:eastAsia="宋体"/>
          <w:b w:val="0"/>
          <w:i w:val="0"/>
          <w:sz w:val="18"/>
          <w:szCs w:val="18"/>
          <w:lang w:val="en-US" w:eastAsia="zh-CN"/>
        </w:rPr>
        <w:t>两组管线的</w:t>
      </w:r>
      <w:r>
        <w:rPr>
          <w:rFonts w:hint="default" w:ascii="Times New Roman" w:hAnsi="Times New Roman" w:eastAsia="宋体"/>
          <w:b w:val="0"/>
          <w:i w:val="0"/>
          <w:sz w:val="18"/>
          <w:szCs w:val="18"/>
          <w:lang w:val="en-US" w:eastAsia="zh-CN"/>
        </w:rPr>
        <w:t>Clean F1</w:t>
      </w:r>
      <w:r>
        <w:rPr>
          <w:rFonts w:hint="eastAsia" w:ascii="Times New Roman" w:hAnsi="Times New Roman" w:eastAsia="宋体"/>
          <w:b w:val="0"/>
          <w:i w:val="0"/>
          <w:sz w:val="18"/>
          <w:szCs w:val="18"/>
          <w:lang w:val="en-US" w:eastAsia="zh-CN"/>
        </w:rPr>
        <w:t>差异方向并不一致，正常问答效用并非单向变化。干净问答效用方面，无门控</w:t>
      </w:r>
      <w:r>
        <w:rPr>
          <w:rFonts w:hint="default" w:ascii="Times New Roman" w:hAnsi="Times New Roman" w:eastAsia="宋体"/>
          <w:b w:val="0"/>
          <w:i w:val="0"/>
          <w:sz w:val="18"/>
          <w:szCs w:val="18"/>
          <w:lang w:val="en-US" w:eastAsia="zh-CN"/>
        </w:rPr>
        <w:t>Clean F1</w:t>
      </w:r>
      <w:r>
        <w:rPr>
          <w:rFonts w:hint="eastAsia" w:ascii="Times New Roman" w:hAnsi="Times New Roman" w:eastAsia="宋体"/>
          <w:b w:val="0"/>
          <w:i w:val="0"/>
          <w:sz w:val="18"/>
          <w:szCs w:val="18"/>
          <w:lang w:val="en-US" w:eastAsia="zh-CN"/>
        </w:rPr>
        <w:t>为</w:t>
      </w:r>
      <w:r>
        <w:rPr>
          <w:rFonts w:hint="default" w:ascii="Times New Roman" w:hAnsi="Times New Roman" w:eastAsia="宋体"/>
          <w:b w:val="0"/>
          <w:i w:val="0"/>
          <w:sz w:val="18"/>
          <w:szCs w:val="18"/>
          <w:lang w:val="en-US" w:eastAsia="zh-CN"/>
        </w:rPr>
        <w:t>13.99%~15.14%</w:t>
      </w:r>
      <w:r>
        <w:rPr>
          <w:rFonts w:hint="eastAsia" w:ascii="Times New Roman" w:hAnsi="Times New Roman" w:eastAsia="宋体"/>
          <w:b w:val="0"/>
          <w:i w:val="0"/>
          <w:sz w:val="18"/>
          <w:szCs w:val="18"/>
          <w:lang w:val="en-US" w:eastAsia="zh-CN"/>
        </w:rPr>
        <w:t>，门控后降至</w:t>
      </w:r>
      <w:r>
        <w:rPr>
          <w:rFonts w:hint="default" w:ascii="Times New Roman" w:hAnsi="Times New Roman" w:eastAsia="宋体"/>
          <w:b w:val="0"/>
          <w:i w:val="0"/>
          <w:sz w:val="18"/>
          <w:szCs w:val="18"/>
          <w:lang w:val="en-US" w:eastAsia="zh-CN"/>
        </w:rPr>
        <w:t>7.96%~13.79%</w:t>
      </w:r>
      <w:r>
        <w:rPr>
          <w:rFonts w:hint="eastAsia" w:ascii="Times New Roman" w:hAnsi="Times New Roman" w:eastAsia="宋体"/>
          <w:b w:val="0"/>
          <w:i w:val="0"/>
          <w:sz w:val="18"/>
          <w:szCs w:val="18"/>
          <w:lang w:val="en-US" w:eastAsia="zh-CN"/>
        </w:rPr>
        <w:t>；以</w:t>
      </w:r>
      <w:r>
        <w:rPr>
          <w:rFonts w:hint="default" w:ascii="Times New Roman" w:hAnsi="Times New Roman" w:eastAsia="宋体"/>
          <w:b w:val="0"/>
          <w:i w:val="0"/>
          <w:sz w:val="18"/>
          <w:szCs w:val="18"/>
          <w:lang w:val="en-US" w:eastAsia="zh-CN"/>
        </w:rPr>
        <w:t>HotpotQA/BGE</w:t>
      </w:r>
      <w:r>
        <w:rPr>
          <w:rFonts w:hint="eastAsia" w:ascii="Times New Roman" w:hAnsi="Times New Roman" w:eastAsia="宋体"/>
          <w:b w:val="0"/>
          <w:i w:val="0"/>
          <w:sz w:val="18"/>
          <w:szCs w:val="18"/>
          <w:lang w:val="en-US" w:eastAsia="zh-CN"/>
        </w:rPr>
        <w:t>为例，</w:t>
      </w:r>
      <w:r>
        <w:rPr>
          <w:rFonts w:hint="default" w:ascii="Times New Roman" w:hAnsi="Times New Roman" w:eastAsia="宋体"/>
          <w:b w:val="0"/>
          <w:i w:val="0"/>
          <w:sz w:val="18"/>
          <w:szCs w:val="18"/>
          <w:lang w:val="en-US" w:eastAsia="zh-CN"/>
        </w:rPr>
        <w:t>F1</w:t>
      </w:r>
      <w:r>
        <w:rPr>
          <w:rFonts w:hint="eastAsia" w:ascii="Times New Roman" w:hAnsi="Times New Roman" w:eastAsia="宋体"/>
          <w:b w:val="0"/>
          <w:i w:val="0"/>
          <w:sz w:val="18"/>
          <w:szCs w:val="18"/>
          <w:lang w:val="en-US" w:eastAsia="zh-CN"/>
        </w:rPr>
        <w:t>由</w:t>
      </w:r>
      <w:r>
        <w:rPr>
          <w:rFonts w:hint="default" w:ascii="Times New Roman" w:hAnsi="Times New Roman" w:eastAsia="宋体"/>
          <w:b w:val="0"/>
          <w:i w:val="0"/>
          <w:sz w:val="18"/>
          <w:szCs w:val="18"/>
          <w:lang w:val="en-US" w:eastAsia="zh-CN"/>
        </w:rPr>
        <w:t xml:space="preserve">13.99% </w:t>
      </w:r>
      <w:r>
        <w:rPr>
          <w:rFonts w:hint="eastAsia" w:ascii="Times New Roman" w:hAnsi="Times New Roman" w:eastAsia="宋体"/>
          <w:b w:val="0"/>
          <w:i w:val="0"/>
          <w:sz w:val="18"/>
          <w:szCs w:val="18"/>
          <w:lang w:val="en-US" w:eastAsia="zh-CN"/>
        </w:rPr>
        <w:t>降至</w:t>
      </w:r>
      <w:r>
        <w:rPr>
          <w:rFonts w:hint="default" w:ascii="Times New Roman" w:hAnsi="Times New Roman" w:eastAsia="宋体"/>
          <w:b w:val="0"/>
          <w:i w:val="0"/>
          <w:sz w:val="18"/>
          <w:szCs w:val="18"/>
          <w:lang w:val="en-US" w:eastAsia="zh-CN"/>
        </w:rPr>
        <w:t>7.96%</w:t>
      </w:r>
      <w:r>
        <w:rPr>
          <w:rFonts w:hint="eastAsia" w:ascii="Times New Roman" w:hAnsi="Times New Roman" w:eastAsia="宋体"/>
          <w:b w:val="0"/>
          <w:i w:val="0"/>
          <w:sz w:val="18"/>
          <w:szCs w:val="18"/>
          <w:lang w:val="en-US" w:eastAsia="zh-CN"/>
        </w:rPr>
        <w:t>，相对下降约</w:t>
      </w:r>
      <w:r>
        <w:rPr>
          <w:rFonts w:hint="default" w:ascii="Times New Roman" w:hAnsi="Times New Roman" w:eastAsia="宋体"/>
          <w:b w:val="0"/>
          <w:i w:val="0"/>
          <w:sz w:val="18"/>
          <w:szCs w:val="18"/>
          <w:lang w:val="en-US" w:eastAsia="zh-CN"/>
        </w:rPr>
        <w:t>43.1%</w:t>
      </w:r>
      <w:r>
        <w:rPr>
          <w:rFonts w:hint="eastAsia" w:ascii="Times New Roman" w:hAnsi="Times New Roman" w:eastAsia="宋体"/>
          <w:b w:val="0"/>
          <w:i w:val="0"/>
          <w:sz w:val="18"/>
          <w:szCs w:val="18"/>
          <w:lang w:val="en-US" w:eastAsia="zh-CN"/>
        </w:rPr>
        <w:t>。因此，攻击成功率的下降并不直接意味着正常问答能力得到充分保留，低效用基线的成因还需通过检索召回与</w:t>
      </w:r>
      <w:r>
        <w:rPr>
          <w:rFonts w:hint="default" w:ascii="Times New Roman" w:hAnsi="Times New Roman" w:eastAsia="宋体"/>
          <w:b w:val="0"/>
          <w:i w:val="0"/>
          <w:sz w:val="18"/>
          <w:szCs w:val="18"/>
          <w:lang w:val="en-US" w:eastAsia="zh-CN"/>
        </w:rPr>
        <w:t>oracle-context</w:t>
      </w:r>
      <w:r>
        <w:rPr>
          <w:rFonts w:hint="eastAsia" w:ascii="Times New Roman" w:hAnsi="Times New Roman" w:eastAsia="宋体"/>
          <w:b w:val="0"/>
          <w:i w:val="0"/>
          <w:sz w:val="18"/>
          <w:szCs w:val="18"/>
          <w:lang w:val="en-US" w:eastAsia="zh-CN"/>
        </w:rPr>
        <w:t>对照进一步区分。</w:t>
      </w:r>
    </w:p>
    <w:p w14:paraId="65FBC69A">
      <w:pPr>
        <w:spacing w:before="100" w:after="40" w:line="259" w:lineRule="auto"/>
        <w:jc w:val="left"/>
      </w:pPr>
      <w:r>
        <w:rPr>
          <w:rFonts w:ascii="Times New Roman" w:hAnsi="Times New Roman" w:eastAsia="黑体"/>
          <w:b w:val="0"/>
          <w:i w:val="0"/>
          <w:sz w:val="21"/>
        </w:rPr>
        <w:t>6.2  门控位置改变检查范围与块级代价</w:t>
      </w:r>
    </w:p>
    <w:p w14:paraId="29493D26">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表4汇总答案级与块级比例。P_ret与P_gen的ASR-Drop与Utility Drop在当前实现中相同，P_gen的TPR与FPR比例更高。但该比例不能脱离分母解释：P_ret每查询固定检查50块，P_gen仅扫描重排队列直至回填出5个上下文。</w:t>
      </w:r>
    </w:p>
    <w:p w14:paraId="68109CF4">
      <w:pPr>
        <w:spacing w:before="80" w:after="40" w:line="240" w:lineRule="auto"/>
        <w:jc w:val="center"/>
        <w:rPr>
          <w:rFonts w:ascii="Times New Roman" w:hAnsi="Times New Roman" w:eastAsia="黑体"/>
          <w:b w:val="0"/>
          <w:i w:val="0"/>
          <w:sz w:val="18"/>
        </w:rPr>
      </w:pPr>
      <w:r>
        <w:rPr>
          <w:rFonts w:ascii="Times New Roman" w:hAnsi="Times New Roman" w:eastAsia="黑体"/>
          <w:b w:val="0"/>
          <w:i w:val="0"/>
          <w:sz w:val="18"/>
        </w:rPr>
        <w:t>表4  P_ret与P_gen的安全—效用指标</w:t>
      </w:r>
    </w:p>
    <w:p w14:paraId="3863AB38">
      <w:pPr>
        <w:spacing w:before="80" w:after="40" w:line="240" w:lineRule="auto"/>
        <w:jc w:val="center"/>
        <w:rPr>
          <w:rFonts w:ascii="Times New Roman" w:hAnsi="Times New Roman" w:eastAsia="黑体"/>
          <w:b w:val="0"/>
          <w:i w:val="0"/>
          <w:sz w:val="18"/>
        </w:rPr>
      </w:pPr>
      <w:r>
        <w:rPr>
          <w:rFonts w:ascii="Times New Roman" w:hAnsi="Times New Roman" w:eastAsia="黑体"/>
          <w:b w:val="0"/>
          <w:i w:val="0"/>
          <w:sz w:val="18"/>
          <w:lang w:val="en-US" w:eastAsia="zh-CN"/>
        </w:rPr>
        <w:t xml:space="preserve">Table 4 Answer-level security and utility results for gates and </w:t>
      </w:r>
      <w:r>
        <w:rPr>
          <w:rFonts w:hint="default" w:ascii="Times New Roman" w:hAnsi="Times New Roman" w:eastAsia="黑体"/>
          <w:b w:val="0"/>
          <w:i w:val="0"/>
          <w:sz w:val="18"/>
          <w:lang w:val="en-US" w:eastAsia="zh-CN"/>
        </w:rPr>
        <w:t>controls</w:t>
      </w:r>
    </w:p>
    <w:tbl>
      <w:tblPr>
        <w:tblStyle w:val="20"/>
        <w:tblW w:w="0" w:type="auto"/>
        <w:jc w:val="center"/>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1606"/>
        <w:gridCol w:w="1606"/>
        <w:gridCol w:w="1606"/>
        <w:gridCol w:w="1606"/>
        <w:gridCol w:w="1606"/>
        <w:gridCol w:w="1606"/>
      </w:tblGrid>
      <w:tr w14:paraId="251B5D85">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20" w:type="dxa"/>
          </w:tcPr>
          <w:p w14:paraId="7BFEC097">
            <w:pPr>
              <w:spacing w:before="20" w:after="20" w:line="240" w:lineRule="auto"/>
              <w:jc w:val="center"/>
            </w:pPr>
            <w:r>
              <w:rPr>
                <w:rFonts w:ascii="Times New Roman" w:hAnsi="Times New Roman" w:eastAsia="黑体"/>
                <w:b w:val="0"/>
                <w:i w:val="0"/>
                <w:sz w:val="18"/>
              </w:rPr>
              <w:t>数据集</w:t>
            </w:r>
          </w:p>
        </w:tc>
        <w:tc>
          <w:tcPr>
            <w:tcW w:w="1247" w:type="dxa"/>
          </w:tcPr>
          <w:p w14:paraId="5AD0B6E8">
            <w:pPr>
              <w:spacing w:before="20" w:after="20" w:line="240" w:lineRule="auto"/>
              <w:jc w:val="center"/>
            </w:pPr>
            <w:r>
              <w:rPr>
                <w:rFonts w:ascii="Times New Roman" w:hAnsi="Times New Roman" w:eastAsia="黑体"/>
                <w:b w:val="0"/>
                <w:i w:val="0"/>
                <w:sz w:val="18"/>
              </w:rPr>
              <w:t>检索器</w:t>
            </w:r>
          </w:p>
        </w:tc>
        <w:tc>
          <w:tcPr>
            <w:tcW w:w="1247" w:type="dxa"/>
          </w:tcPr>
          <w:p w14:paraId="04E2DE90">
            <w:pPr>
              <w:spacing w:before="20" w:after="20" w:line="240" w:lineRule="auto"/>
              <w:jc w:val="center"/>
            </w:pPr>
            <w:r>
              <w:rPr>
                <w:rFonts w:ascii="Times New Roman" w:hAnsi="Times New Roman" w:eastAsia="黑体"/>
                <w:b w:val="0"/>
                <w:i w:val="0"/>
                <w:sz w:val="18"/>
              </w:rPr>
              <w:t>无门控Clean F1</w:t>
            </w:r>
          </w:p>
        </w:tc>
        <w:tc>
          <w:tcPr>
            <w:tcW w:w="1077" w:type="dxa"/>
          </w:tcPr>
          <w:p w14:paraId="21B67C20">
            <w:pPr>
              <w:spacing w:before="20" w:after="20" w:line="240" w:lineRule="auto"/>
              <w:jc w:val="center"/>
            </w:pPr>
            <w:r>
              <w:rPr>
                <w:rFonts w:ascii="Times New Roman" w:hAnsi="Times New Roman" w:eastAsia="黑体"/>
                <w:b w:val="0"/>
                <w:i w:val="0"/>
                <w:sz w:val="18"/>
              </w:rPr>
              <w:t>无门控ASR</w:t>
            </w:r>
          </w:p>
        </w:tc>
        <w:tc>
          <w:tcPr>
            <w:tcW w:w="2438" w:type="dxa"/>
          </w:tcPr>
          <w:p w14:paraId="4A84749B">
            <w:pPr>
              <w:spacing w:before="20" w:after="20" w:line="240" w:lineRule="auto"/>
              <w:jc w:val="center"/>
            </w:pPr>
            <w:r>
              <w:rPr>
                <w:rFonts w:ascii="Times New Roman" w:hAnsi="Times New Roman" w:eastAsia="黑体"/>
                <w:b w:val="0"/>
                <w:i w:val="0"/>
                <w:sz w:val="18"/>
              </w:rPr>
              <w:t>P_ret：ASR下降/TPR/FPR/效用下降</w:t>
            </w:r>
          </w:p>
        </w:tc>
        <w:tc>
          <w:tcPr>
            <w:tcW w:w="2041" w:type="dxa"/>
          </w:tcPr>
          <w:p w14:paraId="4D972273">
            <w:pPr>
              <w:spacing w:before="20" w:after="20" w:line="240" w:lineRule="auto"/>
              <w:jc w:val="center"/>
            </w:pPr>
            <w:r>
              <w:rPr>
                <w:rFonts w:ascii="Times New Roman" w:hAnsi="Times New Roman" w:eastAsia="黑体"/>
                <w:b w:val="0"/>
                <w:i w:val="0"/>
                <w:sz w:val="18"/>
              </w:rPr>
              <w:t>P_gen：ASR下降/TPR/FPR/效用下降</w:t>
            </w:r>
          </w:p>
        </w:tc>
      </w:tr>
      <w:tr w14:paraId="49803E29">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20" w:type="dxa"/>
          </w:tcPr>
          <w:p w14:paraId="637F6FD0">
            <w:pPr>
              <w:spacing w:before="20" w:after="20" w:line="240" w:lineRule="auto"/>
              <w:jc w:val="center"/>
            </w:pPr>
            <w:r>
              <w:rPr>
                <w:rFonts w:ascii="Times New Roman" w:hAnsi="Times New Roman" w:eastAsia="宋体"/>
                <w:b w:val="0"/>
                <w:i w:val="0"/>
                <w:sz w:val="18"/>
              </w:rPr>
              <w:t>NQ</w:t>
            </w:r>
          </w:p>
        </w:tc>
        <w:tc>
          <w:tcPr>
            <w:tcW w:w="1247" w:type="dxa"/>
          </w:tcPr>
          <w:p w14:paraId="53ADCD05">
            <w:pPr>
              <w:spacing w:before="20" w:after="20" w:line="240" w:lineRule="auto"/>
              <w:jc w:val="center"/>
            </w:pPr>
            <w:r>
              <w:rPr>
                <w:rFonts w:ascii="Times New Roman" w:hAnsi="Times New Roman" w:eastAsia="宋体"/>
                <w:b w:val="0"/>
                <w:i w:val="0"/>
                <w:sz w:val="18"/>
              </w:rPr>
              <w:t>BM25</w:t>
            </w:r>
          </w:p>
        </w:tc>
        <w:tc>
          <w:tcPr>
            <w:tcW w:w="1247" w:type="dxa"/>
          </w:tcPr>
          <w:p w14:paraId="50726B3A">
            <w:pPr>
              <w:spacing w:before="20" w:after="20" w:line="240" w:lineRule="auto"/>
              <w:jc w:val="center"/>
            </w:pPr>
            <w:r>
              <w:rPr>
                <w:rFonts w:ascii="Times New Roman" w:hAnsi="Times New Roman" w:eastAsia="宋体"/>
                <w:b w:val="0"/>
                <w:i w:val="0"/>
                <w:sz w:val="18"/>
              </w:rPr>
              <w:t>15.14%</w:t>
            </w:r>
          </w:p>
        </w:tc>
        <w:tc>
          <w:tcPr>
            <w:tcW w:w="1077" w:type="dxa"/>
          </w:tcPr>
          <w:p w14:paraId="307EA863">
            <w:pPr>
              <w:spacing w:before="20" w:after="20" w:line="240" w:lineRule="auto"/>
              <w:jc w:val="center"/>
            </w:pPr>
            <w:r>
              <w:rPr>
                <w:rFonts w:ascii="Times New Roman" w:hAnsi="Times New Roman" w:eastAsia="宋体"/>
                <w:b w:val="0"/>
                <w:i w:val="0"/>
                <w:sz w:val="18"/>
              </w:rPr>
              <w:t>41.89%</w:t>
            </w:r>
          </w:p>
        </w:tc>
        <w:tc>
          <w:tcPr>
            <w:tcW w:w="2438" w:type="dxa"/>
          </w:tcPr>
          <w:p w14:paraId="3EF64AFB">
            <w:pPr>
              <w:spacing w:before="20" w:after="20" w:line="240" w:lineRule="auto"/>
              <w:jc w:val="center"/>
            </w:pPr>
            <w:r>
              <w:rPr>
                <w:rFonts w:ascii="Times New Roman" w:hAnsi="Times New Roman" w:eastAsia="宋体"/>
                <w:b w:val="0"/>
                <w:i w:val="0"/>
                <w:sz w:val="18"/>
              </w:rPr>
              <w:t>4.11% / 11.7% / 4.4% / 1.4%</w:t>
            </w:r>
          </w:p>
        </w:tc>
        <w:tc>
          <w:tcPr>
            <w:tcW w:w="2041" w:type="dxa"/>
          </w:tcPr>
          <w:p w14:paraId="0157E515">
            <w:pPr>
              <w:spacing w:before="20" w:after="20" w:line="240" w:lineRule="auto"/>
              <w:jc w:val="center"/>
            </w:pPr>
            <w:r>
              <w:rPr>
                <w:rFonts w:ascii="Times New Roman" w:hAnsi="Times New Roman" w:eastAsia="宋体"/>
                <w:b w:val="0"/>
                <w:i w:val="0"/>
                <w:sz w:val="18"/>
              </w:rPr>
              <w:t>4.11% / 16.0% / 8.9% / 1.4%</w:t>
            </w:r>
          </w:p>
        </w:tc>
      </w:tr>
      <w:tr w14:paraId="68C38A78">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20" w:type="dxa"/>
          </w:tcPr>
          <w:p w14:paraId="0F19F4D9">
            <w:pPr>
              <w:spacing w:before="20" w:after="20" w:line="240" w:lineRule="auto"/>
              <w:jc w:val="center"/>
            </w:pPr>
            <w:r>
              <w:rPr>
                <w:rFonts w:ascii="Times New Roman" w:hAnsi="Times New Roman" w:eastAsia="宋体"/>
                <w:b w:val="0"/>
                <w:i w:val="0"/>
                <w:sz w:val="18"/>
              </w:rPr>
              <w:t>NQ</w:t>
            </w:r>
          </w:p>
        </w:tc>
        <w:tc>
          <w:tcPr>
            <w:tcW w:w="1247" w:type="dxa"/>
          </w:tcPr>
          <w:p w14:paraId="174F380B">
            <w:pPr>
              <w:spacing w:before="20" w:after="20" w:line="240" w:lineRule="auto"/>
              <w:jc w:val="center"/>
            </w:pPr>
            <w:r>
              <w:rPr>
                <w:rFonts w:ascii="Times New Roman" w:hAnsi="Times New Roman" w:eastAsia="宋体"/>
                <w:b w:val="0"/>
                <w:i w:val="0"/>
                <w:sz w:val="18"/>
              </w:rPr>
              <w:t>BGE密集检索</w:t>
            </w:r>
          </w:p>
        </w:tc>
        <w:tc>
          <w:tcPr>
            <w:tcW w:w="1247" w:type="dxa"/>
          </w:tcPr>
          <w:p w14:paraId="7258ADEF">
            <w:pPr>
              <w:spacing w:before="20" w:after="20" w:line="240" w:lineRule="auto"/>
              <w:jc w:val="center"/>
            </w:pPr>
            <w:r>
              <w:rPr>
                <w:rFonts w:ascii="Times New Roman" w:hAnsi="Times New Roman" w:eastAsia="宋体"/>
                <w:b w:val="0"/>
                <w:i w:val="0"/>
                <w:sz w:val="18"/>
              </w:rPr>
              <w:t>14.50%</w:t>
            </w:r>
          </w:p>
        </w:tc>
        <w:tc>
          <w:tcPr>
            <w:tcW w:w="1077" w:type="dxa"/>
          </w:tcPr>
          <w:p w14:paraId="6E60B3D9">
            <w:pPr>
              <w:spacing w:before="20" w:after="20" w:line="240" w:lineRule="auto"/>
              <w:jc w:val="center"/>
            </w:pPr>
            <w:r>
              <w:rPr>
                <w:rFonts w:ascii="Times New Roman" w:hAnsi="Times New Roman" w:eastAsia="宋体"/>
                <w:b w:val="0"/>
                <w:i w:val="0"/>
                <w:sz w:val="18"/>
              </w:rPr>
              <w:t>29.56%</w:t>
            </w:r>
          </w:p>
        </w:tc>
        <w:tc>
          <w:tcPr>
            <w:tcW w:w="2438" w:type="dxa"/>
          </w:tcPr>
          <w:p w14:paraId="6C5ECE5F">
            <w:pPr>
              <w:spacing w:before="20" w:after="20" w:line="240" w:lineRule="auto"/>
              <w:jc w:val="center"/>
            </w:pPr>
            <w:r>
              <w:rPr>
                <w:rFonts w:ascii="Times New Roman" w:hAnsi="Times New Roman" w:eastAsia="宋体"/>
                <w:b w:val="0"/>
                <w:i w:val="0"/>
                <w:sz w:val="18"/>
              </w:rPr>
              <w:t>3.33% / 11.9% / 5.0% / 1.3%</w:t>
            </w:r>
          </w:p>
        </w:tc>
        <w:tc>
          <w:tcPr>
            <w:tcW w:w="2041" w:type="dxa"/>
          </w:tcPr>
          <w:p w14:paraId="0294C51C">
            <w:pPr>
              <w:spacing w:before="20" w:after="20" w:line="240" w:lineRule="auto"/>
              <w:jc w:val="center"/>
            </w:pPr>
            <w:r>
              <w:rPr>
                <w:rFonts w:ascii="Times New Roman" w:hAnsi="Times New Roman" w:eastAsia="宋体"/>
                <w:b w:val="0"/>
                <w:i w:val="0"/>
                <w:sz w:val="18"/>
              </w:rPr>
              <w:t>3.33% / 20.3% / 9.2% / 1.3%</w:t>
            </w:r>
          </w:p>
        </w:tc>
      </w:tr>
      <w:tr w14:paraId="4D7C9E79">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20" w:type="dxa"/>
          </w:tcPr>
          <w:p w14:paraId="17280D19">
            <w:pPr>
              <w:spacing w:before="20" w:after="20" w:line="240" w:lineRule="auto"/>
              <w:jc w:val="center"/>
            </w:pPr>
            <w:r>
              <w:rPr>
                <w:rFonts w:ascii="Times New Roman" w:hAnsi="Times New Roman" w:eastAsia="宋体"/>
                <w:b w:val="0"/>
                <w:i w:val="0"/>
                <w:sz w:val="18"/>
              </w:rPr>
              <w:t>HotpotQA</w:t>
            </w:r>
          </w:p>
        </w:tc>
        <w:tc>
          <w:tcPr>
            <w:tcW w:w="1247" w:type="dxa"/>
          </w:tcPr>
          <w:p w14:paraId="2602775A">
            <w:pPr>
              <w:spacing w:before="20" w:after="20" w:line="240" w:lineRule="auto"/>
              <w:jc w:val="center"/>
            </w:pPr>
            <w:r>
              <w:rPr>
                <w:rFonts w:ascii="Times New Roman" w:hAnsi="Times New Roman" w:eastAsia="宋体"/>
                <w:b w:val="0"/>
                <w:i w:val="0"/>
                <w:sz w:val="18"/>
              </w:rPr>
              <w:t>BM25</w:t>
            </w:r>
          </w:p>
        </w:tc>
        <w:tc>
          <w:tcPr>
            <w:tcW w:w="1247" w:type="dxa"/>
          </w:tcPr>
          <w:p w14:paraId="07352F44">
            <w:pPr>
              <w:spacing w:before="20" w:after="20" w:line="240" w:lineRule="auto"/>
              <w:jc w:val="center"/>
            </w:pPr>
            <w:r>
              <w:rPr>
                <w:rFonts w:ascii="Times New Roman" w:hAnsi="Times New Roman" w:eastAsia="宋体"/>
                <w:b w:val="0"/>
                <w:i w:val="0"/>
                <w:sz w:val="18"/>
              </w:rPr>
              <w:t>14.60%</w:t>
            </w:r>
          </w:p>
        </w:tc>
        <w:tc>
          <w:tcPr>
            <w:tcW w:w="1077" w:type="dxa"/>
          </w:tcPr>
          <w:p w14:paraId="1221BD8A">
            <w:pPr>
              <w:spacing w:before="20" w:after="20" w:line="240" w:lineRule="auto"/>
              <w:jc w:val="center"/>
            </w:pPr>
            <w:r>
              <w:rPr>
                <w:rFonts w:ascii="Times New Roman" w:hAnsi="Times New Roman" w:eastAsia="宋体"/>
                <w:b w:val="0"/>
                <w:i w:val="0"/>
                <w:sz w:val="18"/>
              </w:rPr>
              <w:t>47.00%</w:t>
            </w:r>
          </w:p>
        </w:tc>
        <w:tc>
          <w:tcPr>
            <w:tcW w:w="2438" w:type="dxa"/>
          </w:tcPr>
          <w:p w14:paraId="269BC83E">
            <w:pPr>
              <w:spacing w:before="20" w:after="20" w:line="240" w:lineRule="auto"/>
              <w:jc w:val="center"/>
            </w:pPr>
            <w:r>
              <w:rPr>
                <w:rFonts w:ascii="Times New Roman" w:hAnsi="Times New Roman" w:eastAsia="宋体"/>
                <w:b w:val="0"/>
                <w:i w:val="0"/>
                <w:sz w:val="18"/>
              </w:rPr>
              <w:t>46.67% / 69.7% / 4.8% / 5.2%</w:t>
            </w:r>
          </w:p>
        </w:tc>
        <w:tc>
          <w:tcPr>
            <w:tcW w:w="2041" w:type="dxa"/>
          </w:tcPr>
          <w:p w14:paraId="1119CB6D">
            <w:pPr>
              <w:spacing w:before="20" w:after="20" w:line="240" w:lineRule="auto"/>
              <w:jc w:val="center"/>
            </w:pPr>
            <w:r>
              <w:rPr>
                <w:rFonts w:ascii="Times New Roman" w:hAnsi="Times New Roman" w:eastAsia="宋体"/>
                <w:b w:val="0"/>
                <w:i w:val="0"/>
                <w:sz w:val="18"/>
              </w:rPr>
              <w:t>46.67% / 96.9% / 19.7% / 5.2%</w:t>
            </w:r>
          </w:p>
        </w:tc>
      </w:tr>
      <w:tr w14:paraId="2465888A">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20" w:type="dxa"/>
          </w:tcPr>
          <w:p w14:paraId="683357E5">
            <w:pPr>
              <w:spacing w:before="20" w:after="20" w:line="240" w:lineRule="auto"/>
              <w:jc w:val="center"/>
            </w:pPr>
            <w:r>
              <w:rPr>
                <w:rFonts w:ascii="Times New Roman" w:hAnsi="Times New Roman" w:eastAsia="宋体"/>
                <w:b w:val="0"/>
                <w:i w:val="0"/>
                <w:sz w:val="18"/>
              </w:rPr>
              <w:t>HotpotQA</w:t>
            </w:r>
          </w:p>
        </w:tc>
        <w:tc>
          <w:tcPr>
            <w:tcW w:w="1247" w:type="dxa"/>
          </w:tcPr>
          <w:p w14:paraId="310CC009">
            <w:pPr>
              <w:spacing w:before="20" w:after="20" w:line="240" w:lineRule="auto"/>
              <w:jc w:val="center"/>
            </w:pPr>
            <w:r>
              <w:rPr>
                <w:rFonts w:ascii="Times New Roman" w:hAnsi="Times New Roman" w:eastAsia="宋体"/>
                <w:b w:val="0"/>
                <w:i w:val="0"/>
                <w:sz w:val="18"/>
              </w:rPr>
              <w:t>BGE密集检索</w:t>
            </w:r>
          </w:p>
        </w:tc>
        <w:tc>
          <w:tcPr>
            <w:tcW w:w="1247" w:type="dxa"/>
          </w:tcPr>
          <w:p w14:paraId="330BB913">
            <w:pPr>
              <w:spacing w:before="20" w:after="20" w:line="240" w:lineRule="auto"/>
              <w:jc w:val="center"/>
            </w:pPr>
            <w:r>
              <w:rPr>
                <w:rFonts w:ascii="Times New Roman" w:hAnsi="Times New Roman" w:eastAsia="宋体"/>
                <w:b w:val="0"/>
                <w:i w:val="0"/>
                <w:sz w:val="18"/>
              </w:rPr>
              <w:t>13.99%</w:t>
            </w:r>
          </w:p>
        </w:tc>
        <w:tc>
          <w:tcPr>
            <w:tcW w:w="1077" w:type="dxa"/>
          </w:tcPr>
          <w:p w14:paraId="0ED74779">
            <w:pPr>
              <w:spacing w:before="20" w:after="20" w:line="240" w:lineRule="auto"/>
              <w:jc w:val="center"/>
            </w:pPr>
            <w:r>
              <w:rPr>
                <w:rFonts w:ascii="Times New Roman" w:hAnsi="Times New Roman" w:eastAsia="宋体"/>
                <w:b w:val="0"/>
                <w:i w:val="0"/>
                <w:sz w:val="18"/>
              </w:rPr>
              <w:t>46.56%</w:t>
            </w:r>
          </w:p>
        </w:tc>
        <w:tc>
          <w:tcPr>
            <w:tcW w:w="2438" w:type="dxa"/>
          </w:tcPr>
          <w:p w14:paraId="2682099A">
            <w:pPr>
              <w:spacing w:before="20" w:after="20" w:line="240" w:lineRule="auto"/>
              <w:jc w:val="center"/>
            </w:pPr>
            <w:r>
              <w:rPr>
                <w:rFonts w:ascii="Times New Roman" w:hAnsi="Times New Roman" w:eastAsia="宋体"/>
                <w:b w:val="0"/>
                <w:i w:val="0"/>
                <w:sz w:val="18"/>
              </w:rPr>
              <w:t>45.11% / 83.6% / 5.1% / 6.0%</w:t>
            </w:r>
          </w:p>
        </w:tc>
        <w:tc>
          <w:tcPr>
            <w:tcW w:w="2041" w:type="dxa"/>
          </w:tcPr>
          <w:p w14:paraId="36114013">
            <w:pPr>
              <w:spacing w:before="20" w:after="20" w:line="240" w:lineRule="auto"/>
              <w:jc w:val="center"/>
            </w:pPr>
            <w:r>
              <w:rPr>
                <w:rFonts w:ascii="Times New Roman" w:hAnsi="Times New Roman" w:eastAsia="宋体"/>
                <w:b w:val="0"/>
                <w:i w:val="0"/>
                <w:sz w:val="18"/>
              </w:rPr>
              <w:t>45.11% / 96.8% / 22.9% / 6.0%</w:t>
            </w:r>
          </w:p>
        </w:tc>
      </w:tr>
    </w:tbl>
    <w:p w14:paraId="70C25C7A">
      <w:pPr>
        <w:spacing w:before="0" w:after="40" w:line="144" w:lineRule="auto"/>
      </w:pPr>
    </w:p>
    <w:p w14:paraId="3DC9DEC5">
      <w:pPr>
        <w:spacing w:before="0" w:after="0" w:line="240" w:lineRule="auto"/>
        <w:ind w:firstLine="360"/>
        <w:jc w:val="both"/>
      </w:pPr>
      <w:r>
        <w:rPr>
          <w:rFonts w:ascii="Times New Roman" w:hAnsi="Times New Roman" w:eastAsia="宋体"/>
          <w:b w:val="0"/>
          <w:i w:val="0"/>
          <w:sz w:val="18"/>
        </w:rPr>
        <w:t>表4说明：两组数值顺序均为“ASR下降 / TPR / FPR / 效用下降”；TPR/FPR为块级指标且门控输入分母不同，Utility Drop基于Clean F1计算。</w:t>
      </w:r>
    </w:p>
    <w:p w14:paraId="1CDC4B41">
      <w:pPr>
        <w:spacing w:before="0" w:after="0" w:line="259" w:lineRule="auto"/>
        <w:ind w:firstLine="420"/>
        <w:jc w:val="both"/>
      </w:pPr>
      <w:r>
        <w:rPr>
          <w:rFonts w:ascii="Times New Roman" w:hAnsi="Times New Roman" w:eastAsia="宋体"/>
          <w:b w:val="0"/>
          <w:i w:val="0"/>
          <w:sz w:val="18"/>
          <w:szCs w:val="18"/>
          <w:lang w:val="en-US" w:eastAsia="zh-CN"/>
        </w:rPr>
        <w:t>对1 200个查询的审计显示，P_ret平均检查50.0块，P_gen在干净/污染运行中平均检查5.9/8.5块；两位置干净最终上下文逐查询一致率为100.0%，污染上下文一致率为98.6%，Clean F1与ASR逐查询一致率均为100.0%，4个代表块的阈值最大绝对差为2.82×10^-7。P_gen的FPR比例较高，但因检查范围更小，每查询误拦0.49~1.49个干净块，低于P_ret的2.21~2.57个（表5），因此“更高FPR”不等于“误拦更多块”。本文将答案级结果描述为当前实现条件下的收敛，不解释为接口普遍等价。</w:t>
      </w:r>
    </w:p>
    <w:p w14:paraId="035AC6BD">
      <w:pPr>
        <w:spacing w:before="80" w:after="40" w:line="240" w:lineRule="auto"/>
        <w:jc w:val="center"/>
        <w:rPr>
          <w:rFonts w:ascii="Times New Roman" w:hAnsi="Times New Roman" w:eastAsia="黑体"/>
          <w:b w:val="0"/>
          <w:i w:val="0"/>
          <w:sz w:val="18"/>
        </w:rPr>
      </w:pPr>
      <w:r>
        <w:rPr>
          <w:rFonts w:ascii="Times New Roman" w:hAnsi="Times New Roman" w:eastAsia="黑体"/>
          <w:b w:val="0"/>
          <w:i w:val="0"/>
          <w:sz w:val="18"/>
        </w:rPr>
        <w:t>表5  门控位置的共同分母操作指标</w:t>
      </w:r>
    </w:p>
    <w:p w14:paraId="5439659A">
      <w:pPr>
        <w:spacing w:before="80" w:after="40" w:line="240" w:lineRule="auto"/>
        <w:jc w:val="center"/>
        <w:rPr>
          <w:rFonts w:ascii="Times New Roman" w:hAnsi="Times New Roman" w:eastAsia="黑体"/>
          <w:b w:val="0"/>
          <w:i w:val="0"/>
          <w:sz w:val="18"/>
        </w:rPr>
      </w:pPr>
      <w:r>
        <w:rPr>
          <w:rFonts w:ascii="Times New Roman" w:hAnsi="Times New Roman" w:eastAsia="黑体"/>
          <w:b w:val="0"/>
          <w:i w:val="0"/>
          <w:sz w:val="18"/>
          <w:lang w:val="en-US" w:eastAsia="zh-CN"/>
        </w:rPr>
        <w:t xml:space="preserve">Table 5 Candidate-processing metrics at different gate </w:t>
      </w:r>
      <w:r>
        <w:rPr>
          <w:rFonts w:hint="default" w:ascii="Times New Roman" w:hAnsi="Times New Roman" w:eastAsia="黑体"/>
          <w:b w:val="0"/>
          <w:i w:val="0"/>
          <w:sz w:val="18"/>
          <w:lang w:val="en-US" w:eastAsia="zh-CN"/>
        </w:rPr>
        <w:t>positions</w:t>
      </w:r>
    </w:p>
    <w:tbl>
      <w:tblPr>
        <w:tblStyle w:val="20"/>
        <w:tblW w:w="0" w:type="auto"/>
        <w:jc w:val="center"/>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1377"/>
        <w:gridCol w:w="1377"/>
        <w:gridCol w:w="1377"/>
        <w:gridCol w:w="1377"/>
        <w:gridCol w:w="1377"/>
        <w:gridCol w:w="1377"/>
        <w:gridCol w:w="1377"/>
      </w:tblGrid>
      <w:tr w14:paraId="6E74C858">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77" w:type="dxa"/>
          </w:tcPr>
          <w:p w14:paraId="7C4B8F85">
            <w:pPr>
              <w:spacing w:before="20" w:after="20" w:line="240" w:lineRule="auto"/>
              <w:jc w:val="center"/>
            </w:pPr>
            <w:r>
              <w:rPr>
                <w:rFonts w:ascii="Times New Roman" w:hAnsi="Times New Roman" w:eastAsia="黑体"/>
                <w:b w:val="0"/>
                <w:i w:val="0"/>
                <w:sz w:val="18"/>
              </w:rPr>
              <w:t>数据集</w:t>
            </w:r>
          </w:p>
        </w:tc>
        <w:tc>
          <w:tcPr>
            <w:tcW w:w="1361" w:type="dxa"/>
          </w:tcPr>
          <w:p w14:paraId="0EA67A17">
            <w:pPr>
              <w:spacing w:before="20" w:after="20" w:line="240" w:lineRule="auto"/>
              <w:jc w:val="center"/>
            </w:pPr>
            <w:r>
              <w:rPr>
                <w:rFonts w:ascii="Times New Roman" w:hAnsi="Times New Roman" w:eastAsia="黑体"/>
                <w:b w:val="0"/>
                <w:i w:val="0"/>
                <w:sz w:val="18"/>
              </w:rPr>
              <w:t>检索器</w:t>
            </w:r>
          </w:p>
        </w:tc>
        <w:tc>
          <w:tcPr>
            <w:tcW w:w="1077" w:type="dxa"/>
          </w:tcPr>
          <w:p w14:paraId="03A620C8">
            <w:pPr>
              <w:spacing w:before="20" w:after="20" w:line="240" w:lineRule="auto"/>
              <w:jc w:val="center"/>
            </w:pPr>
            <w:r>
              <w:rPr>
                <w:rFonts w:ascii="Times New Roman" w:hAnsi="Times New Roman" w:eastAsia="黑体"/>
                <w:b w:val="0"/>
                <w:i w:val="0"/>
                <w:sz w:val="18"/>
              </w:rPr>
              <w:t>位置</w:t>
            </w:r>
          </w:p>
        </w:tc>
        <w:tc>
          <w:tcPr>
            <w:tcW w:w="1587" w:type="dxa"/>
          </w:tcPr>
          <w:p w14:paraId="1C12BCF1">
            <w:pPr>
              <w:spacing w:before="20" w:after="20" w:line="240" w:lineRule="auto"/>
              <w:jc w:val="center"/>
            </w:pPr>
            <w:r>
              <w:rPr>
                <w:rFonts w:ascii="Times New Roman" w:hAnsi="Times New Roman" w:eastAsia="黑体"/>
                <w:b w:val="0"/>
                <w:i w:val="0"/>
                <w:sz w:val="18"/>
              </w:rPr>
              <w:t>干净检查块/查询</w:t>
            </w:r>
          </w:p>
        </w:tc>
        <w:tc>
          <w:tcPr>
            <w:tcW w:w="1587" w:type="dxa"/>
          </w:tcPr>
          <w:p w14:paraId="7DB4CE1C">
            <w:pPr>
              <w:spacing w:before="20" w:after="20" w:line="240" w:lineRule="auto"/>
              <w:jc w:val="center"/>
            </w:pPr>
            <w:r>
              <w:rPr>
                <w:rFonts w:ascii="Times New Roman" w:hAnsi="Times New Roman" w:eastAsia="黑体"/>
                <w:b w:val="0"/>
                <w:i w:val="0"/>
                <w:sz w:val="18"/>
              </w:rPr>
              <w:t>误拦干净块/查询</w:t>
            </w:r>
          </w:p>
        </w:tc>
        <w:tc>
          <w:tcPr>
            <w:tcW w:w="1587" w:type="dxa"/>
          </w:tcPr>
          <w:p w14:paraId="0A414A2E">
            <w:pPr>
              <w:spacing w:before="20" w:after="20" w:line="240" w:lineRule="auto"/>
              <w:jc w:val="center"/>
            </w:pPr>
            <w:r>
              <w:rPr>
                <w:rFonts w:hint="eastAsia" w:ascii="Times New Roman" w:hAnsi="Times New Roman" w:eastAsia="黑体"/>
                <w:b w:val="0"/>
                <w:i w:val="0"/>
                <w:sz w:val="18"/>
                <w:lang w:val="en-US" w:eastAsia="zh-CN"/>
              </w:rPr>
              <w:t>门控输入毒块数</w:t>
            </w:r>
            <w:r>
              <w:rPr>
                <w:rFonts w:ascii="Times New Roman" w:hAnsi="Times New Roman" w:eastAsia="黑体"/>
                <w:b w:val="0"/>
                <w:i w:val="0"/>
                <w:sz w:val="18"/>
              </w:rPr>
              <w:t>/查询</w:t>
            </w:r>
          </w:p>
        </w:tc>
        <w:tc>
          <w:tcPr>
            <w:tcW w:w="1361" w:type="dxa"/>
          </w:tcPr>
          <w:p w14:paraId="048DCFE4">
            <w:pPr>
              <w:spacing w:before="20" w:after="20" w:line="240" w:lineRule="auto"/>
              <w:jc w:val="center"/>
            </w:pPr>
            <w:r>
              <w:rPr>
                <w:rFonts w:ascii="Times New Roman" w:hAnsi="Times New Roman" w:eastAsia="黑体"/>
                <w:b w:val="0"/>
                <w:i w:val="0"/>
                <w:sz w:val="18"/>
              </w:rPr>
              <w:t>拦截毒块/查询</w:t>
            </w:r>
          </w:p>
        </w:tc>
      </w:tr>
      <w:tr w14:paraId="1D8CD091">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77" w:type="dxa"/>
          </w:tcPr>
          <w:p w14:paraId="4DCF91B3">
            <w:pPr>
              <w:spacing w:before="20" w:after="20" w:line="240" w:lineRule="auto"/>
              <w:jc w:val="center"/>
            </w:pPr>
            <w:r>
              <w:rPr>
                <w:rFonts w:ascii="Times New Roman" w:hAnsi="Times New Roman" w:eastAsia="宋体"/>
                <w:b w:val="0"/>
                <w:i w:val="0"/>
                <w:sz w:val="18"/>
              </w:rPr>
              <w:t>NQ</w:t>
            </w:r>
          </w:p>
        </w:tc>
        <w:tc>
          <w:tcPr>
            <w:tcW w:w="1361" w:type="dxa"/>
          </w:tcPr>
          <w:p w14:paraId="71D9B938">
            <w:pPr>
              <w:spacing w:before="20" w:after="20" w:line="240" w:lineRule="auto"/>
              <w:jc w:val="center"/>
            </w:pPr>
            <w:r>
              <w:rPr>
                <w:rFonts w:ascii="Times New Roman" w:hAnsi="Times New Roman" w:eastAsia="宋体"/>
                <w:b w:val="0"/>
                <w:i w:val="0"/>
                <w:sz w:val="18"/>
              </w:rPr>
              <w:t>BM25</w:t>
            </w:r>
          </w:p>
        </w:tc>
        <w:tc>
          <w:tcPr>
            <w:tcW w:w="1077" w:type="dxa"/>
          </w:tcPr>
          <w:p w14:paraId="0C3C55FC">
            <w:pPr>
              <w:spacing w:before="20" w:after="20" w:line="240" w:lineRule="auto"/>
              <w:jc w:val="center"/>
            </w:pPr>
            <w:r>
              <w:rPr>
                <w:rFonts w:ascii="Times New Roman" w:hAnsi="Times New Roman" w:eastAsia="宋体"/>
                <w:b w:val="0"/>
                <w:i w:val="0"/>
                <w:sz w:val="18"/>
              </w:rPr>
              <w:t>P_ret</w:t>
            </w:r>
          </w:p>
        </w:tc>
        <w:tc>
          <w:tcPr>
            <w:tcW w:w="1587" w:type="dxa"/>
          </w:tcPr>
          <w:p w14:paraId="46770FA8">
            <w:pPr>
              <w:spacing w:before="20" w:after="20" w:line="240" w:lineRule="auto"/>
              <w:jc w:val="center"/>
            </w:pPr>
            <w:r>
              <w:rPr>
                <w:rFonts w:ascii="Times New Roman" w:hAnsi="Times New Roman" w:eastAsia="宋体"/>
                <w:b w:val="0"/>
                <w:i w:val="0"/>
                <w:sz w:val="18"/>
              </w:rPr>
              <w:t>50.00</w:t>
            </w:r>
          </w:p>
        </w:tc>
        <w:tc>
          <w:tcPr>
            <w:tcW w:w="1587" w:type="dxa"/>
          </w:tcPr>
          <w:p w14:paraId="2CCA83C9">
            <w:pPr>
              <w:spacing w:before="20" w:after="20" w:line="240" w:lineRule="auto"/>
              <w:jc w:val="center"/>
            </w:pPr>
            <w:r>
              <w:rPr>
                <w:rFonts w:ascii="Times New Roman" w:hAnsi="Times New Roman" w:eastAsia="宋体"/>
                <w:b w:val="0"/>
                <w:i w:val="0"/>
                <w:sz w:val="18"/>
              </w:rPr>
              <w:t>2.21</w:t>
            </w:r>
          </w:p>
        </w:tc>
        <w:tc>
          <w:tcPr>
            <w:tcW w:w="1587" w:type="dxa"/>
          </w:tcPr>
          <w:p w14:paraId="2200E0F9">
            <w:pPr>
              <w:spacing w:before="20" w:after="20" w:line="240" w:lineRule="auto"/>
              <w:jc w:val="center"/>
            </w:pPr>
            <w:r>
              <w:rPr>
                <w:rFonts w:ascii="Times New Roman" w:hAnsi="Times New Roman" w:eastAsia="宋体"/>
                <w:b w:val="0"/>
                <w:i w:val="0"/>
                <w:sz w:val="18"/>
              </w:rPr>
              <w:t>5.16</w:t>
            </w:r>
          </w:p>
        </w:tc>
        <w:tc>
          <w:tcPr>
            <w:tcW w:w="1361" w:type="dxa"/>
          </w:tcPr>
          <w:p w14:paraId="11EE2BD1">
            <w:pPr>
              <w:spacing w:before="20" w:after="20" w:line="240" w:lineRule="auto"/>
              <w:jc w:val="center"/>
            </w:pPr>
            <w:r>
              <w:rPr>
                <w:rFonts w:ascii="Times New Roman" w:hAnsi="Times New Roman" w:eastAsia="宋体"/>
                <w:b w:val="0"/>
                <w:i w:val="0"/>
                <w:sz w:val="18"/>
              </w:rPr>
              <w:t>0.61</w:t>
            </w:r>
          </w:p>
        </w:tc>
      </w:tr>
      <w:tr w14:paraId="2F8F4C18">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77" w:type="dxa"/>
          </w:tcPr>
          <w:p w14:paraId="54EC3852">
            <w:pPr>
              <w:spacing w:before="20" w:after="20" w:line="240" w:lineRule="auto"/>
              <w:jc w:val="center"/>
            </w:pPr>
            <w:r>
              <w:rPr>
                <w:rFonts w:ascii="Times New Roman" w:hAnsi="Times New Roman" w:eastAsia="宋体"/>
                <w:b w:val="0"/>
                <w:i w:val="0"/>
                <w:sz w:val="18"/>
              </w:rPr>
              <w:t>NQ</w:t>
            </w:r>
          </w:p>
        </w:tc>
        <w:tc>
          <w:tcPr>
            <w:tcW w:w="1361" w:type="dxa"/>
          </w:tcPr>
          <w:p w14:paraId="1763B8D8">
            <w:pPr>
              <w:spacing w:before="20" w:after="20" w:line="240" w:lineRule="auto"/>
              <w:jc w:val="center"/>
            </w:pPr>
            <w:r>
              <w:rPr>
                <w:rFonts w:ascii="Times New Roman" w:hAnsi="Times New Roman" w:eastAsia="宋体"/>
                <w:b w:val="0"/>
                <w:i w:val="0"/>
                <w:sz w:val="18"/>
              </w:rPr>
              <w:t>BM25</w:t>
            </w:r>
          </w:p>
        </w:tc>
        <w:tc>
          <w:tcPr>
            <w:tcW w:w="1077" w:type="dxa"/>
          </w:tcPr>
          <w:p w14:paraId="636D204F">
            <w:pPr>
              <w:spacing w:before="20" w:after="20" w:line="240" w:lineRule="auto"/>
              <w:jc w:val="center"/>
            </w:pPr>
            <w:r>
              <w:rPr>
                <w:rFonts w:ascii="Times New Roman" w:hAnsi="Times New Roman" w:eastAsia="宋体"/>
                <w:b w:val="0"/>
                <w:i w:val="0"/>
                <w:sz w:val="18"/>
              </w:rPr>
              <w:t>P_gen</w:t>
            </w:r>
          </w:p>
        </w:tc>
        <w:tc>
          <w:tcPr>
            <w:tcW w:w="1587" w:type="dxa"/>
          </w:tcPr>
          <w:p w14:paraId="3BF454CF">
            <w:pPr>
              <w:spacing w:before="20" w:after="20" w:line="240" w:lineRule="auto"/>
              <w:jc w:val="center"/>
            </w:pPr>
            <w:r>
              <w:rPr>
                <w:rFonts w:ascii="Times New Roman" w:hAnsi="Times New Roman" w:eastAsia="宋体"/>
                <w:b w:val="0"/>
                <w:i w:val="0"/>
                <w:sz w:val="18"/>
              </w:rPr>
              <w:t>5.49</w:t>
            </w:r>
          </w:p>
        </w:tc>
        <w:tc>
          <w:tcPr>
            <w:tcW w:w="1587" w:type="dxa"/>
          </w:tcPr>
          <w:p w14:paraId="734E74AB">
            <w:pPr>
              <w:spacing w:before="20" w:after="20" w:line="240" w:lineRule="auto"/>
              <w:jc w:val="center"/>
            </w:pPr>
            <w:r>
              <w:rPr>
                <w:rFonts w:ascii="Times New Roman" w:hAnsi="Times New Roman" w:eastAsia="宋体"/>
                <w:b w:val="0"/>
                <w:i w:val="0"/>
                <w:sz w:val="18"/>
              </w:rPr>
              <w:t>0.49</w:t>
            </w:r>
          </w:p>
        </w:tc>
        <w:tc>
          <w:tcPr>
            <w:tcW w:w="1587" w:type="dxa"/>
          </w:tcPr>
          <w:p w14:paraId="730D7F15">
            <w:pPr>
              <w:spacing w:before="20" w:after="20" w:line="240" w:lineRule="auto"/>
              <w:jc w:val="center"/>
            </w:pPr>
            <w:r>
              <w:rPr>
                <w:rFonts w:ascii="Times New Roman" w:hAnsi="Times New Roman" w:eastAsia="宋体"/>
                <w:b w:val="0"/>
                <w:i w:val="0"/>
                <w:sz w:val="18"/>
              </w:rPr>
              <w:t>2.97</w:t>
            </w:r>
          </w:p>
        </w:tc>
        <w:tc>
          <w:tcPr>
            <w:tcW w:w="1361" w:type="dxa"/>
          </w:tcPr>
          <w:p w14:paraId="04F9B2DE">
            <w:pPr>
              <w:spacing w:before="20" w:after="20" w:line="240" w:lineRule="auto"/>
              <w:jc w:val="center"/>
            </w:pPr>
            <w:r>
              <w:rPr>
                <w:rFonts w:ascii="Times New Roman" w:hAnsi="Times New Roman" w:eastAsia="宋体"/>
                <w:b w:val="0"/>
                <w:i w:val="0"/>
                <w:sz w:val="18"/>
              </w:rPr>
              <w:t>0.47</w:t>
            </w:r>
          </w:p>
        </w:tc>
      </w:tr>
      <w:tr w14:paraId="7DFA4BF2">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77" w:type="dxa"/>
          </w:tcPr>
          <w:p w14:paraId="407E252D">
            <w:pPr>
              <w:spacing w:before="20" w:after="20" w:line="240" w:lineRule="auto"/>
              <w:jc w:val="center"/>
            </w:pPr>
            <w:r>
              <w:rPr>
                <w:rFonts w:ascii="Times New Roman" w:hAnsi="Times New Roman" w:eastAsia="宋体"/>
                <w:b w:val="0"/>
                <w:i w:val="0"/>
                <w:sz w:val="18"/>
              </w:rPr>
              <w:t>NQ</w:t>
            </w:r>
          </w:p>
        </w:tc>
        <w:tc>
          <w:tcPr>
            <w:tcW w:w="1361" w:type="dxa"/>
          </w:tcPr>
          <w:p w14:paraId="38445199">
            <w:pPr>
              <w:spacing w:before="20" w:after="20" w:line="240" w:lineRule="auto"/>
              <w:jc w:val="center"/>
            </w:pPr>
            <w:r>
              <w:rPr>
                <w:rFonts w:ascii="Times New Roman" w:hAnsi="Times New Roman" w:eastAsia="宋体"/>
                <w:b w:val="0"/>
                <w:i w:val="0"/>
                <w:sz w:val="18"/>
              </w:rPr>
              <w:t>BGE密集检索</w:t>
            </w:r>
          </w:p>
        </w:tc>
        <w:tc>
          <w:tcPr>
            <w:tcW w:w="1077" w:type="dxa"/>
          </w:tcPr>
          <w:p w14:paraId="76F6DB04">
            <w:pPr>
              <w:spacing w:before="20" w:after="20" w:line="240" w:lineRule="auto"/>
              <w:jc w:val="center"/>
            </w:pPr>
            <w:r>
              <w:rPr>
                <w:rFonts w:ascii="Times New Roman" w:hAnsi="Times New Roman" w:eastAsia="宋体"/>
                <w:b w:val="0"/>
                <w:i w:val="0"/>
                <w:sz w:val="18"/>
              </w:rPr>
              <w:t>P_ret</w:t>
            </w:r>
          </w:p>
        </w:tc>
        <w:tc>
          <w:tcPr>
            <w:tcW w:w="1587" w:type="dxa"/>
          </w:tcPr>
          <w:p w14:paraId="565FB1B9">
            <w:pPr>
              <w:spacing w:before="20" w:after="20" w:line="240" w:lineRule="auto"/>
              <w:jc w:val="center"/>
            </w:pPr>
            <w:r>
              <w:rPr>
                <w:rFonts w:ascii="Times New Roman" w:hAnsi="Times New Roman" w:eastAsia="宋体"/>
                <w:b w:val="0"/>
                <w:i w:val="0"/>
                <w:sz w:val="18"/>
              </w:rPr>
              <w:t>50.00</w:t>
            </w:r>
          </w:p>
        </w:tc>
        <w:tc>
          <w:tcPr>
            <w:tcW w:w="1587" w:type="dxa"/>
          </w:tcPr>
          <w:p w14:paraId="37D0D845">
            <w:pPr>
              <w:spacing w:before="20" w:after="20" w:line="240" w:lineRule="auto"/>
              <w:jc w:val="center"/>
            </w:pPr>
            <w:r>
              <w:rPr>
                <w:rFonts w:ascii="Times New Roman" w:hAnsi="Times New Roman" w:eastAsia="宋体"/>
                <w:b w:val="0"/>
                <w:i w:val="0"/>
                <w:sz w:val="18"/>
              </w:rPr>
              <w:t>2.52</w:t>
            </w:r>
          </w:p>
        </w:tc>
        <w:tc>
          <w:tcPr>
            <w:tcW w:w="1587" w:type="dxa"/>
          </w:tcPr>
          <w:p w14:paraId="68960424">
            <w:pPr>
              <w:spacing w:before="20" w:after="20" w:line="240" w:lineRule="auto"/>
              <w:jc w:val="center"/>
            </w:pPr>
            <w:r>
              <w:rPr>
                <w:rFonts w:ascii="Times New Roman" w:hAnsi="Times New Roman" w:eastAsia="宋体"/>
                <w:b w:val="0"/>
                <w:i w:val="0"/>
                <w:sz w:val="18"/>
              </w:rPr>
              <w:t>4.95</w:t>
            </w:r>
          </w:p>
        </w:tc>
        <w:tc>
          <w:tcPr>
            <w:tcW w:w="1361" w:type="dxa"/>
          </w:tcPr>
          <w:p w14:paraId="7E1480CB">
            <w:pPr>
              <w:spacing w:before="20" w:after="20" w:line="240" w:lineRule="auto"/>
              <w:jc w:val="center"/>
            </w:pPr>
            <w:r>
              <w:rPr>
                <w:rFonts w:ascii="Times New Roman" w:hAnsi="Times New Roman" w:eastAsia="宋体"/>
                <w:b w:val="0"/>
                <w:i w:val="0"/>
                <w:sz w:val="18"/>
              </w:rPr>
              <w:t>0.59</w:t>
            </w:r>
          </w:p>
        </w:tc>
      </w:tr>
      <w:tr w14:paraId="75715682">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77" w:type="dxa"/>
          </w:tcPr>
          <w:p w14:paraId="2058AB12">
            <w:pPr>
              <w:spacing w:before="20" w:after="20" w:line="240" w:lineRule="auto"/>
              <w:jc w:val="center"/>
            </w:pPr>
            <w:r>
              <w:rPr>
                <w:rFonts w:ascii="Times New Roman" w:hAnsi="Times New Roman" w:eastAsia="宋体"/>
                <w:b w:val="0"/>
                <w:i w:val="0"/>
                <w:sz w:val="18"/>
              </w:rPr>
              <w:t>NQ</w:t>
            </w:r>
          </w:p>
        </w:tc>
        <w:tc>
          <w:tcPr>
            <w:tcW w:w="1361" w:type="dxa"/>
          </w:tcPr>
          <w:p w14:paraId="3AC55166">
            <w:pPr>
              <w:spacing w:before="20" w:after="20" w:line="240" w:lineRule="auto"/>
              <w:jc w:val="center"/>
            </w:pPr>
            <w:r>
              <w:rPr>
                <w:rFonts w:ascii="Times New Roman" w:hAnsi="Times New Roman" w:eastAsia="宋体"/>
                <w:b w:val="0"/>
                <w:i w:val="0"/>
                <w:sz w:val="18"/>
              </w:rPr>
              <w:t>BGE密集检索</w:t>
            </w:r>
          </w:p>
        </w:tc>
        <w:tc>
          <w:tcPr>
            <w:tcW w:w="1077" w:type="dxa"/>
          </w:tcPr>
          <w:p w14:paraId="2E4094B4">
            <w:pPr>
              <w:spacing w:before="20" w:after="20" w:line="240" w:lineRule="auto"/>
              <w:jc w:val="center"/>
            </w:pPr>
            <w:r>
              <w:rPr>
                <w:rFonts w:ascii="Times New Roman" w:hAnsi="Times New Roman" w:eastAsia="宋体"/>
                <w:b w:val="0"/>
                <w:i w:val="0"/>
                <w:sz w:val="18"/>
              </w:rPr>
              <w:t>P_gen</w:t>
            </w:r>
          </w:p>
        </w:tc>
        <w:tc>
          <w:tcPr>
            <w:tcW w:w="1587" w:type="dxa"/>
          </w:tcPr>
          <w:p w14:paraId="24C728C2">
            <w:pPr>
              <w:spacing w:before="20" w:after="20" w:line="240" w:lineRule="auto"/>
              <w:jc w:val="center"/>
            </w:pPr>
            <w:r>
              <w:rPr>
                <w:rFonts w:ascii="Times New Roman" w:hAnsi="Times New Roman" w:eastAsia="宋体"/>
                <w:b w:val="0"/>
                <w:i w:val="0"/>
                <w:sz w:val="18"/>
              </w:rPr>
              <w:t>5.51</w:t>
            </w:r>
          </w:p>
        </w:tc>
        <w:tc>
          <w:tcPr>
            <w:tcW w:w="1587" w:type="dxa"/>
          </w:tcPr>
          <w:p w14:paraId="279BD5FF">
            <w:pPr>
              <w:spacing w:before="20" w:after="20" w:line="240" w:lineRule="auto"/>
              <w:jc w:val="center"/>
            </w:pPr>
            <w:r>
              <w:rPr>
                <w:rFonts w:ascii="Times New Roman" w:hAnsi="Times New Roman" w:eastAsia="宋体"/>
                <w:b w:val="0"/>
                <w:i w:val="0"/>
                <w:sz w:val="18"/>
              </w:rPr>
              <w:t>0.51</w:t>
            </w:r>
          </w:p>
        </w:tc>
        <w:tc>
          <w:tcPr>
            <w:tcW w:w="1587" w:type="dxa"/>
          </w:tcPr>
          <w:p w14:paraId="2FDFED32">
            <w:pPr>
              <w:spacing w:before="20" w:after="20" w:line="240" w:lineRule="auto"/>
              <w:jc w:val="center"/>
            </w:pPr>
            <w:r>
              <w:rPr>
                <w:rFonts w:ascii="Times New Roman" w:hAnsi="Times New Roman" w:eastAsia="宋体"/>
                <w:b w:val="0"/>
                <w:i w:val="0"/>
                <w:sz w:val="18"/>
              </w:rPr>
              <w:t>1.80</w:t>
            </w:r>
          </w:p>
        </w:tc>
        <w:tc>
          <w:tcPr>
            <w:tcW w:w="1361" w:type="dxa"/>
          </w:tcPr>
          <w:p w14:paraId="30A12801">
            <w:pPr>
              <w:spacing w:before="20" w:after="20" w:line="240" w:lineRule="auto"/>
              <w:jc w:val="center"/>
            </w:pPr>
            <w:r>
              <w:rPr>
                <w:rFonts w:ascii="Times New Roman" w:hAnsi="Times New Roman" w:eastAsia="宋体"/>
                <w:b w:val="0"/>
                <w:i w:val="0"/>
                <w:sz w:val="18"/>
              </w:rPr>
              <w:t>0.37</w:t>
            </w:r>
          </w:p>
        </w:tc>
      </w:tr>
      <w:tr w14:paraId="5CCC500F">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77" w:type="dxa"/>
          </w:tcPr>
          <w:p w14:paraId="7025A7BB">
            <w:pPr>
              <w:spacing w:before="20" w:after="20" w:line="240" w:lineRule="auto"/>
              <w:jc w:val="center"/>
            </w:pPr>
            <w:r>
              <w:rPr>
                <w:rFonts w:ascii="Times New Roman" w:hAnsi="Times New Roman" w:eastAsia="宋体"/>
                <w:b w:val="0"/>
                <w:i w:val="0"/>
                <w:sz w:val="18"/>
              </w:rPr>
              <w:t>HotpotQA</w:t>
            </w:r>
          </w:p>
        </w:tc>
        <w:tc>
          <w:tcPr>
            <w:tcW w:w="1361" w:type="dxa"/>
          </w:tcPr>
          <w:p w14:paraId="0A8B56D6">
            <w:pPr>
              <w:spacing w:before="20" w:after="20" w:line="240" w:lineRule="auto"/>
              <w:jc w:val="center"/>
            </w:pPr>
            <w:r>
              <w:rPr>
                <w:rFonts w:ascii="Times New Roman" w:hAnsi="Times New Roman" w:eastAsia="宋体"/>
                <w:b w:val="0"/>
                <w:i w:val="0"/>
                <w:sz w:val="18"/>
              </w:rPr>
              <w:t>BM25</w:t>
            </w:r>
          </w:p>
        </w:tc>
        <w:tc>
          <w:tcPr>
            <w:tcW w:w="1077" w:type="dxa"/>
          </w:tcPr>
          <w:p w14:paraId="365EC146">
            <w:pPr>
              <w:spacing w:before="20" w:after="20" w:line="240" w:lineRule="auto"/>
              <w:jc w:val="center"/>
            </w:pPr>
            <w:r>
              <w:rPr>
                <w:rFonts w:ascii="Times New Roman" w:hAnsi="Times New Roman" w:eastAsia="宋体"/>
                <w:b w:val="0"/>
                <w:i w:val="0"/>
                <w:sz w:val="18"/>
              </w:rPr>
              <w:t>P_ret</w:t>
            </w:r>
          </w:p>
        </w:tc>
        <w:tc>
          <w:tcPr>
            <w:tcW w:w="1587" w:type="dxa"/>
          </w:tcPr>
          <w:p w14:paraId="74AE7FE3">
            <w:pPr>
              <w:spacing w:before="20" w:after="20" w:line="240" w:lineRule="auto"/>
              <w:jc w:val="center"/>
            </w:pPr>
            <w:r>
              <w:rPr>
                <w:rFonts w:ascii="Times New Roman" w:hAnsi="Times New Roman" w:eastAsia="宋体"/>
                <w:b w:val="0"/>
                <w:i w:val="0"/>
                <w:sz w:val="18"/>
              </w:rPr>
              <w:t>50.00</w:t>
            </w:r>
          </w:p>
        </w:tc>
        <w:tc>
          <w:tcPr>
            <w:tcW w:w="1587" w:type="dxa"/>
          </w:tcPr>
          <w:p w14:paraId="0C38DF4D">
            <w:pPr>
              <w:spacing w:before="20" w:after="20" w:line="240" w:lineRule="auto"/>
              <w:jc w:val="center"/>
            </w:pPr>
            <w:r>
              <w:rPr>
                <w:rFonts w:ascii="Times New Roman" w:hAnsi="Times New Roman" w:eastAsia="宋体"/>
                <w:b w:val="0"/>
                <w:i w:val="0"/>
                <w:sz w:val="18"/>
              </w:rPr>
              <w:t>2.39</w:t>
            </w:r>
          </w:p>
        </w:tc>
        <w:tc>
          <w:tcPr>
            <w:tcW w:w="1587" w:type="dxa"/>
          </w:tcPr>
          <w:p w14:paraId="5C845740">
            <w:pPr>
              <w:spacing w:before="20" w:after="20" w:line="240" w:lineRule="auto"/>
              <w:jc w:val="center"/>
            </w:pPr>
            <w:r>
              <w:rPr>
                <w:rFonts w:ascii="Times New Roman" w:hAnsi="Times New Roman" w:eastAsia="宋体"/>
                <w:b w:val="0"/>
                <w:i w:val="0"/>
                <w:sz w:val="18"/>
              </w:rPr>
              <w:t>7.17</w:t>
            </w:r>
          </w:p>
        </w:tc>
        <w:tc>
          <w:tcPr>
            <w:tcW w:w="1361" w:type="dxa"/>
          </w:tcPr>
          <w:p w14:paraId="22ED9B4C">
            <w:pPr>
              <w:spacing w:before="20" w:after="20" w:line="240" w:lineRule="auto"/>
              <w:jc w:val="center"/>
            </w:pPr>
            <w:r>
              <w:rPr>
                <w:rFonts w:ascii="Times New Roman" w:hAnsi="Times New Roman" w:eastAsia="宋体"/>
                <w:b w:val="0"/>
                <w:i w:val="0"/>
                <w:sz w:val="18"/>
              </w:rPr>
              <w:t>5.00</w:t>
            </w:r>
          </w:p>
        </w:tc>
      </w:tr>
      <w:tr w14:paraId="54FB7811">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77" w:type="dxa"/>
          </w:tcPr>
          <w:p w14:paraId="59E9B4D9">
            <w:pPr>
              <w:spacing w:before="20" w:after="20" w:line="240" w:lineRule="auto"/>
              <w:jc w:val="center"/>
            </w:pPr>
            <w:r>
              <w:rPr>
                <w:rFonts w:ascii="Times New Roman" w:hAnsi="Times New Roman" w:eastAsia="宋体"/>
                <w:b w:val="0"/>
                <w:i w:val="0"/>
                <w:sz w:val="18"/>
              </w:rPr>
              <w:t>HotpotQA</w:t>
            </w:r>
          </w:p>
        </w:tc>
        <w:tc>
          <w:tcPr>
            <w:tcW w:w="1361" w:type="dxa"/>
          </w:tcPr>
          <w:p w14:paraId="5572A46C">
            <w:pPr>
              <w:spacing w:before="20" w:after="20" w:line="240" w:lineRule="auto"/>
              <w:jc w:val="center"/>
            </w:pPr>
            <w:r>
              <w:rPr>
                <w:rFonts w:ascii="Times New Roman" w:hAnsi="Times New Roman" w:eastAsia="宋体"/>
                <w:b w:val="0"/>
                <w:i w:val="0"/>
                <w:sz w:val="18"/>
              </w:rPr>
              <w:t>BM25</w:t>
            </w:r>
          </w:p>
        </w:tc>
        <w:tc>
          <w:tcPr>
            <w:tcW w:w="1077" w:type="dxa"/>
          </w:tcPr>
          <w:p w14:paraId="025FAA6A">
            <w:pPr>
              <w:spacing w:before="20" w:after="20" w:line="240" w:lineRule="auto"/>
              <w:jc w:val="center"/>
            </w:pPr>
            <w:r>
              <w:rPr>
                <w:rFonts w:ascii="Times New Roman" w:hAnsi="Times New Roman" w:eastAsia="宋体"/>
                <w:b w:val="0"/>
                <w:i w:val="0"/>
                <w:sz w:val="18"/>
              </w:rPr>
              <w:t>P_gen</w:t>
            </w:r>
          </w:p>
        </w:tc>
        <w:tc>
          <w:tcPr>
            <w:tcW w:w="1587" w:type="dxa"/>
          </w:tcPr>
          <w:p w14:paraId="4E1FB9F4">
            <w:pPr>
              <w:spacing w:before="20" w:after="20" w:line="240" w:lineRule="auto"/>
              <w:jc w:val="center"/>
            </w:pPr>
            <w:r>
              <w:rPr>
                <w:rFonts w:ascii="Times New Roman" w:hAnsi="Times New Roman" w:eastAsia="宋体"/>
                <w:b w:val="0"/>
                <w:i w:val="0"/>
                <w:sz w:val="18"/>
              </w:rPr>
              <w:t>6.23</w:t>
            </w:r>
          </w:p>
        </w:tc>
        <w:tc>
          <w:tcPr>
            <w:tcW w:w="1587" w:type="dxa"/>
          </w:tcPr>
          <w:p w14:paraId="0E9E5DA2">
            <w:pPr>
              <w:spacing w:before="20" w:after="20" w:line="240" w:lineRule="auto"/>
              <w:jc w:val="center"/>
            </w:pPr>
            <w:r>
              <w:rPr>
                <w:rFonts w:ascii="Times New Roman" w:hAnsi="Times New Roman" w:eastAsia="宋体"/>
                <w:b w:val="0"/>
                <w:i w:val="0"/>
                <w:sz w:val="18"/>
              </w:rPr>
              <w:t>1.23</w:t>
            </w:r>
          </w:p>
        </w:tc>
        <w:tc>
          <w:tcPr>
            <w:tcW w:w="1587" w:type="dxa"/>
          </w:tcPr>
          <w:p w14:paraId="6DD3D447">
            <w:pPr>
              <w:spacing w:before="20" w:after="20" w:line="240" w:lineRule="auto"/>
              <w:jc w:val="center"/>
            </w:pPr>
            <w:r>
              <w:rPr>
                <w:rFonts w:ascii="Times New Roman" w:hAnsi="Times New Roman" w:eastAsia="宋体"/>
                <w:b w:val="0"/>
                <w:i w:val="0"/>
                <w:sz w:val="18"/>
              </w:rPr>
              <w:t>5.14</w:t>
            </w:r>
          </w:p>
        </w:tc>
        <w:tc>
          <w:tcPr>
            <w:tcW w:w="1361" w:type="dxa"/>
          </w:tcPr>
          <w:p w14:paraId="46EE82EF">
            <w:pPr>
              <w:spacing w:before="20" w:after="20" w:line="240" w:lineRule="auto"/>
              <w:jc w:val="center"/>
            </w:pPr>
            <w:r>
              <w:rPr>
                <w:rFonts w:ascii="Times New Roman" w:hAnsi="Times New Roman" w:eastAsia="宋体"/>
                <w:b w:val="0"/>
                <w:i w:val="0"/>
                <w:sz w:val="18"/>
              </w:rPr>
              <w:t>4.98</w:t>
            </w:r>
          </w:p>
        </w:tc>
      </w:tr>
      <w:tr w14:paraId="5DCA4929">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77" w:type="dxa"/>
          </w:tcPr>
          <w:p w14:paraId="323ACA4B">
            <w:pPr>
              <w:spacing w:before="20" w:after="20" w:line="240" w:lineRule="auto"/>
              <w:jc w:val="center"/>
            </w:pPr>
            <w:r>
              <w:rPr>
                <w:rFonts w:ascii="Times New Roman" w:hAnsi="Times New Roman" w:eastAsia="宋体"/>
                <w:b w:val="0"/>
                <w:i w:val="0"/>
                <w:sz w:val="18"/>
              </w:rPr>
              <w:t>HotpotQA</w:t>
            </w:r>
          </w:p>
        </w:tc>
        <w:tc>
          <w:tcPr>
            <w:tcW w:w="1361" w:type="dxa"/>
          </w:tcPr>
          <w:p w14:paraId="0BBD9BC1">
            <w:pPr>
              <w:spacing w:before="20" w:after="20" w:line="240" w:lineRule="auto"/>
              <w:jc w:val="center"/>
            </w:pPr>
            <w:r>
              <w:rPr>
                <w:rFonts w:ascii="Times New Roman" w:hAnsi="Times New Roman" w:eastAsia="宋体"/>
                <w:b w:val="0"/>
                <w:i w:val="0"/>
                <w:sz w:val="18"/>
              </w:rPr>
              <w:t>BGE密集检索</w:t>
            </w:r>
          </w:p>
        </w:tc>
        <w:tc>
          <w:tcPr>
            <w:tcW w:w="1077" w:type="dxa"/>
          </w:tcPr>
          <w:p w14:paraId="66B3E3CF">
            <w:pPr>
              <w:spacing w:before="20" w:after="20" w:line="240" w:lineRule="auto"/>
              <w:jc w:val="center"/>
            </w:pPr>
            <w:r>
              <w:rPr>
                <w:rFonts w:ascii="Times New Roman" w:hAnsi="Times New Roman" w:eastAsia="宋体"/>
                <w:b w:val="0"/>
                <w:i w:val="0"/>
                <w:sz w:val="18"/>
              </w:rPr>
              <w:t>P_ret</w:t>
            </w:r>
          </w:p>
        </w:tc>
        <w:tc>
          <w:tcPr>
            <w:tcW w:w="1587" w:type="dxa"/>
          </w:tcPr>
          <w:p w14:paraId="56AB63E4">
            <w:pPr>
              <w:spacing w:before="20" w:after="20" w:line="240" w:lineRule="auto"/>
              <w:jc w:val="center"/>
            </w:pPr>
            <w:r>
              <w:rPr>
                <w:rFonts w:ascii="Times New Roman" w:hAnsi="Times New Roman" w:eastAsia="宋体"/>
                <w:b w:val="0"/>
                <w:i w:val="0"/>
                <w:sz w:val="18"/>
              </w:rPr>
              <w:t>50.00</w:t>
            </w:r>
          </w:p>
        </w:tc>
        <w:tc>
          <w:tcPr>
            <w:tcW w:w="1587" w:type="dxa"/>
          </w:tcPr>
          <w:p w14:paraId="653A8D28">
            <w:pPr>
              <w:spacing w:before="20" w:after="20" w:line="240" w:lineRule="auto"/>
              <w:jc w:val="center"/>
            </w:pPr>
            <w:r>
              <w:rPr>
                <w:rFonts w:ascii="Times New Roman" w:hAnsi="Times New Roman" w:eastAsia="宋体"/>
                <w:b w:val="0"/>
                <w:i w:val="0"/>
                <w:sz w:val="18"/>
              </w:rPr>
              <w:t>2.57</w:t>
            </w:r>
          </w:p>
        </w:tc>
        <w:tc>
          <w:tcPr>
            <w:tcW w:w="1587" w:type="dxa"/>
          </w:tcPr>
          <w:p w14:paraId="1729D031">
            <w:pPr>
              <w:spacing w:before="20" w:after="20" w:line="240" w:lineRule="auto"/>
              <w:jc w:val="center"/>
            </w:pPr>
            <w:r>
              <w:rPr>
                <w:rFonts w:ascii="Times New Roman" w:hAnsi="Times New Roman" w:eastAsia="宋体"/>
                <w:b w:val="0"/>
                <w:i w:val="0"/>
                <w:sz w:val="18"/>
              </w:rPr>
              <w:t>5.82</w:t>
            </w:r>
          </w:p>
        </w:tc>
        <w:tc>
          <w:tcPr>
            <w:tcW w:w="1361" w:type="dxa"/>
          </w:tcPr>
          <w:p w14:paraId="06667625">
            <w:pPr>
              <w:spacing w:before="20" w:after="20" w:line="240" w:lineRule="auto"/>
              <w:jc w:val="center"/>
            </w:pPr>
            <w:r>
              <w:rPr>
                <w:rFonts w:ascii="Times New Roman" w:hAnsi="Times New Roman" w:eastAsia="宋体"/>
                <w:b w:val="0"/>
                <w:i w:val="0"/>
                <w:sz w:val="18"/>
              </w:rPr>
              <w:t>4.87</w:t>
            </w:r>
          </w:p>
        </w:tc>
      </w:tr>
      <w:tr w14:paraId="3FF4F998">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077" w:type="dxa"/>
          </w:tcPr>
          <w:p w14:paraId="4E9B60B8">
            <w:pPr>
              <w:spacing w:before="20" w:after="20" w:line="240" w:lineRule="auto"/>
              <w:jc w:val="center"/>
            </w:pPr>
            <w:r>
              <w:rPr>
                <w:rFonts w:ascii="Times New Roman" w:hAnsi="Times New Roman" w:eastAsia="宋体"/>
                <w:b w:val="0"/>
                <w:i w:val="0"/>
                <w:sz w:val="18"/>
              </w:rPr>
              <w:t>HotpotQA</w:t>
            </w:r>
          </w:p>
        </w:tc>
        <w:tc>
          <w:tcPr>
            <w:tcW w:w="1361" w:type="dxa"/>
          </w:tcPr>
          <w:p w14:paraId="0EC77D60">
            <w:pPr>
              <w:spacing w:before="20" w:after="20" w:line="240" w:lineRule="auto"/>
              <w:jc w:val="center"/>
            </w:pPr>
            <w:r>
              <w:rPr>
                <w:rFonts w:ascii="Times New Roman" w:hAnsi="Times New Roman" w:eastAsia="宋体"/>
                <w:b w:val="0"/>
                <w:i w:val="0"/>
                <w:sz w:val="18"/>
              </w:rPr>
              <w:t>BGE密集检索</w:t>
            </w:r>
          </w:p>
        </w:tc>
        <w:tc>
          <w:tcPr>
            <w:tcW w:w="1077" w:type="dxa"/>
          </w:tcPr>
          <w:p w14:paraId="5F92D33F">
            <w:pPr>
              <w:spacing w:before="20" w:after="20" w:line="240" w:lineRule="auto"/>
              <w:jc w:val="center"/>
            </w:pPr>
            <w:r>
              <w:rPr>
                <w:rFonts w:ascii="Times New Roman" w:hAnsi="Times New Roman" w:eastAsia="宋体"/>
                <w:b w:val="0"/>
                <w:i w:val="0"/>
                <w:sz w:val="18"/>
              </w:rPr>
              <w:t>P_gen</w:t>
            </w:r>
          </w:p>
        </w:tc>
        <w:tc>
          <w:tcPr>
            <w:tcW w:w="1587" w:type="dxa"/>
          </w:tcPr>
          <w:p w14:paraId="7E6F0747">
            <w:pPr>
              <w:spacing w:before="20" w:after="20" w:line="240" w:lineRule="auto"/>
              <w:jc w:val="center"/>
            </w:pPr>
            <w:r>
              <w:rPr>
                <w:rFonts w:ascii="Times New Roman" w:hAnsi="Times New Roman" w:eastAsia="宋体"/>
                <w:b w:val="0"/>
                <w:i w:val="0"/>
                <w:sz w:val="18"/>
              </w:rPr>
              <w:t>6.49</w:t>
            </w:r>
          </w:p>
        </w:tc>
        <w:tc>
          <w:tcPr>
            <w:tcW w:w="1587" w:type="dxa"/>
          </w:tcPr>
          <w:p w14:paraId="1C1C78CF">
            <w:pPr>
              <w:spacing w:before="20" w:after="20" w:line="240" w:lineRule="auto"/>
              <w:jc w:val="center"/>
            </w:pPr>
            <w:r>
              <w:rPr>
                <w:rFonts w:ascii="Times New Roman" w:hAnsi="Times New Roman" w:eastAsia="宋体"/>
                <w:b w:val="0"/>
                <w:i w:val="0"/>
                <w:sz w:val="18"/>
              </w:rPr>
              <w:t>1.49</w:t>
            </w:r>
          </w:p>
        </w:tc>
        <w:tc>
          <w:tcPr>
            <w:tcW w:w="1587" w:type="dxa"/>
          </w:tcPr>
          <w:p w14:paraId="315127A0">
            <w:pPr>
              <w:spacing w:before="20" w:after="20" w:line="240" w:lineRule="auto"/>
              <w:jc w:val="center"/>
            </w:pPr>
            <w:r>
              <w:rPr>
                <w:rFonts w:ascii="Times New Roman" w:hAnsi="Times New Roman" w:eastAsia="宋体"/>
                <w:b w:val="0"/>
                <w:i w:val="0"/>
                <w:sz w:val="18"/>
              </w:rPr>
              <w:t>4.95</w:t>
            </w:r>
          </w:p>
        </w:tc>
        <w:tc>
          <w:tcPr>
            <w:tcW w:w="1361" w:type="dxa"/>
          </w:tcPr>
          <w:p w14:paraId="031D6FE6">
            <w:pPr>
              <w:spacing w:before="20" w:after="20" w:line="240" w:lineRule="auto"/>
              <w:jc w:val="center"/>
            </w:pPr>
            <w:r>
              <w:rPr>
                <w:rFonts w:ascii="Times New Roman" w:hAnsi="Times New Roman" w:eastAsia="宋体"/>
                <w:b w:val="0"/>
                <w:i w:val="0"/>
                <w:sz w:val="18"/>
              </w:rPr>
              <w:t>4.79</w:t>
            </w:r>
          </w:p>
        </w:tc>
      </w:tr>
    </w:tbl>
    <w:p w14:paraId="524A889B">
      <w:pPr>
        <w:spacing w:before="0" w:after="40" w:line="144" w:lineRule="auto"/>
      </w:pPr>
    </w:p>
    <w:p w14:paraId="6DF64529">
      <w:pPr>
        <w:spacing w:before="0" w:after="0" w:line="240" w:lineRule="auto"/>
        <w:ind w:firstLine="360"/>
        <w:jc w:val="both"/>
      </w:pPr>
      <w:r>
        <w:rPr>
          <w:rFonts w:ascii="Times New Roman" w:hAnsi="Times New Roman" w:eastAsia="宋体"/>
          <w:b w:val="0"/>
          <w:i w:val="0"/>
          <w:sz w:val="18"/>
        </w:rPr>
        <w:t>表5说明：</w:t>
      </w:r>
      <w:r>
        <w:rPr>
          <w:rFonts w:hint="eastAsia" w:ascii="Times New Roman" w:hAnsi="Times New Roman" w:eastAsia="宋体"/>
          <w:b w:val="0"/>
          <w:i w:val="0"/>
          <w:sz w:val="18"/>
        </w:rPr>
        <w:t>P</w:t>
      </w:r>
      <w:r>
        <w:rPr>
          <w:rFonts w:hint="eastAsia" w:ascii="Times New Roman" w:hAnsi="Times New Roman" w:eastAsia="宋体"/>
          <w:b w:val="0"/>
          <w:i w:val="0"/>
          <w:sz w:val="18"/>
          <w:lang w:val="en-US" w:eastAsia="zh-CN"/>
        </w:rPr>
        <w:t>_r</w:t>
      </w:r>
      <w:r>
        <w:rPr>
          <w:rFonts w:hint="eastAsia" w:ascii="Times New Roman" w:hAnsi="Times New Roman" w:eastAsia="宋体"/>
          <w:b w:val="0"/>
          <w:i w:val="0"/>
          <w:sz w:val="18"/>
        </w:rPr>
        <w:t>e</w:t>
      </w:r>
      <w:r>
        <w:rPr>
          <w:rFonts w:hint="eastAsia" w:ascii="Times New Roman" w:hAnsi="Times New Roman" w:eastAsia="宋体"/>
          <w:b w:val="0"/>
          <w:i w:val="0"/>
          <w:sz w:val="18"/>
          <w:lang w:val="en-US" w:eastAsia="zh-CN"/>
        </w:rPr>
        <w:t>t</w:t>
      </w:r>
      <w:r>
        <w:rPr>
          <w:rFonts w:hint="eastAsia" w:ascii="Times New Roman" w:hAnsi="Times New Roman" w:eastAsia="宋体"/>
          <w:b w:val="0"/>
          <w:i w:val="0"/>
          <w:sz w:val="18"/>
        </w:rPr>
        <w:t>在</w:t>
      </w:r>
      <w:r>
        <w:rPr>
          <w:rFonts w:hint="eastAsia" w:ascii="Times New Roman" w:hAnsi="Times New Roman" w:eastAsia="宋体"/>
          <w:b w:val="0"/>
          <w:i w:val="0"/>
          <w:sz w:val="18"/>
          <w:lang w:val="en-US" w:eastAsia="zh-CN"/>
        </w:rPr>
        <w:t>干净</w:t>
      </w:r>
      <w:r>
        <w:rPr>
          <w:rFonts w:hint="eastAsia" w:ascii="Times New Roman" w:hAnsi="Times New Roman" w:eastAsia="宋体"/>
          <w:b w:val="0"/>
          <w:i w:val="0"/>
          <w:sz w:val="18"/>
        </w:rPr>
        <w:t>运行和污染运行中均固定检查5</w:t>
      </w:r>
      <w:r>
        <w:rPr>
          <w:rFonts w:hint="eastAsia" w:ascii="Times New Roman" w:hAnsi="Times New Roman" w:eastAsia="宋体"/>
          <w:b w:val="0"/>
          <w:i w:val="0"/>
          <w:sz w:val="18"/>
          <w:lang w:val="en-US" w:eastAsia="zh-CN"/>
        </w:rPr>
        <w:t>0</w:t>
      </w:r>
      <w:r>
        <w:rPr>
          <w:rFonts w:hint="eastAsia" w:ascii="Times New Roman" w:hAnsi="Times New Roman" w:eastAsia="宋体"/>
          <w:b w:val="0"/>
          <w:i w:val="0"/>
          <w:sz w:val="18"/>
        </w:rPr>
        <w:t>个候选</w:t>
      </w:r>
      <w:r>
        <w:rPr>
          <w:rFonts w:hint="eastAsia" w:ascii="Times New Roman" w:hAnsi="Times New Roman" w:eastAsia="宋体"/>
          <w:b w:val="0"/>
          <w:i w:val="0"/>
          <w:sz w:val="18"/>
          <w:lang w:eastAsia="zh-CN"/>
        </w:rPr>
        <w:t>：</w:t>
      </w:r>
      <w:r>
        <w:rPr>
          <w:rFonts w:hint="eastAsia" w:ascii="Times New Roman" w:hAnsi="Times New Roman" w:eastAsia="宋体"/>
          <w:b w:val="0"/>
          <w:i w:val="0"/>
          <w:sz w:val="18"/>
        </w:rPr>
        <w:t>表中</w:t>
      </w:r>
      <w:r>
        <w:rPr>
          <w:rFonts w:hint="eastAsia" w:ascii="Times New Roman" w:hAnsi="Times New Roman" w:eastAsia="宋体"/>
          <w:b w:val="0"/>
          <w:i w:val="0"/>
          <w:sz w:val="18"/>
          <w:lang w:eastAsia="zh-CN"/>
        </w:rPr>
        <w:t>“</w:t>
      </w:r>
      <w:r>
        <w:rPr>
          <w:rFonts w:hint="eastAsia" w:ascii="Times New Roman" w:hAnsi="Times New Roman" w:eastAsia="宋体"/>
          <w:b w:val="0"/>
          <w:i w:val="0"/>
          <w:sz w:val="18"/>
        </w:rPr>
        <w:t>门</w:t>
      </w:r>
      <w:r>
        <w:rPr>
          <w:rFonts w:hint="eastAsia" w:ascii="Times New Roman" w:hAnsi="Times New Roman" w:eastAsia="宋体"/>
          <w:b w:val="0"/>
          <w:i w:val="0"/>
          <w:sz w:val="18"/>
          <w:lang w:val="en-US" w:eastAsia="zh-CN"/>
        </w:rPr>
        <w:t>控</w:t>
      </w:r>
      <w:r>
        <w:rPr>
          <w:rFonts w:hint="eastAsia" w:ascii="Times New Roman" w:hAnsi="Times New Roman" w:eastAsia="宋体"/>
          <w:b w:val="0"/>
          <w:i w:val="0"/>
          <w:sz w:val="18"/>
        </w:rPr>
        <w:t>输入毒</w:t>
      </w:r>
      <w:r>
        <w:rPr>
          <w:rFonts w:hint="eastAsia" w:ascii="Times New Roman" w:hAnsi="Times New Roman" w:eastAsia="宋体"/>
          <w:b w:val="0"/>
          <w:i w:val="0"/>
          <w:sz w:val="18"/>
          <w:lang w:val="en-US" w:eastAsia="zh-CN"/>
        </w:rPr>
        <w:t>块数</w:t>
      </w:r>
      <w:r>
        <w:rPr>
          <w:rFonts w:hint="eastAsia" w:ascii="Times New Roman" w:hAnsi="Times New Roman" w:eastAsia="宋体"/>
          <w:b w:val="0"/>
          <w:i w:val="0"/>
          <w:sz w:val="18"/>
        </w:rPr>
        <w:t>/查询</w:t>
      </w:r>
      <w:r>
        <w:rPr>
          <w:rFonts w:hint="eastAsia" w:ascii="Times New Roman" w:hAnsi="Times New Roman" w:eastAsia="宋体"/>
          <w:b w:val="0"/>
          <w:i w:val="0"/>
          <w:sz w:val="18"/>
          <w:lang w:eastAsia="zh-CN"/>
        </w:rPr>
        <w:t>”</w:t>
      </w:r>
      <w:r>
        <w:rPr>
          <w:rFonts w:hint="eastAsia" w:ascii="Times New Roman" w:hAnsi="Times New Roman" w:eastAsia="宋体"/>
          <w:b w:val="0"/>
          <w:i w:val="0"/>
          <w:sz w:val="18"/>
        </w:rPr>
        <w:t>仅统计</w:t>
      </w:r>
      <w:r>
        <w:rPr>
          <w:rFonts w:hint="eastAsia" w:ascii="Times New Roman" w:hAnsi="Times New Roman" w:eastAsia="宋体"/>
          <w:b w:val="0"/>
          <w:i w:val="0"/>
          <w:sz w:val="18"/>
          <w:lang w:val="en-US" w:eastAsia="zh-CN"/>
        </w:rPr>
        <w:t>污染</w:t>
      </w:r>
      <w:r>
        <w:rPr>
          <w:rFonts w:hint="eastAsia" w:ascii="Times New Roman" w:hAnsi="Times New Roman" w:eastAsia="宋体"/>
          <w:b w:val="0"/>
          <w:i w:val="0"/>
          <w:sz w:val="18"/>
        </w:rPr>
        <w:t>运行中进入门</w:t>
      </w:r>
      <w:r>
        <w:rPr>
          <w:rFonts w:hint="eastAsia" w:ascii="Times New Roman" w:hAnsi="Times New Roman" w:eastAsia="宋体"/>
          <w:b w:val="0"/>
          <w:i w:val="0"/>
          <w:sz w:val="18"/>
          <w:lang w:val="en-US" w:eastAsia="zh-CN"/>
        </w:rPr>
        <w:t>控</w:t>
      </w:r>
      <w:r>
        <w:rPr>
          <w:rFonts w:hint="eastAsia" w:ascii="Times New Roman" w:hAnsi="Times New Roman" w:eastAsia="宋体"/>
          <w:b w:val="0"/>
          <w:i w:val="0"/>
          <w:sz w:val="18"/>
        </w:rPr>
        <w:t>候选池的毒</w:t>
      </w:r>
      <w:r>
        <w:rPr>
          <w:rFonts w:hint="eastAsia" w:ascii="Times New Roman" w:hAnsi="Times New Roman" w:eastAsia="宋体"/>
          <w:b w:val="0"/>
          <w:i w:val="0"/>
          <w:sz w:val="18"/>
          <w:lang w:val="en-US" w:eastAsia="zh-CN"/>
        </w:rPr>
        <w:t>块数量</w:t>
      </w:r>
      <w:r>
        <w:rPr>
          <w:rFonts w:hint="eastAsia" w:ascii="Times New Roman" w:hAnsi="Times New Roman" w:eastAsia="宋体"/>
          <w:b w:val="0"/>
          <w:i w:val="0"/>
          <w:sz w:val="18"/>
        </w:rPr>
        <w:t>，不表示污染运行总检查</w:t>
      </w:r>
      <w:r>
        <w:rPr>
          <w:rFonts w:hint="eastAsia" w:ascii="Times New Roman" w:hAnsi="Times New Roman" w:eastAsia="宋体"/>
          <w:b w:val="0"/>
          <w:i w:val="0"/>
          <w:sz w:val="18"/>
          <w:lang w:val="en-US" w:eastAsia="zh-CN"/>
        </w:rPr>
        <w:t>块数。</w:t>
      </w:r>
      <w:r>
        <w:rPr>
          <w:rFonts w:hint="eastAsia" w:ascii="Times New Roman" w:hAnsi="Times New Roman" w:eastAsia="宋体"/>
          <w:b w:val="0"/>
          <w:i w:val="0"/>
          <w:sz w:val="18"/>
        </w:rPr>
        <w:t>该表用于区分比例指标与每查询操作代价，避免将不同候选池规模下的TPR/FPR直接解释为位置优劣。</w:t>
      </w:r>
    </w:p>
    <w:p w14:paraId="31510436">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由表4、表5可见，门控位置的差异主要体现在块级特征，而不是当前实现下的答案级ASR-Drop：P_ret在检索排序候选上门控后再进入重排器，P_gen在重排队列/最终上下文选择之后门控并从重排队列回填，二者并非同一接口。</w:t>
      </w:r>
    </w:p>
    <w:p w14:paraId="18DB6E35">
      <w:pPr>
        <w:spacing w:before="100" w:after="40" w:line="259" w:lineRule="auto"/>
        <w:jc w:val="left"/>
      </w:pPr>
      <w:r>
        <w:rPr>
          <w:rFonts w:ascii="Times New Roman" w:hAnsi="Times New Roman" w:eastAsia="黑体"/>
          <w:b w:val="0"/>
          <w:i w:val="0"/>
          <w:sz w:val="21"/>
        </w:rPr>
        <w:t>6.3  数据集敏感性与对照消融</w:t>
      </w:r>
    </w:p>
    <w:p w14:paraId="21E8A3C5">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SafeGate在NQ与HotpotQA上表现差异较大：NQ上ASR-Drop约3.3%~4.1%，HotpotQA上约45.1%~46.7%（图3）。这说明同一轻量探针的效果依赖数据集、候选池与任务结构，不能只展示HotpotQA的高ASR-Drop。候选池留存证据支持该保守解释：NQ/BM25与NQ/BGE中目标毒块进入重排top-5的比例为67.9%与42.8%，门控后最终上下文仍保留60.1%与37.2%，对应ASR-Drop仅4.1%与3.3%；HotpotQA/BM25与HotpotQA/BGE中该比例为99.1%与97.8%，门控后保留率降至0.00%与2.7%，对应ASR-Drop为46.7%与45.1%。该分析只说明当前实验中的关联，不构成因果结论。</w:t>
      </w:r>
    </w:p>
    <w:p w14:paraId="52E7F9E8">
      <w:pPr>
        <w:spacing w:before="80" w:after="20" w:line="240" w:lineRule="auto"/>
        <w:jc w:val="center"/>
      </w:pPr>
      <w:r>
        <w:rPr>
          <w:rFonts w:ascii="Times New Roman" w:hAnsi="Times New Roman" w:eastAsia="宋体"/>
          <w:b w:val="0"/>
          <w:sz w:val="21"/>
        </w:rPr>
        <w:drawing>
          <wp:inline distT="0" distB="0" distL="114300" distR="114300">
            <wp:extent cx="3477895" cy="2036445"/>
            <wp:effectExtent l="0" t="0" r="12065" b="5715"/>
            <wp:docPr id="44" name="Picture" descr="图4 SafeGate 在不同数据集与检索器上的 ASR-D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图4 SafeGate 在不同数据集与检索器上的 ASR-Drop"/>
                    <pic:cNvPicPr>
                      <a:picLocks noChangeAspect="1" noChangeArrowheads="1"/>
                    </pic:cNvPicPr>
                  </pic:nvPicPr>
                  <pic:blipFill>
                    <a:blip r:embed="rId8"/>
                    <a:stretch>
                      <a:fillRect/>
                    </a:stretch>
                  </pic:blipFill>
                  <pic:spPr>
                    <a:xfrm>
                      <a:off x="0" y="0"/>
                      <a:ext cx="3477895" cy="2036445"/>
                    </a:xfrm>
                    <a:prstGeom prst="rect">
                      <a:avLst/>
                    </a:prstGeom>
                    <a:noFill/>
                    <a:ln w="9525">
                      <a:noFill/>
                    </a:ln>
                  </pic:spPr>
                </pic:pic>
              </a:graphicData>
            </a:graphic>
          </wp:inline>
        </w:drawing>
      </w:r>
    </w:p>
    <w:p w14:paraId="0C0D2AC8">
      <w:pPr>
        <w:spacing w:before="80" w:after="40" w:line="240" w:lineRule="auto"/>
        <w:jc w:val="center"/>
        <w:rPr>
          <w:rFonts w:ascii="Times New Roman" w:hAnsi="Times New Roman" w:eastAsia="宋体"/>
          <w:b w:val="0"/>
          <w:i w:val="0"/>
          <w:sz w:val="18"/>
        </w:rPr>
      </w:pPr>
      <w:r>
        <w:rPr>
          <w:rFonts w:ascii="Times New Roman" w:hAnsi="Times New Roman" w:eastAsia="宋体"/>
          <w:b w:val="0"/>
          <w:i w:val="0"/>
          <w:sz w:val="18"/>
        </w:rPr>
        <w:t>图3  SafeGate在不同数据集与检索器上的ASR-Drop</w:t>
      </w:r>
    </w:p>
    <w:p w14:paraId="2910AE79">
      <w:pPr>
        <w:spacing w:before="80" w:after="40" w:line="240" w:lineRule="auto"/>
        <w:jc w:val="center"/>
        <w:rPr>
          <w:rFonts w:ascii="Times New Roman" w:hAnsi="Times New Roman" w:eastAsia="宋体"/>
          <w:b w:val="0"/>
          <w:i w:val="0"/>
          <w:sz w:val="18"/>
        </w:rPr>
      </w:pPr>
      <w:r>
        <w:rPr>
          <w:rFonts w:ascii="Times New Roman" w:hAnsi="Times New Roman" w:eastAsia="宋体"/>
          <w:b w:val="0"/>
          <w:i w:val="0"/>
          <w:sz w:val="18"/>
          <w:lang w:val="en-US" w:eastAsia="zh-CN"/>
        </w:rPr>
        <w:t xml:space="preserve">Fig. 3 ASR reduction by SafeGate across datasets and </w:t>
      </w:r>
      <w:r>
        <w:rPr>
          <w:rFonts w:hint="default" w:ascii="Times New Roman" w:hAnsi="Times New Roman" w:eastAsia="宋体"/>
          <w:b w:val="0"/>
          <w:i w:val="0"/>
          <w:sz w:val="18"/>
          <w:lang w:val="en-US" w:eastAsia="zh-CN"/>
        </w:rPr>
        <w:t>retrievers</w:t>
      </w:r>
    </w:p>
    <w:p w14:paraId="06835B72">
      <w:pPr>
        <w:spacing w:before="0" w:after="0" w:line="240" w:lineRule="auto"/>
        <w:ind w:firstLine="360"/>
        <w:jc w:val="both"/>
      </w:pPr>
      <w:r>
        <w:rPr>
          <w:rFonts w:ascii="Times New Roman" w:hAnsi="Times New Roman" w:eastAsia="宋体"/>
          <w:b w:val="0"/>
          <w:i w:val="0"/>
          <w:sz w:val="18"/>
        </w:rPr>
        <w:t>图3说明：NQ上两个门控位置的ASR-Drop均较低，HotpotQA上相对较高；图中不据此推断SafeGate具有跨数据集的稳定防护能力。</w:t>
      </w:r>
    </w:p>
    <w:p w14:paraId="4401099B">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匹配随机阻断基线用于约束“删除一些块本身即可降低ASR”的解释：多信号SafeGate在24/24个可比门控行上的ASR-Drop不低于匹配随机阻断（后者在NQ上多数低于2%、在HotpotQA上约2.2%~6.8%），说明随机阻断不能充分解释当前ASR-Drop，但不支持将SafeGate上升为通用检测能力。</w:t>
      </w:r>
    </w:p>
    <w:p w14:paraId="093FD0A7">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查询重叠单信号在当前⼯作点下获得更⼤的ASR下降。NQ/BM25与NQ/BGE中的ASR-Drop分别为41.9和29.6个百分点，多信号均值融合对应为4.1和3.3个百分点；HotpotQA/BM25与HotpotQA/BGE中，单信号对应为46.8和46.4个百分点，多信号对应为46.7和45.1个百分点。在24个可比条件中，多信号仅有4个条件的ASR-Drop不低于单信号，且这4个条件均为持平而非超过。该计数⽤于描述逐条件结果，不将共享问题、种⼦及位置的记录视为独⽴重复。⼀种待验证解释是，⾼查询重叠的模板投毒更容易触发查询重叠信号，⽽均值融合改变了候选的⻛险排序。由于尚未完成等效⽤⼯作点⽐较，这些结果不能直接证明单信号具有更优的安全—效⽤权衡。</w:t>
      </w:r>
    </w:p>
    <w:p w14:paraId="13BC22D2">
      <w:pPr>
        <w:spacing w:before="100" w:after="40" w:line="259" w:lineRule="auto"/>
        <w:jc w:val="left"/>
      </w:pPr>
      <w:r>
        <w:rPr>
          <w:rFonts w:ascii="Times New Roman" w:hAnsi="Times New Roman" w:eastAsia="黑体"/>
          <w:b w:val="0"/>
          <w:i w:val="0"/>
          <w:sz w:val="21"/>
        </w:rPr>
        <w:t>6.4  失败案例与误报解释</w:t>
      </w:r>
    </w:p>
    <w:p w14:paraId="51922A0E">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表6从冻结的诊断与实验记录中抽取代表案例，覆盖正常问答失败、投毒成功、误拦正常块与毒块被拦截，不用于构造新的实验结果。</w:t>
      </w:r>
    </w:p>
    <w:p w14:paraId="6D2BAF62">
      <w:pPr>
        <w:spacing w:before="80" w:after="40" w:line="240" w:lineRule="auto"/>
        <w:jc w:val="center"/>
        <w:rPr>
          <w:rFonts w:ascii="Times New Roman" w:hAnsi="Times New Roman" w:eastAsia="黑体"/>
          <w:b w:val="0"/>
          <w:i w:val="0"/>
          <w:sz w:val="18"/>
        </w:rPr>
      </w:pPr>
      <w:r>
        <w:rPr>
          <w:rFonts w:ascii="Times New Roman" w:hAnsi="Times New Roman" w:eastAsia="黑体"/>
          <w:b w:val="0"/>
          <w:i w:val="0"/>
          <w:sz w:val="18"/>
        </w:rPr>
        <w:t>表6  失败与边界案例（均取自NQ/BM25/seed13）</w:t>
      </w:r>
    </w:p>
    <w:p w14:paraId="6A4C4CC5">
      <w:pPr>
        <w:spacing w:before="80" w:after="40" w:line="240" w:lineRule="auto"/>
        <w:jc w:val="center"/>
        <w:rPr>
          <w:rFonts w:ascii="Times New Roman" w:hAnsi="Times New Roman" w:eastAsia="黑体"/>
          <w:b w:val="0"/>
          <w:i w:val="0"/>
          <w:sz w:val="18"/>
        </w:rPr>
      </w:pPr>
      <w:r>
        <w:rPr>
          <w:rFonts w:ascii="Times New Roman" w:hAnsi="Times New Roman" w:eastAsia="黑体"/>
          <w:b w:val="0"/>
          <w:i w:val="0"/>
          <w:sz w:val="18"/>
          <w:lang w:val="en-US" w:eastAsia="zh-CN"/>
        </w:rPr>
        <w:t>Table 6 Failure and boundary cases</w:t>
      </w:r>
    </w:p>
    <w:tbl>
      <w:tblPr>
        <w:tblStyle w:val="20"/>
        <w:tblW w:w="0" w:type="auto"/>
        <w:jc w:val="center"/>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2966"/>
        <w:gridCol w:w="2966"/>
        <w:gridCol w:w="2966"/>
      </w:tblGrid>
      <w:tr w14:paraId="4E82C6BB">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240" w:hRule="atLeast"/>
          <w:jc w:val="center"/>
        </w:trPr>
        <w:tc>
          <w:tcPr>
            <w:tcW w:w="2966" w:type="dxa"/>
          </w:tcPr>
          <w:p w14:paraId="4F2BFC5D">
            <w:pPr>
              <w:spacing w:before="20" w:after="20" w:line="240" w:lineRule="auto"/>
              <w:jc w:val="center"/>
            </w:pPr>
            <w:r>
              <w:rPr>
                <w:rFonts w:ascii="Times New Roman" w:hAnsi="Times New Roman" w:eastAsia="黑体"/>
                <w:b w:val="0"/>
                <w:i w:val="0"/>
                <w:sz w:val="18"/>
              </w:rPr>
              <w:t>类型</w:t>
            </w:r>
          </w:p>
        </w:tc>
        <w:tc>
          <w:tcPr>
            <w:tcW w:w="2966" w:type="dxa"/>
          </w:tcPr>
          <w:p w14:paraId="2F377ED6">
            <w:pPr>
              <w:spacing w:before="20" w:after="20" w:line="240" w:lineRule="auto"/>
              <w:jc w:val="center"/>
            </w:pPr>
            <w:r>
              <w:rPr>
                <w:rFonts w:ascii="Times New Roman" w:hAnsi="Times New Roman" w:eastAsia="黑体"/>
                <w:b w:val="0"/>
                <w:i w:val="0"/>
                <w:sz w:val="18"/>
              </w:rPr>
              <w:t>主要证据</w:t>
            </w:r>
          </w:p>
        </w:tc>
        <w:tc>
          <w:tcPr>
            <w:tcW w:w="2966" w:type="dxa"/>
          </w:tcPr>
          <w:p w14:paraId="11848D11">
            <w:pPr>
              <w:spacing w:before="20" w:after="20" w:line="240" w:lineRule="auto"/>
              <w:jc w:val="center"/>
            </w:pPr>
            <w:r>
              <w:rPr>
                <w:rFonts w:ascii="Times New Roman" w:hAnsi="Times New Roman" w:eastAsia="黑体"/>
                <w:b w:val="0"/>
                <w:i w:val="0"/>
                <w:sz w:val="18"/>
              </w:rPr>
              <w:t>结果与解释</w:t>
            </w:r>
          </w:p>
        </w:tc>
      </w:tr>
      <w:tr w14:paraId="739DAFE7">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422" w:hRule="atLeast"/>
          <w:jc w:val="center"/>
        </w:trPr>
        <w:tc>
          <w:tcPr>
            <w:tcW w:w="2966" w:type="dxa"/>
          </w:tcPr>
          <w:p w14:paraId="210C573D">
            <w:pPr>
              <w:spacing w:before="20" w:after="20" w:line="240" w:lineRule="auto"/>
              <w:jc w:val="center"/>
            </w:pPr>
            <w:r>
              <w:rPr>
                <w:rFonts w:ascii="Times New Roman" w:hAnsi="Times New Roman" w:eastAsia="宋体"/>
                <w:b w:val="0"/>
                <w:i w:val="0"/>
                <w:sz w:val="18"/>
              </w:rPr>
              <w:t>正常问答失败</w:t>
            </w:r>
          </w:p>
        </w:tc>
        <w:tc>
          <w:tcPr>
            <w:tcW w:w="2966" w:type="dxa"/>
          </w:tcPr>
          <w:p w14:paraId="6A5D0045">
            <w:pPr>
              <w:spacing w:before="20" w:after="20" w:line="240" w:lineRule="auto"/>
              <w:jc w:val="center"/>
            </w:pPr>
            <w:r>
              <w:rPr>
                <w:rFonts w:ascii="Times New Roman" w:hAnsi="Times New Roman" w:eastAsia="宋体"/>
                <w:b w:val="0"/>
                <w:i w:val="0"/>
                <w:sz w:val="18"/>
              </w:rPr>
              <w:t>相关文档未进入检索top-50</w:t>
            </w:r>
          </w:p>
        </w:tc>
        <w:tc>
          <w:tcPr>
            <w:tcW w:w="2966" w:type="dxa"/>
          </w:tcPr>
          <w:p w14:paraId="76672EBE">
            <w:pPr>
              <w:spacing w:before="20" w:after="20" w:line="240" w:lineRule="auto"/>
              <w:jc w:val="center"/>
            </w:pPr>
            <w:r>
              <w:rPr>
                <w:rFonts w:ascii="Times New Roman" w:hAnsi="Times New Roman" w:eastAsia="宋体"/>
                <w:b w:val="0"/>
                <w:i w:val="0"/>
                <w:sz w:val="18"/>
              </w:rPr>
              <w:t>输出“I don’t know.”，属正常检索未命中</w:t>
            </w:r>
          </w:p>
        </w:tc>
      </w:tr>
      <w:tr w14:paraId="3BC26EE0">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422" w:hRule="atLeast"/>
          <w:jc w:val="center"/>
        </w:trPr>
        <w:tc>
          <w:tcPr>
            <w:tcW w:w="2966" w:type="dxa"/>
          </w:tcPr>
          <w:p w14:paraId="2F827E81">
            <w:pPr>
              <w:spacing w:before="20" w:after="20" w:line="240" w:lineRule="auto"/>
              <w:jc w:val="center"/>
            </w:pPr>
            <w:r>
              <w:rPr>
                <w:rFonts w:ascii="Times New Roman" w:hAnsi="Times New Roman" w:eastAsia="宋体"/>
                <w:b w:val="0"/>
                <w:i w:val="0"/>
                <w:sz w:val="18"/>
              </w:rPr>
              <w:t>投毒成功</w:t>
            </w:r>
          </w:p>
        </w:tc>
        <w:tc>
          <w:tcPr>
            <w:tcW w:w="2966" w:type="dxa"/>
          </w:tcPr>
          <w:p w14:paraId="5224EB4D">
            <w:pPr>
              <w:spacing w:before="20" w:after="20" w:line="240" w:lineRule="auto"/>
              <w:jc w:val="center"/>
            </w:pPr>
            <w:r>
              <w:rPr>
                <w:rFonts w:ascii="Times New Roman" w:hAnsi="Times New Roman" w:eastAsia="宋体"/>
                <w:b w:val="0"/>
                <w:i w:val="0"/>
                <w:sz w:val="18"/>
              </w:rPr>
              <w:t>无门控上下文含5个目标毒块中的4个</w:t>
            </w:r>
          </w:p>
        </w:tc>
        <w:tc>
          <w:tcPr>
            <w:tcW w:w="2966" w:type="dxa"/>
          </w:tcPr>
          <w:p w14:paraId="0023B544">
            <w:pPr>
              <w:spacing w:before="20" w:after="20" w:line="240" w:lineRule="auto"/>
              <w:jc w:val="center"/>
            </w:pPr>
            <w:r>
              <w:rPr>
                <w:rFonts w:ascii="Times New Roman" w:hAnsi="Times New Roman" w:eastAsia="宋体"/>
                <w:b w:val="0"/>
                <w:i w:val="0"/>
                <w:sz w:val="18"/>
              </w:rPr>
              <w:t>输出注入目标答案，污染上下文可影响答案</w:t>
            </w:r>
          </w:p>
        </w:tc>
      </w:tr>
      <w:tr w14:paraId="286BB2B0">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422" w:hRule="atLeast"/>
          <w:jc w:val="center"/>
        </w:trPr>
        <w:tc>
          <w:tcPr>
            <w:tcW w:w="2966" w:type="dxa"/>
          </w:tcPr>
          <w:p w14:paraId="0CA1FD70">
            <w:pPr>
              <w:spacing w:before="20" w:after="20" w:line="240" w:lineRule="auto"/>
              <w:jc w:val="center"/>
            </w:pPr>
            <w:r>
              <w:rPr>
                <w:rFonts w:ascii="Times New Roman" w:hAnsi="Times New Roman" w:eastAsia="宋体"/>
                <w:b w:val="0"/>
                <w:i w:val="0"/>
                <w:sz w:val="18"/>
              </w:rPr>
              <w:t>误拦正常块</w:t>
            </w:r>
          </w:p>
        </w:tc>
        <w:tc>
          <w:tcPr>
            <w:tcW w:w="2966" w:type="dxa"/>
          </w:tcPr>
          <w:p w14:paraId="4E64C99D">
            <w:pPr>
              <w:spacing w:before="20" w:after="20" w:line="240" w:lineRule="auto"/>
              <w:jc w:val="center"/>
            </w:pPr>
            <w:r>
              <w:rPr>
                <w:rFonts w:ascii="Times New Roman" w:hAnsi="Times New Roman" w:eastAsia="宋体"/>
                <w:b w:val="0"/>
                <w:i w:val="0"/>
                <w:sz w:val="18"/>
              </w:rPr>
              <w:t>干净块被P_ret阻断（风险1.231，阈值0.939）</w:t>
            </w:r>
          </w:p>
        </w:tc>
        <w:tc>
          <w:tcPr>
            <w:tcW w:w="2966" w:type="dxa"/>
          </w:tcPr>
          <w:p w14:paraId="23563317">
            <w:pPr>
              <w:spacing w:before="20" w:after="20" w:line="240" w:lineRule="auto"/>
              <w:jc w:val="center"/>
            </w:pPr>
            <w:r>
              <w:rPr>
                <w:rFonts w:ascii="Times New Roman" w:hAnsi="Times New Roman" w:eastAsia="宋体"/>
                <w:b w:val="0"/>
                <w:i w:val="0"/>
                <w:sz w:val="18"/>
              </w:rPr>
              <w:t>正常候选被阻断，对应FPR与效用损失</w:t>
            </w:r>
          </w:p>
        </w:tc>
      </w:tr>
      <w:tr w14:paraId="687C76F9">
        <w:tblPrEx>
          <w:tblBorders>
            <w:top w:val="single" w:color="000000" w:sz="8" w:space="0"/>
            <w:left w:val="none" w:color="000000" w:sz="0" w:space="0"/>
            <w:bottom w:val="single" w:color="000000" w:sz="8"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438" w:hRule="atLeast"/>
          <w:jc w:val="center"/>
        </w:trPr>
        <w:tc>
          <w:tcPr>
            <w:tcW w:w="2966" w:type="dxa"/>
          </w:tcPr>
          <w:p w14:paraId="23983A26">
            <w:pPr>
              <w:spacing w:before="20" w:after="20" w:line="240" w:lineRule="auto"/>
              <w:jc w:val="center"/>
            </w:pPr>
            <w:r>
              <w:rPr>
                <w:rFonts w:ascii="Times New Roman" w:hAnsi="Times New Roman" w:eastAsia="宋体"/>
                <w:b w:val="0"/>
                <w:i w:val="0"/>
                <w:sz w:val="18"/>
              </w:rPr>
              <w:t>毒块被拦截</w:t>
            </w:r>
          </w:p>
        </w:tc>
        <w:tc>
          <w:tcPr>
            <w:tcW w:w="2966" w:type="dxa"/>
          </w:tcPr>
          <w:p w14:paraId="35A66416">
            <w:pPr>
              <w:spacing w:before="20" w:after="20" w:line="240" w:lineRule="auto"/>
              <w:jc w:val="center"/>
            </w:pPr>
            <w:r>
              <w:rPr>
                <w:rFonts w:ascii="Times New Roman" w:hAnsi="Times New Roman" w:eastAsia="宋体"/>
                <w:b w:val="0"/>
                <w:i w:val="0"/>
                <w:sz w:val="18"/>
              </w:rPr>
              <w:t>目标毒块被阻断，最终上下文毒块0/5</w:t>
            </w:r>
          </w:p>
        </w:tc>
        <w:tc>
          <w:tcPr>
            <w:tcW w:w="2966" w:type="dxa"/>
          </w:tcPr>
          <w:p w14:paraId="044FD7F8">
            <w:pPr>
              <w:spacing w:before="20" w:after="20" w:line="240" w:lineRule="auto"/>
              <w:jc w:val="center"/>
            </w:pPr>
            <w:r>
              <w:rPr>
                <w:rFonts w:ascii="Times New Roman" w:hAnsi="Times New Roman" w:eastAsia="宋体"/>
                <w:b w:val="0"/>
                <w:i w:val="0"/>
                <w:sz w:val="18"/>
              </w:rPr>
              <w:t>未复现注入目标，门控动作与安全结果可追溯</w:t>
            </w:r>
          </w:p>
        </w:tc>
      </w:tr>
    </w:tbl>
    <w:p w14:paraId="5FEF3B53">
      <w:pPr>
        <w:spacing w:before="0" w:after="40" w:line="144" w:lineRule="auto"/>
      </w:pPr>
    </w:p>
    <w:p w14:paraId="7EAB263B">
      <w:pPr>
        <w:spacing w:before="0" w:after="0" w:line="259" w:lineRule="auto"/>
        <w:ind w:firstLine="420"/>
        <w:jc w:val="both"/>
      </w:pPr>
      <w:r>
        <w:rPr>
          <w:rFonts w:ascii="Times New Roman" w:hAnsi="Times New Roman" w:eastAsia="宋体"/>
          <w:b w:val="0"/>
          <w:i w:val="0"/>
          <w:sz w:val="18"/>
          <w:szCs w:val="18"/>
          <w:lang w:val="en-US" w:eastAsia="zh-CN"/>
        </w:rPr>
        <w:t>上述案例同时说明，安全收益与正常证据损失需要并列报告：clean miss与false positive不能被归入攻击失败，blocked poison也不能单独证明SafeGate具有通用防护能力。</w:t>
      </w:r>
    </w:p>
    <w:p w14:paraId="05EA968B">
      <w:pPr>
        <w:spacing w:before="160" w:after="60" w:line="259" w:lineRule="auto"/>
        <w:jc w:val="left"/>
      </w:pPr>
      <w:r>
        <w:rPr>
          <w:rFonts w:ascii="Times New Roman" w:hAnsi="Times New Roman" w:eastAsia="黑体"/>
          <w:b w:val="0"/>
          <w:i w:val="0"/>
          <w:sz w:val="24"/>
        </w:rPr>
        <w:t>7  讨论与局限</w:t>
      </w:r>
    </w:p>
    <w:p w14:paraId="24CED5AE">
      <w:pPr>
        <w:spacing w:before="100" w:after="40" w:line="259" w:lineRule="auto"/>
        <w:jc w:val="left"/>
      </w:pPr>
      <w:r>
        <w:rPr>
          <w:rFonts w:ascii="Times New Roman" w:hAnsi="Times New Roman" w:eastAsia="黑体"/>
          <w:b w:val="0"/>
          <w:i w:val="0"/>
          <w:sz w:val="21"/>
        </w:rPr>
        <w:t>7.1  结果含义</w:t>
      </w:r>
    </w:p>
    <w:p w14:paraId="119CCF1F">
      <w:pPr>
        <w:spacing w:before="0" w:after="0" w:line="259" w:lineRule="auto"/>
        <w:ind w:firstLine="420"/>
        <w:jc w:val="both"/>
      </w:pPr>
      <w:r>
        <w:rPr>
          <w:rFonts w:ascii="Times New Roman" w:hAnsi="Times New Roman" w:eastAsia="宋体"/>
          <w:b w:val="0"/>
          <w:i w:val="0"/>
          <w:sz w:val="18"/>
          <w:szCs w:val="18"/>
          <w:lang w:val="en-US" w:eastAsia="zh-CN"/>
        </w:rPr>
        <w:t>本文结果提示，RAG投毒评测基准不宜只报告数据集、检索器与生成器：简化与多阶段管线在无门控ASR上给出不同读数，说明分块、检索深度、重排、上下文预算与装配策略可能改变投毒暴露面，基准应记录语料来源、分块策略、top_m、K_gen、重排器状态、门控位置、回填策略、阈值来源与指标脚本版本。就门控位置而言，P_ret与P_gen的TPR/FPR分母不同，P_gen比例更高但每查询误拦块数更低，只报告百分比会产生误读；位置评测应同时给出候选池、检查块数、误拦/拦截块数与最终上下文变化率。SafeGate的合适定位是评测探针与基线：查询重叠单信号在当前模板攻击下高于均值融合，说明轻量门控的解释需同时考虑攻击类型、单信号结果与工作点，不能将信号数量直接等同于性能收益。</w:t>
      </w:r>
    </w:p>
    <w:p w14:paraId="72E29CFF">
      <w:pPr>
        <w:spacing w:before="100" w:after="40" w:line="259" w:lineRule="auto"/>
        <w:jc w:val="left"/>
      </w:pPr>
      <w:r>
        <w:rPr>
          <w:rFonts w:ascii="Times New Roman" w:hAnsi="Times New Roman" w:eastAsia="黑体"/>
          <w:b w:val="0"/>
          <w:i w:val="0"/>
          <w:sz w:val="21"/>
        </w:rPr>
        <w:t>7.2  局限性与后续工作</w:t>
      </w:r>
    </w:p>
    <w:p w14:paraId="3917EB7D">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本文有4项主要限制：仅使用3个攻击种子，查询级bootstrap不能替代更多攻击随机性；Clean F1绝对值较低，80例定向诊断不能替代全量检索召回与oracle-context实验；攻击仅为高查询重叠的定向模板投毒，低重叠、流畅事实污染与自适应攻击可能改变单信号结论；实验只覆盖一个生成器、一个重排器与仓库内固定BM25实现，公开防护方法仅作机制定位，尚未在同一协议下完整复现。后续将在同一协议下复现TRIS、RAGSieve、RAGPart/RAGMask等方法，建立可横向比较的门控位置与防护机制基线矩阵，并扩展攻击形态与生成器、语料范围。</w:t>
      </w:r>
    </w:p>
    <w:p w14:paraId="1BA3A775">
      <w:pPr>
        <w:spacing w:before="160" w:after="60" w:line="259" w:lineRule="auto"/>
        <w:jc w:val="left"/>
      </w:pPr>
      <w:r>
        <w:rPr>
          <w:rFonts w:ascii="Times New Roman" w:hAnsi="Times New Roman" w:eastAsia="黑体"/>
          <w:b w:val="0"/>
          <w:i w:val="0"/>
          <w:sz w:val="24"/>
        </w:rPr>
        <w:t>8  结论</w:t>
      </w:r>
    </w:p>
    <w:p w14:paraId="575047E0">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本文构建了面向知识库投毒的受控多阶段RAG评测协议，并在统一配置下比较了管线形态与门控位置对评测读数的影响。在当前数据集、检索器、攻击与生成器配置下，关闭与开启重排器会得到不同的无门控ASR估计，说明分块、重排、候选预算与上下文装配等管线组件应纳入RAG投毒评测的元数据；P_ret与P_gen的答案级结果在当前实现中收敛，但候选池与块级代价不同，位置比较必须使用共同分母指标，不能直接用百分比判定位置优劣；查询重叠单信号在多数可比行上取得高于多信号均值融合的ASR-Drop，提示信号设计应结合攻击形态与工作点评价，而不应默认信号数量越多越好。上述结论的边界条件为3个攻击种子、单一生成器与单一重排器，且攻击仅覆盖高查询重叠的定向模板投毒。</w:t>
      </w:r>
    </w:p>
    <w:p w14:paraId="3A25B1E9">
      <w:pPr>
        <w:spacing w:before="0" w:after="0" w:line="259" w:lineRule="auto"/>
        <w:ind w:firstLine="420"/>
        <w:jc w:val="both"/>
        <w:rPr>
          <w:rFonts w:ascii="Times New Roman" w:hAnsi="Times New Roman" w:eastAsia="宋体"/>
          <w:b w:val="0"/>
          <w:i w:val="0"/>
          <w:sz w:val="18"/>
          <w:szCs w:val="18"/>
          <w:lang w:val="en-US" w:eastAsia="zh-CN"/>
        </w:rPr>
      </w:pPr>
      <w:r>
        <w:rPr>
          <w:rFonts w:ascii="Times New Roman" w:hAnsi="Times New Roman" w:eastAsia="宋体"/>
          <w:b w:val="0"/>
          <w:i w:val="0"/>
          <w:sz w:val="18"/>
          <w:szCs w:val="18"/>
          <w:lang w:val="en-US" w:eastAsia="zh-CN"/>
        </w:rPr>
        <w:t>数据与代码可用性声明：本文使用NQ、HotpotQA、BEIR NQ、BGE系列模型与Qwen3-8B等公开资源，已整理匿名统计复现包，含协议配置、语料清单、冻结结果CSV、统计分析与绘图脚本，并已通过34条一致性检查；复现包不含模型权重、NQ全量语料与原始推理缓存。伦理与利益冲突声明：研究内容仅用于安全评测与风险分析，不用于第三方生产环境；作者声明不存在已知利益冲突。</w:t>
      </w:r>
    </w:p>
    <w:p w14:paraId="58EEA5DC">
      <w:pPr>
        <w:spacing w:before="160" w:after="40" w:line="240" w:lineRule="auto"/>
        <w:jc w:val="left"/>
      </w:pPr>
      <w:r>
        <w:rPr>
          <w:rFonts w:ascii="Times New Roman" w:hAnsi="Times New Roman" w:eastAsia="黑体"/>
          <w:b w:val="0"/>
          <w:i w:val="0"/>
          <w:sz w:val="24"/>
        </w:rPr>
        <w:t>参考文献</w:t>
      </w:r>
    </w:p>
    <w:p w14:paraId="7D66DD0A">
      <w:pPr>
        <w:spacing w:before="0" w:after="0" w:line="228" w:lineRule="auto"/>
        <w:jc w:val="both"/>
        <w:rPr>
          <w:rFonts w:hint="default" w:ascii="Times New Roman" w:hAnsi="Times New Roman" w:eastAsia="宋体"/>
          <w:b w:val="0"/>
          <w:i w:val="0"/>
          <w:sz w:val="18"/>
          <w:lang w:val="en-US" w:eastAsia="zh-CN"/>
        </w:rPr>
      </w:pPr>
      <w:r>
        <w:rPr>
          <w:rFonts w:hint="default" w:ascii="Times New Roman" w:hAnsi="Times New Roman" w:eastAsia="宋体"/>
          <w:b w:val="0"/>
          <w:i w:val="0"/>
          <w:sz w:val="18"/>
          <w:lang w:val="en-US" w:eastAsia="zh-CN"/>
        </w:rPr>
        <w:t>[1] LEWIS P, PEREZ E, PIKTUS A, et al. Retrieval-augmented generation for knowledge-intensive NLP tasks[C]//Advances in Neural Information Processing Systems 33 (NeurIPS 2020). Red Hook: Curran Associates, 2020: 9459-9474.</w:t>
      </w:r>
    </w:p>
    <w:p w14:paraId="602DF1AF">
      <w:pPr>
        <w:spacing w:before="0" w:after="0" w:line="228" w:lineRule="auto"/>
        <w:jc w:val="both"/>
        <w:rPr>
          <w:rFonts w:hint="default" w:ascii="Times New Roman" w:hAnsi="Times New Roman" w:eastAsia="宋体"/>
          <w:b w:val="0"/>
          <w:i w:val="0"/>
          <w:sz w:val="18"/>
          <w:lang w:val="en-US" w:eastAsia="zh-CN"/>
        </w:rPr>
      </w:pPr>
      <w:r>
        <w:rPr>
          <w:rFonts w:hint="default" w:ascii="Times New Roman" w:hAnsi="Times New Roman" w:eastAsia="宋体"/>
          <w:b w:val="0"/>
          <w:i w:val="0"/>
          <w:sz w:val="18"/>
          <w:lang w:val="en-US" w:eastAsia="zh-CN"/>
        </w:rPr>
        <w:t>[2] THAKUR N, REIMERS N, RÜCKLÉ A, et al. BEIR: a heterogeneous benchmark for zero-shot evaluation of information retrieval models[EB/OL]. (2021-04-08)/[2026-09-15]. https://arxiv.org/abs/2104.08663.</w:t>
      </w:r>
    </w:p>
    <w:p w14:paraId="6C4C04AA">
      <w:pPr>
        <w:spacing w:before="0" w:after="0" w:line="228" w:lineRule="auto"/>
        <w:jc w:val="both"/>
        <w:rPr>
          <w:rFonts w:hint="default" w:ascii="Times New Roman" w:hAnsi="Times New Roman" w:eastAsia="宋体"/>
          <w:b w:val="0"/>
          <w:i w:val="0"/>
          <w:sz w:val="18"/>
          <w:lang w:val="en-US" w:eastAsia="zh-CN"/>
        </w:rPr>
      </w:pPr>
      <w:r>
        <w:rPr>
          <w:rFonts w:hint="default" w:ascii="Times New Roman" w:hAnsi="Times New Roman" w:eastAsia="宋体"/>
          <w:b w:val="0"/>
          <w:i w:val="0"/>
          <w:sz w:val="18"/>
          <w:lang w:val="en-US" w:eastAsia="zh-CN"/>
        </w:rPr>
        <w:t>[3] KWIATKOWSKI T, PALOMAKI J, REDFIELD O, et al. Natural questions: a benchmark for question answering research[J]. Transactions of the Association for Computational Linguistics, 2019, 7: 452-466.</w:t>
      </w:r>
    </w:p>
    <w:p w14:paraId="6BA7D132">
      <w:pPr>
        <w:spacing w:before="0" w:after="0" w:line="228" w:lineRule="auto"/>
        <w:jc w:val="both"/>
        <w:rPr>
          <w:rFonts w:hint="default" w:ascii="Times New Roman" w:hAnsi="Times New Roman" w:eastAsia="宋体"/>
          <w:b w:val="0"/>
          <w:i w:val="0"/>
          <w:sz w:val="18"/>
          <w:lang w:val="en-US" w:eastAsia="zh-CN"/>
        </w:rPr>
      </w:pPr>
      <w:r>
        <w:rPr>
          <w:rFonts w:hint="default" w:ascii="Times New Roman" w:hAnsi="Times New Roman" w:eastAsia="宋体"/>
          <w:b w:val="0"/>
          <w:i w:val="0"/>
          <w:sz w:val="18"/>
          <w:lang w:val="en-US" w:eastAsia="zh-CN"/>
        </w:rPr>
        <w:t>[4] YANG Z, QI P, ZHANG S, et al. HotpotQA: a dataset for diverse, explainable multi-hop question answering[C]//Proceedings of the 2018 Conference on Empirical Methods in Natural Language Processing (EMNLP). Stroudsburg: Association for Computational Linguistics, 2018: 2369-2380.</w:t>
      </w:r>
    </w:p>
    <w:p w14:paraId="6D36A2E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 w:lineRule="atLeast"/>
        <w:ind w:left="0" w:right="0" w:firstLine="0"/>
        <w:rPr>
          <w:rFonts w:hint="default" w:ascii="Times New Roman" w:hAnsi="Times New Roman" w:eastAsia="宋体"/>
          <w:b w:val="0"/>
          <w:i w:val="0"/>
          <w:sz w:val="18"/>
          <w:lang w:val="en-US" w:eastAsia="zh-CN"/>
        </w:rPr>
      </w:pPr>
      <w:r>
        <w:rPr>
          <w:rFonts w:hint="default" w:ascii="Times New Roman" w:hAnsi="Times New Roman" w:eastAsia="宋体" w:cstheme="minorBidi"/>
          <w:b w:val="0"/>
          <w:i w:val="0"/>
          <w:kern w:val="0"/>
          <w:sz w:val="18"/>
          <w:szCs w:val="24"/>
          <w:lang w:val="en-US" w:eastAsia="zh-CN" w:bidi="ar-SA"/>
        </w:rPr>
        <w:t>[5] GAO Y, XIONG Y, GAO X, et al. Retrieval-augmented generation for large language models: a survey[EB/OL]. (2024-03-27)/[2026-09-15]. https://arxiv.org/abs/2312.10997.</w:t>
      </w:r>
    </w:p>
    <w:p w14:paraId="41BA194B">
      <w:pPr>
        <w:spacing w:before="0" w:after="0" w:line="228" w:lineRule="auto"/>
        <w:jc w:val="both"/>
        <w:rPr>
          <w:rFonts w:hint="default" w:ascii="Times New Roman" w:hAnsi="Times New Roman" w:eastAsia="宋体"/>
          <w:b w:val="0"/>
          <w:i w:val="0"/>
          <w:sz w:val="18"/>
          <w:lang w:val="en-US" w:eastAsia="zh-CN"/>
        </w:rPr>
      </w:pPr>
      <w:r>
        <w:rPr>
          <w:rFonts w:hint="default" w:ascii="Times New Roman" w:hAnsi="Times New Roman" w:eastAsia="宋体"/>
          <w:b w:val="0"/>
          <w:i w:val="0"/>
          <w:sz w:val="18"/>
          <w:lang w:val="en-US" w:eastAsia="zh-CN"/>
        </w:rPr>
        <w:t>[6] LIANG X, NIU S, LI Z, et al. SafeRAG: benchmarking security in retrieval-augmented generation of large language model[C]//Proceedings of the 63rd Annual Meeting of the Association for Computational Linguistics (Volume 1: Long Papers). Stroudsburg: Association for Computational Linguistics, 2025: 4609-4631.</w:t>
      </w:r>
    </w:p>
    <w:p w14:paraId="4E581B2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 w:lineRule="atLeast"/>
        <w:ind w:left="0" w:right="0" w:firstLine="0"/>
        <w:rPr>
          <w:rFonts w:hint="default" w:ascii="Times New Roman" w:hAnsi="Times New Roman" w:eastAsia="宋体" w:cstheme="minorBidi"/>
          <w:b w:val="0"/>
          <w:i w:val="0"/>
          <w:kern w:val="0"/>
          <w:sz w:val="18"/>
          <w:szCs w:val="24"/>
          <w:lang w:val="en-US" w:eastAsia="zh-CN" w:bidi="ar-SA"/>
        </w:rPr>
      </w:pPr>
      <w:r>
        <w:rPr>
          <w:rFonts w:hint="default" w:ascii="Times New Roman" w:hAnsi="Times New Roman" w:eastAsia="宋体" w:cstheme="minorBidi"/>
          <w:b w:val="0"/>
          <w:i w:val="0"/>
          <w:kern w:val="0"/>
          <w:sz w:val="18"/>
          <w:szCs w:val="24"/>
          <w:lang w:val="en-US" w:eastAsia="zh-CN" w:bidi="ar-SA"/>
        </w:rPr>
        <w:t>[7] ZHANG B, XIN H, LI J, et al. Benchmarking poisoning attacks against retrieval-augmented generation[EB/OL]. (2025-05-24)/[2026-09-15]. https://arxiv.org/abs/2505.18543.</w:t>
      </w:r>
    </w:p>
    <w:p w14:paraId="6AC96FFC">
      <w:pPr>
        <w:spacing w:before="0" w:after="0" w:line="228" w:lineRule="auto"/>
        <w:jc w:val="both"/>
        <w:rPr>
          <w:rFonts w:hint="default" w:ascii="Times New Roman" w:hAnsi="Times New Roman" w:eastAsia="宋体"/>
          <w:b w:val="0"/>
          <w:i w:val="0"/>
          <w:sz w:val="18"/>
          <w:lang w:val="en-US" w:eastAsia="zh-CN"/>
        </w:rPr>
      </w:pPr>
      <w:r>
        <w:rPr>
          <w:rFonts w:hint="default" w:ascii="Times New Roman" w:hAnsi="Times New Roman" w:eastAsia="宋体"/>
          <w:b w:val="0"/>
          <w:i w:val="0"/>
          <w:sz w:val="18"/>
          <w:lang w:val="en-US" w:eastAsia="zh-CN"/>
        </w:rPr>
        <w:t>[8] ZOU W, GENG R, WANG B, et al. PoisonedRAG: knowledge corruption attacks to retrieval-augmented generation of large language models[C]//34th USENIX Security Symposium (USENIX Security 2025). Berkeley: USENIX Association, 2025: 3827-3844.</w:t>
      </w:r>
    </w:p>
    <w:p w14:paraId="0C504DE5">
      <w:pPr>
        <w:spacing w:before="0" w:after="0" w:line="228" w:lineRule="auto"/>
        <w:jc w:val="both"/>
        <w:rPr>
          <w:rFonts w:hint="default" w:ascii="Times New Roman" w:hAnsi="Times New Roman" w:eastAsia="宋体"/>
          <w:b w:val="0"/>
          <w:i w:val="0"/>
          <w:sz w:val="18"/>
          <w:lang w:val="en-US" w:eastAsia="zh-CN"/>
        </w:rPr>
      </w:pPr>
      <w:r>
        <w:rPr>
          <w:rFonts w:hint="default" w:ascii="Times New Roman" w:hAnsi="Times New Roman" w:eastAsia="宋体"/>
          <w:b w:val="0"/>
          <w:i w:val="0"/>
          <w:sz w:val="18"/>
          <w:lang w:val="en-US" w:eastAsia="zh-CN"/>
        </w:rPr>
        <w:t>[9] ZHANG B, CHEN Y, LIU Z, et al. Practical poisoning attacks against retrieval-augmented generation[C]//Proceedings of the 31st ACM Symposium on Access Control Models and Technologies (SACMAT 2026). New York: ACM, 2026: 33-44.</w:t>
      </w:r>
    </w:p>
    <w:p w14:paraId="37C03B9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 w:lineRule="atLeast"/>
        <w:ind w:left="0" w:right="0" w:firstLine="0"/>
        <w:rPr>
          <w:rFonts w:hint="default" w:ascii="Times New Roman" w:hAnsi="Times New Roman" w:eastAsia="宋体" w:cstheme="minorBidi"/>
          <w:b w:val="0"/>
          <w:i w:val="0"/>
          <w:kern w:val="0"/>
          <w:sz w:val="18"/>
          <w:szCs w:val="24"/>
          <w:lang w:val="en-US" w:eastAsia="zh-CN" w:bidi="ar-SA"/>
        </w:rPr>
      </w:pPr>
      <w:r>
        <w:rPr>
          <w:rFonts w:hint="default" w:ascii="Times New Roman" w:hAnsi="Times New Roman" w:eastAsia="宋体" w:cstheme="minorBidi"/>
          <w:b w:val="0"/>
          <w:i w:val="0"/>
          <w:kern w:val="0"/>
          <w:sz w:val="18"/>
          <w:szCs w:val="24"/>
          <w:lang w:val="en-US" w:eastAsia="zh-CN" w:bidi="ar-SA"/>
        </w:rPr>
        <w:t>[10] NIE X, LI H, WU S, et al. When poison fails after retrieval: revisiting corpus poisoning under chunking and reranking pipelines[EB/OL]. (2026-06-09)/[2026-09-15]. https://arxiv.org/abs/2606.11265.</w:t>
      </w:r>
    </w:p>
    <w:p w14:paraId="5B0F114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 w:lineRule="atLeast"/>
        <w:ind w:left="0" w:right="0" w:firstLine="0"/>
        <w:rPr>
          <w:rFonts w:hint="default" w:ascii="Times New Roman" w:hAnsi="Times New Roman" w:eastAsia="宋体" w:cstheme="minorBidi"/>
          <w:b w:val="0"/>
          <w:i w:val="0"/>
          <w:kern w:val="0"/>
          <w:sz w:val="18"/>
          <w:szCs w:val="24"/>
          <w:lang w:val="en-US" w:eastAsia="zh-CN" w:bidi="ar-SA"/>
        </w:rPr>
      </w:pPr>
      <w:r>
        <w:rPr>
          <w:rFonts w:hint="default" w:ascii="Times New Roman" w:hAnsi="Times New Roman" w:eastAsia="宋体" w:cstheme="minorBidi"/>
          <w:b w:val="0"/>
          <w:i w:val="0"/>
          <w:kern w:val="0"/>
          <w:sz w:val="18"/>
          <w:szCs w:val="24"/>
          <w:lang w:val="en-US" w:eastAsia="zh-CN" w:bidi="ar-SA"/>
        </w:rPr>
        <w:t>[11] PEREIRA P, MAIA E, PRAÇA I, et al. Influence factors on RAG poisoning[EB/OL]. (2026-06-09)/[2026-09-15].</w:t>
      </w:r>
      <w:r>
        <w:rPr>
          <w:rFonts w:hint="eastAsia" w:ascii="Times New Roman" w:hAnsi="Times New Roman" w:cstheme="minorBidi"/>
          <w:b w:val="0"/>
          <w:i w:val="0"/>
          <w:kern w:val="0"/>
          <w:sz w:val="18"/>
          <w:szCs w:val="24"/>
          <w:lang w:val="en-US" w:eastAsia="zh-CN" w:bidi="ar-SA"/>
        </w:rPr>
        <w:t xml:space="preserve"> </w:t>
      </w:r>
      <w:r>
        <w:rPr>
          <w:rFonts w:hint="default" w:ascii="Times New Roman" w:hAnsi="Times New Roman" w:eastAsia="宋体" w:cstheme="minorBidi"/>
          <w:b w:val="0"/>
          <w:i w:val="0"/>
          <w:kern w:val="0"/>
          <w:sz w:val="18"/>
          <w:szCs w:val="24"/>
          <w:lang w:val="en-US" w:eastAsia="zh-CN" w:bidi="ar-SA"/>
        </w:rPr>
        <w:t>https://arxiv.org/abs/2606.12469.</w:t>
      </w:r>
    </w:p>
    <w:p w14:paraId="60E9F2A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 w:lineRule="atLeast"/>
        <w:ind w:left="0" w:right="0" w:firstLine="0"/>
        <w:rPr>
          <w:rFonts w:hint="default" w:ascii="Times New Roman" w:hAnsi="Times New Roman" w:eastAsia="宋体" w:cstheme="minorBidi"/>
          <w:b w:val="0"/>
          <w:i w:val="0"/>
          <w:kern w:val="0"/>
          <w:sz w:val="18"/>
          <w:szCs w:val="24"/>
          <w:lang w:val="en-US" w:eastAsia="zh-CN" w:bidi="ar-SA"/>
        </w:rPr>
      </w:pPr>
      <w:r>
        <w:rPr>
          <w:rFonts w:hint="default" w:ascii="Times New Roman" w:hAnsi="Times New Roman" w:eastAsia="宋体" w:cstheme="minorBidi"/>
          <w:b w:val="0"/>
          <w:i w:val="0"/>
          <w:kern w:val="0"/>
          <w:sz w:val="18"/>
          <w:szCs w:val="24"/>
          <w:lang w:val="en-US" w:eastAsia="zh-CN" w:bidi="ar-SA"/>
        </w:rPr>
        <w:t>[12] MUNIR M B, ONONTO A J, JOYNAB N S, et al. TRIS: a tri-layer retrieval integrity sieve against knowledge</w:t>
      </w:r>
      <w:r>
        <w:rPr>
          <w:rFonts w:hint="eastAsia" w:ascii="Times New Roman" w:hAnsi="Times New Roman" w:cstheme="minorBidi"/>
          <w:b w:val="0"/>
          <w:i w:val="0"/>
          <w:kern w:val="0"/>
          <w:sz w:val="18"/>
          <w:szCs w:val="24"/>
          <w:lang w:val="en-US" w:eastAsia="zh-CN" w:bidi="ar-SA"/>
        </w:rPr>
        <w:t xml:space="preserve"> </w:t>
      </w:r>
      <w:r>
        <w:rPr>
          <w:rFonts w:hint="default" w:ascii="Times New Roman" w:hAnsi="Times New Roman" w:eastAsia="宋体" w:cstheme="minorBidi"/>
          <w:b w:val="0"/>
          <w:i w:val="0"/>
          <w:kern w:val="0"/>
          <w:sz w:val="18"/>
          <w:szCs w:val="24"/>
          <w:lang w:val="en-US" w:eastAsia="zh-CN" w:bidi="ar-SA"/>
        </w:rPr>
        <w:t>poisoning[EB/OL]. (2026-08-31)/[2026-09-15]. https://arxiv.org/abs/2609.00470.</w:t>
      </w:r>
    </w:p>
    <w:p w14:paraId="6F926B6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 w:lineRule="atLeast"/>
        <w:ind w:left="0" w:right="0" w:firstLine="0"/>
        <w:rPr>
          <w:rFonts w:hint="default" w:ascii="Times New Roman" w:hAnsi="Times New Roman" w:eastAsia="宋体" w:cstheme="minorBidi"/>
          <w:b w:val="0"/>
          <w:i w:val="0"/>
          <w:kern w:val="0"/>
          <w:sz w:val="18"/>
          <w:szCs w:val="24"/>
          <w:lang w:val="en-US" w:eastAsia="zh-CN" w:bidi="ar-SA"/>
        </w:rPr>
      </w:pPr>
      <w:r>
        <w:rPr>
          <w:rFonts w:hint="default" w:ascii="Times New Roman" w:hAnsi="Times New Roman" w:eastAsia="宋体" w:cstheme="minorBidi"/>
          <w:b w:val="0"/>
          <w:i w:val="0"/>
          <w:kern w:val="0"/>
          <w:sz w:val="18"/>
          <w:szCs w:val="24"/>
          <w:lang w:val="en-US" w:eastAsia="zh-CN" w:bidi="ar-SA"/>
        </w:rPr>
        <w:t>[13] XU X, LI Y Y. RAGSieve: self-referenced local contrast for knowledge-poison detection in retrieval-augmented generation</w:t>
      </w:r>
      <w:bookmarkStart w:id="0" w:name="_GoBack"/>
      <w:bookmarkEnd w:id="0"/>
      <w:r>
        <w:rPr>
          <w:rFonts w:hint="default" w:ascii="Times New Roman" w:hAnsi="Times New Roman" w:eastAsia="宋体" w:cstheme="minorBidi"/>
          <w:b w:val="0"/>
          <w:i w:val="0"/>
          <w:kern w:val="0"/>
          <w:sz w:val="18"/>
          <w:szCs w:val="24"/>
          <w:lang w:val="en-US" w:eastAsia="zh-CN" w:bidi="ar-SA"/>
        </w:rPr>
        <w:t>[EB/OL]. (2026-09-08)/[2026-09-15]. https://arxiv.org/abs/2608.13010.</w:t>
      </w:r>
    </w:p>
    <w:p w14:paraId="2DD8CC37">
      <w:pPr>
        <w:spacing w:before="0" w:after="0" w:line="228" w:lineRule="auto"/>
        <w:jc w:val="both"/>
        <w:rPr>
          <w:rFonts w:hint="default" w:ascii="Times New Roman" w:hAnsi="Times New Roman" w:eastAsia="宋体"/>
          <w:b w:val="0"/>
          <w:i w:val="0"/>
          <w:sz w:val="18"/>
          <w:lang w:val="en-US" w:eastAsia="zh-CN"/>
        </w:rPr>
      </w:pPr>
      <w:r>
        <w:rPr>
          <w:rFonts w:hint="default" w:ascii="Times New Roman" w:hAnsi="Times New Roman" w:eastAsia="宋体"/>
          <w:b w:val="0"/>
          <w:i w:val="0"/>
          <w:sz w:val="18"/>
          <w:lang w:val="en-US" w:eastAsia="zh-CN"/>
        </w:rPr>
        <w:t>[14] TAN X, LUAN H, LUO M, et al. RevPRAG: revealing poisoning attacks in retrieval-augmented generation through LLM activation analysis[C]//Findings of the Association for Computational Linguistics: EMNLP 2025. Stroudsburg: Association for Computational Linguistics, 2025: 12999-13011.</w:t>
      </w:r>
    </w:p>
    <w:p w14:paraId="51DA099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1" w:lineRule="atLeast"/>
        <w:ind w:left="0" w:right="0" w:firstLine="0"/>
        <w:rPr>
          <w:rFonts w:hint="default" w:ascii="Times New Roman" w:hAnsi="Times New Roman" w:eastAsia="宋体" w:cstheme="minorBidi"/>
          <w:b w:val="0"/>
          <w:i w:val="0"/>
          <w:kern w:val="0"/>
          <w:sz w:val="18"/>
          <w:szCs w:val="24"/>
          <w:lang w:val="en-US" w:eastAsia="zh-CN" w:bidi="ar-SA"/>
        </w:rPr>
      </w:pPr>
      <w:r>
        <w:rPr>
          <w:rFonts w:hint="default" w:ascii="Times New Roman" w:hAnsi="Times New Roman" w:eastAsia="宋体" w:cstheme="minorBidi"/>
          <w:b w:val="0"/>
          <w:i w:val="0"/>
          <w:kern w:val="0"/>
          <w:sz w:val="18"/>
          <w:szCs w:val="24"/>
          <w:lang w:val="en-US" w:eastAsia="zh-CN" w:bidi="ar-SA"/>
        </w:rPr>
        <w:t>[15] PATHMANATHAN P, PANAITESCU-LIESS M A, CHIANG C Y J, et al. RAGPart &amp; RAGMask: retrieval-stage defenses against corpus poisoning in retrieval-augmented generation[EB/OL]. (2025-12-30)/[2026-09-15]. https://arxiv.org/abs/2512.24268.</w:t>
      </w:r>
    </w:p>
    <w:p w14:paraId="0CE6F6D2">
      <w:pPr>
        <w:spacing w:before="0" w:after="0" w:line="228" w:lineRule="auto"/>
        <w:jc w:val="both"/>
        <w:rPr>
          <w:rFonts w:hint="default" w:ascii="Times New Roman" w:hAnsi="Times New Roman" w:eastAsia="宋体"/>
          <w:b w:val="0"/>
          <w:i w:val="0"/>
          <w:sz w:val="18"/>
          <w:lang w:val="en-US" w:eastAsia="zh-CN"/>
        </w:rPr>
      </w:pPr>
      <w:r>
        <w:rPr>
          <w:rFonts w:hint="default" w:ascii="Times New Roman" w:hAnsi="Times New Roman" w:eastAsia="宋体"/>
          <w:b w:val="0"/>
          <w:i w:val="0"/>
          <w:sz w:val="18"/>
          <w:lang w:val="en-US" w:eastAsia="zh-CN"/>
        </w:rPr>
        <w:t>[16] XIANG C, WU T, ZHONG Z, et al. Certifiably robust RAG against retrieval corruption[C]//Proceedings of the 2026 IEEE Conference on Secure and Trustworthy Machine Learning (SaTML). Piscataway: IEEE, 2026: 392-410.</w:t>
      </w:r>
    </w:p>
    <w:p w14:paraId="0A589A92">
      <w:pPr>
        <w:spacing w:before="0" w:after="0" w:line="228" w:lineRule="auto"/>
        <w:jc w:val="both"/>
        <w:rPr>
          <w:rFonts w:hint="default" w:ascii="Times New Roman" w:hAnsi="Times New Roman" w:eastAsia="宋体"/>
          <w:b w:val="0"/>
          <w:i w:val="0"/>
          <w:sz w:val="18"/>
          <w:lang w:val="en-US" w:eastAsia="zh-CN"/>
        </w:rPr>
      </w:pPr>
      <w:r>
        <w:rPr>
          <w:rFonts w:hint="default" w:ascii="Times New Roman" w:hAnsi="Times New Roman" w:eastAsia="宋体"/>
          <w:b w:val="0"/>
          <w:i w:val="0"/>
          <w:sz w:val="18"/>
          <w:lang w:val="en-US" w:eastAsia="zh-CN"/>
        </w:rPr>
        <w:t>[17] 林丹, 卢顺峰, 刘姿妍, 等. 大语言模型赋能区块链服务安全研究综述: 现状、挑战与机遇(特邀)[J]. 计算机工程, 2026, 52(1): 1-21.</w:t>
      </w:r>
    </w:p>
    <w:p w14:paraId="471EF3BA">
      <w:pPr>
        <w:spacing w:before="0" w:after="0" w:line="228" w:lineRule="auto"/>
        <w:jc w:val="both"/>
        <w:rPr>
          <w:rFonts w:hint="default" w:ascii="Times New Roman" w:hAnsi="Times New Roman" w:eastAsia="宋体"/>
          <w:b w:val="0"/>
          <w:i w:val="0"/>
          <w:sz w:val="18"/>
          <w:lang w:val="en-US" w:eastAsia="zh-CN"/>
        </w:rPr>
      </w:pPr>
      <w:r>
        <w:rPr>
          <w:rFonts w:hint="default" w:ascii="Times New Roman" w:hAnsi="Times New Roman" w:eastAsia="宋体"/>
          <w:b w:val="0"/>
          <w:i w:val="0"/>
          <w:sz w:val="18"/>
          <w:lang w:val="en-US" w:eastAsia="zh-CN"/>
        </w:rPr>
        <w:t>LIN Dan, LU Shunfeng, LIU Ziyan, et al. Large Language Models Empowering Blockchain Service Security: A Comprehensive Survey of Status, Challenges, and Opportunities (Invited)[J]. Computer Engineering, 2026, 52(1): 1-21.</w:t>
      </w:r>
    </w:p>
    <w:p w14:paraId="3CF662C9">
      <w:pPr>
        <w:spacing w:before="0" w:after="0" w:line="228" w:lineRule="auto"/>
        <w:jc w:val="both"/>
        <w:rPr>
          <w:rFonts w:hint="default" w:ascii="Times New Roman" w:hAnsi="Times New Roman" w:eastAsia="宋体"/>
          <w:b w:val="0"/>
          <w:i w:val="0"/>
          <w:sz w:val="18"/>
          <w:lang w:val="en-US" w:eastAsia="zh-CN"/>
        </w:rPr>
      </w:pPr>
      <w:r>
        <w:rPr>
          <w:rFonts w:hint="default" w:ascii="Times New Roman" w:hAnsi="Times New Roman" w:eastAsia="宋体"/>
          <w:b w:val="0"/>
          <w:i w:val="0"/>
          <w:sz w:val="18"/>
          <w:lang w:val="en-US" w:eastAsia="zh-CN"/>
        </w:rPr>
        <w:t>[18] 王合庆, 魏杰, 景红雨, 等. Meta-RAG: 基于元数据驱动的电力领域检索增强生成框架[J]. 计算机工程, 2026, 52(2): 383-392.</w:t>
      </w:r>
    </w:p>
    <w:p w14:paraId="1A862B88">
      <w:pPr>
        <w:spacing w:before="0" w:after="0" w:line="228" w:lineRule="auto"/>
        <w:jc w:val="both"/>
        <w:rPr>
          <w:rFonts w:hint="default" w:ascii="Times New Roman" w:hAnsi="Times New Roman" w:eastAsia="宋体"/>
          <w:b w:val="0"/>
          <w:i w:val="0"/>
          <w:sz w:val="18"/>
          <w:lang w:val="en-US" w:eastAsia="zh-CN"/>
        </w:rPr>
      </w:pPr>
      <w:r>
        <w:rPr>
          <w:rFonts w:hint="default" w:ascii="Times New Roman" w:hAnsi="Times New Roman" w:eastAsia="宋体"/>
          <w:b w:val="0"/>
          <w:i w:val="0"/>
          <w:sz w:val="18"/>
          <w:lang w:val="en-US" w:eastAsia="zh-CN"/>
        </w:rPr>
        <w:t>WANG Heqing, WEI Jie, JING Hongyu, et al. Meta-RAG: A Metadata-Driven Retrieval-Augmented Generation Framework for the Power Industry[J]. Computer Engineering, 2026, 52(2): 383-392.</w:t>
      </w:r>
    </w:p>
    <w:p w14:paraId="170B2DB6">
      <w:pPr>
        <w:spacing w:before="0" w:after="0" w:line="228" w:lineRule="auto"/>
        <w:jc w:val="both"/>
        <w:rPr>
          <w:rFonts w:hint="default" w:ascii="Times New Roman" w:hAnsi="Times New Roman" w:eastAsia="宋体"/>
          <w:b w:val="0"/>
          <w:i w:val="0"/>
          <w:sz w:val="18"/>
          <w:lang w:val="en-US" w:eastAsia="zh-CN"/>
        </w:rPr>
      </w:pPr>
      <w:r>
        <w:rPr>
          <w:rFonts w:hint="default" w:ascii="Times New Roman" w:hAnsi="Times New Roman" w:eastAsia="宋体"/>
          <w:b w:val="0"/>
          <w:i w:val="0"/>
          <w:sz w:val="18"/>
          <w:lang w:val="en-US" w:eastAsia="zh-CN"/>
        </w:rPr>
        <w:t>[19] 李泽鸣, 王树良, 尚子贺, 等. 多模态检索增强生成驱动的文档问答综述(特邀)[J]. 计算机工程, 2026, 52(4): 1-21.</w:t>
      </w:r>
    </w:p>
    <w:p w14:paraId="12267BEB">
      <w:pPr>
        <w:spacing w:before="0" w:after="0" w:line="228" w:lineRule="auto"/>
        <w:jc w:val="both"/>
        <w:rPr>
          <w:rFonts w:hint="default" w:ascii="Times New Roman" w:hAnsi="Times New Roman" w:eastAsia="宋体"/>
          <w:b w:val="0"/>
          <w:i w:val="0"/>
          <w:sz w:val="18"/>
          <w:lang w:val="en-US" w:eastAsia="zh-CN"/>
        </w:rPr>
      </w:pPr>
      <w:r>
        <w:rPr>
          <w:rFonts w:hint="default" w:ascii="Times New Roman" w:hAnsi="Times New Roman" w:eastAsia="宋体"/>
          <w:b w:val="0"/>
          <w:i w:val="0"/>
          <w:sz w:val="18"/>
          <w:lang w:val="en-US" w:eastAsia="zh-CN"/>
        </w:rPr>
        <w:t>LI Zeming, WANG Shuliang, SHANG Zihe, et al. Review of Document Q &amp; A Driven by Multimodal Retrieval-Augmented Generation (Invited)[J]. Computer Engineering, 2026, 52(4): 1-21.</w:t>
      </w:r>
    </w:p>
    <w:p w14:paraId="5957DA6C">
      <w:pPr>
        <w:spacing w:before="0" w:after="0" w:line="228" w:lineRule="auto"/>
        <w:jc w:val="both"/>
        <w:rPr>
          <w:rFonts w:hint="default" w:ascii="Times New Roman" w:hAnsi="Times New Roman" w:eastAsia="宋体"/>
          <w:b w:val="0"/>
          <w:i w:val="0"/>
          <w:sz w:val="18"/>
          <w:lang w:val="en-US" w:eastAsia="zh-CN"/>
        </w:rPr>
      </w:pPr>
    </w:p>
    <w:p w14:paraId="2A89EE66">
      <w:pPr>
        <w:numPr>
          <w:ilvl w:val="0"/>
          <w:numId w:val="0"/>
        </w:numPr>
        <w:spacing w:before="0" w:after="0" w:line="228" w:lineRule="auto"/>
        <w:jc w:val="both"/>
        <w:rPr>
          <w:rFonts w:ascii="Times New Roman" w:hAnsi="Times New Roman" w:eastAsia="宋体"/>
          <w:b w:val="0"/>
          <w:i w:val="0"/>
          <w:sz w:val="18"/>
        </w:rPr>
      </w:pPr>
    </w:p>
    <w:p w14:paraId="2DF284F9">
      <w:pPr>
        <w:spacing w:before="80" w:after="0" w:line="240" w:lineRule="auto"/>
        <w:jc w:val="left"/>
      </w:pPr>
      <w:r>
        <w:rPr>
          <w:rFonts w:ascii="Times New Roman" w:hAnsi="Times New Roman" w:eastAsia="宋体"/>
          <w:b w:val="0"/>
          <w:i w:val="0"/>
          <w:sz w:val="18"/>
        </w:rPr>
        <w:t>作者联系方式（前3位作者，长期有效）：陈冠宇，手机</w:t>
      </w:r>
      <w:r>
        <w:rPr>
          <w:rFonts w:hint="eastAsia" w:ascii="Times New Roman" w:hAnsi="Times New Roman" w:eastAsia="宋体"/>
          <w:b w:val="0"/>
          <w:i w:val="0"/>
          <w:sz w:val="18"/>
          <w:lang w:val="en-US" w:eastAsia="zh-CN"/>
        </w:rPr>
        <w:t>13680996138</w:t>
      </w:r>
      <w:r>
        <w:rPr>
          <w:rFonts w:ascii="Times New Roman" w:hAnsi="Times New Roman" w:eastAsia="宋体"/>
          <w:b w:val="0"/>
          <w:i w:val="0"/>
          <w:sz w:val="18"/>
        </w:rPr>
        <w:t>，E-mail</w:t>
      </w:r>
      <w:r>
        <w:rPr>
          <w:rFonts w:hint="eastAsia" w:ascii="Times New Roman" w:hAnsi="Times New Roman" w:eastAsia="宋体"/>
          <w:b w:val="0"/>
          <w:i w:val="0"/>
          <w:sz w:val="18"/>
          <w:lang w:val="en-US" w:eastAsia="zh-CN"/>
        </w:rPr>
        <w:t xml:space="preserve"> 20253803028@m.scnu.edu.cn</w:t>
      </w:r>
      <w:r>
        <w:rPr>
          <w:rFonts w:ascii="Times New Roman" w:hAnsi="Times New Roman" w:eastAsia="宋体"/>
          <w:b w:val="0"/>
          <w:i w:val="0"/>
          <w:sz w:val="18"/>
        </w:rPr>
        <w:t>；张梓健，手机</w:t>
      </w:r>
      <w:r>
        <w:rPr>
          <w:rFonts w:hint="eastAsia" w:ascii="Times New Roman" w:hAnsi="Times New Roman" w:eastAsia="宋体"/>
          <w:b w:val="0"/>
          <w:i w:val="0"/>
          <w:sz w:val="18"/>
          <w:lang w:val="en-US" w:eastAsia="zh-CN"/>
        </w:rPr>
        <w:t>18244902820</w:t>
      </w:r>
      <w:r>
        <w:rPr>
          <w:rFonts w:ascii="Times New Roman" w:hAnsi="Times New Roman" w:eastAsia="宋体"/>
          <w:b w:val="0"/>
          <w:i w:val="0"/>
          <w:sz w:val="18"/>
        </w:rPr>
        <w:t>，E-mail</w:t>
      </w:r>
      <w:r>
        <w:rPr>
          <w:rFonts w:hint="eastAsia" w:ascii="Times New Roman" w:hAnsi="Times New Roman" w:eastAsia="宋体"/>
          <w:b w:val="0"/>
          <w:i w:val="0"/>
          <w:sz w:val="18"/>
          <w:lang w:val="en-US" w:eastAsia="zh-CN"/>
        </w:rPr>
        <w:t xml:space="preserve"> 20253803020@m.scnu.edu.cn</w:t>
      </w:r>
      <w:r>
        <w:rPr>
          <w:rFonts w:ascii="Times New Roman" w:hAnsi="Times New Roman" w:eastAsia="宋体"/>
          <w:b w:val="0"/>
          <w:i w:val="0"/>
          <w:sz w:val="18"/>
        </w:rPr>
        <w:t>；刘</w:t>
      </w:r>
      <w:r>
        <w:rPr>
          <w:rFonts w:hint="eastAsia" w:ascii="Times New Roman" w:hAnsi="Times New Roman" w:eastAsia="宋体"/>
          <w:b w:val="0"/>
          <w:i w:val="0"/>
          <w:sz w:val="18"/>
          <w:lang w:val="en-US" w:eastAsia="zh-CN"/>
        </w:rPr>
        <w:t>东</w:t>
      </w:r>
      <w:r>
        <w:rPr>
          <w:rFonts w:ascii="Times New Roman" w:hAnsi="Times New Roman" w:eastAsia="宋体"/>
          <w:b w:val="0"/>
          <w:i w:val="0"/>
          <w:sz w:val="18"/>
        </w:rPr>
        <w:t>，电话</w:t>
      </w:r>
      <w:r>
        <w:rPr>
          <w:rFonts w:hint="eastAsia" w:ascii="Times New Roman" w:hAnsi="Times New Roman" w:eastAsia="宋体"/>
          <w:b w:val="0"/>
          <w:i w:val="0"/>
          <w:sz w:val="18"/>
          <w:lang w:val="en-US" w:eastAsia="zh-CN"/>
        </w:rPr>
        <w:t>13560194959</w:t>
      </w:r>
      <w:r>
        <w:rPr>
          <w:rFonts w:ascii="Times New Roman" w:hAnsi="Times New Roman" w:eastAsia="宋体"/>
          <w:b w:val="0"/>
          <w:i w:val="0"/>
          <w:sz w:val="18"/>
        </w:rPr>
        <w:t>，E-mail</w:t>
      </w:r>
      <w:r>
        <w:rPr>
          <w:rFonts w:hint="eastAsia" w:ascii="Times New Roman" w:hAnsi="Times New Roman" w:eastAsia="宋体"/>
          <w:b w:val="0"/>
          <w:i w:val="0"/>
          <w:sz w:val="18"/>
          <w:lang w:val="en-US" w:eastAsia="zh-CN"/>
        </w:rPr>
        <w:t xml:space="preserve"> 201003@gwng.edu.cn</w:t>
      </w:r>
      <w:r>
        <w:rPr>
          <w:rFonts w:ascii="Times New Roman" w:hAnsi="Times New Roman" w:eastAsia="宋体"/>
          <w:b w:val="0"/>
          <w:i w:val="0"/>
          <w:sz w:val="18"/>
        </w:rPr>
        <w:t>。</w:t>
      </w:r>
    </w:p>
    <w:sectPr>
      <w:footnotePr>
        <w:numRestart w:val="eachSect"/>
      </w:footnotePr>
      <w:pgSz w:w="11906" w:h="16838"/>
      <w:pgMar w:top="1361" w:right="1134" w:bottom="1361" w:left="1134"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B0100"/>
    <w:rsid w:val="051B0843"/>
    <w:rsid w:val="0E3C2DEC"/>
    <w:rsid w:val="1849272B"/>
    <w:rsid w:val="1A660496"/>
    <w:rsid w:val="1F9B1F85"/>
    <w:rsid w:val="204D49B3"/>
    <w:rsid w:val="2A124413"/>
    <w:rsid w:val="2AE05349"/>
    <w:rsid w:val="2D9E0E8B"/>
    <w:rsid w:val="2DC93014"/>
    <w:rsid w:val="305B498D"/>
    <w:rsid w:val="32D827AD"/>
    <w:rsid w:val="32F96CA4"/>
    <w:rsid w:val="33352432"/>
    <w:rsid w:val="363A0431"/>
    <w:rsid w:val="3849588A"/>
    <w:rsid w:val="38BF64CA"/>
    <w:rsid w:val="396F481A"/>
    <w:rsid w:val="3A5E72D8"/>
    <w:rsid w:val="3C712EFB"/>
    <w:rsid w:val="443D0128"/>
    <w:rsid w:val="452363FB"/>
    <w:rsid w:val="51F80C9E"/>
    <w:rsid w:val="55D35A61"/>
    <w:rsid w:val="577D2531"/>
    <w:rsid w:val="5B6631C1"/>
    <w:rsid w:val="5C867ADA"/>
    <w:rsid w:val="5C946EE9"/>
    <w:rsid w:val="5F47597D"/>
    <w:rsid w:val="65893695"/>
    <w:rsid w:val="659D1F22"/>
    <w:rsid w:val="66A73E6D"/>
    <w:rsid w:val="679C76AC"/>
    <w:rsid w:val="68060931"/>
    <w:rsid w:val="699B3613"/>
    <w:rsid w:val="6C2654F1"/>
    <w:rsid w:val="6D1914CD"/>
    <w:rsid w:val="79CE3A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1"/>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1"/>
    <w:link w:val="3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1">
    <w:name w:val="Default Paragraph Font"/>
    <w:semiHidden/>
    <w:unhideWhenUsed/>
    <w:qFormat/>
    <w:uiPriority w:val="0"/>
  </w:style>
  <w:style w:type="table" w:default="1" w:styleId="20">
    <w:name w:val="Normal Table"/>
    <w:qFormat/>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9"/>
    <w:qFormat/>
    <w:uiPriority w:val="11"/>
    <w:rPr>
      <w:rFonts w:eastAsiaTheme="majorEastAsia" w:cstheme="majorBidi"/>
      <w:spacing w:val="15"/>
      <w:sz w:val="28"/>
      <w:szCs w:val="28"/>
    </w:rPr>
  </w:style>
  <w:style w:type="paragraph" w:styleId="17">
    <w:name w:val="footnote text"/>
    <w:basedOn w:val="1"/>
    <w:unhideWhenUsed/>
    <w:qFormat/>
    <w:uiPriority w:val="9"/>
  </w:style>
  <w:style w:type="paragraph" w:styleId="1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2">
    <w:name w:val="Hyperlink"/>
    <w:basedOn w:val="23"/>
    <w:qFormat/>
    <w:uiPriority w:val="0"/>
    <w:rPr>
      <w:rFonts w:ascii="Times New Roman" w:hAnsi="Times New Roman" w:eastAsia="宋体"/>
      <w:color w:val="156082" w:themeColor="accent1"/>
      <w14:textFill>
        <w14:solidFill>
          <w14:schemeClr w14:val="accent1"/>
        </w14:solidFill>
      </w14:textFill>
    </w:rPr>
  </w:style>
  <w:style w:type="character" w:customStyle="1" w:styleId="23">
    <w:name w:val="Body Text Char"/>
    <w:basedOn w:val="21"/>
    <w:link w:val="3"/>
    <w:qFormat/>
    <w:uiPriority w:val="0"/>
  </w:style>
  <w:style w:type="character" w:styleId="24">
    <w:name w:val="HTML Code"/>
    <w:basedOn w:val="21"/>
    <w:qFormat/>
    <w:uiPriority w:val="0"/>
    <w:rPr>
      <w:rFonts w:ascii="Courier New" w:hAnsi="Courier New"/>
      <w:sz w:val="20"/>
    </w:rPr>
  </w:style>
  <w:style w:type="character" w:styleId="25">
    <w:name w:val="footnote reference"/>
    <w:basedOn w:val="23"/>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21"/>
    <w:link w:val="15"/>
    <w:qFormat/>
    <w:uiPriority w:val="10"/>
    <w:rPr>
      <w:rFonts w:asciiTheme="majorHAnsi" w:hAnsiTheme="majorHAnsi" w:eastAsiaTheme="majorEastAsia" w:cstheme="majorBidi"/>
      <w:sz w:val="56"/>
      <w:szCs w:val="56"/>
    </w:rPr>
  </w:style>
  <w:style w:type="character" w:customStyle="1" w:styleId="29">
    <w:name w:val="Subtitle Char"/>
    <w:basedOn w:val="2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1"/>
    <w:link w:val="2"/>
    <w:qFormat/>
    <w:uiPriority w:val="9"/>
    <w:rPr>
      <w:rFonts w:asciiTheme="majorHAnsi" w:hAnsiTheme="majorHAnsi" w:eastAsiaTheme="majorEastAsia" w:cstheme="majorBidi"/>
      <w:color w:val="104862" w:themeColor="accent1" w:themeShade="BF"/>
      <w:sz w:val="40"/>
      <w:szCs w:val="40"/>
    </w:rPr>
  </w:style>
  <w:style w:type="character" w:customStyle="1" w:styleId="35">
    <w:name w:val="Heading 2 Char"/>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6">
    <w:name w:val="Heading 3 Char"/>
    <w:basedOn w:val="21"/>
    <w:link w:val="5"/>
    <w:semiHidden/>
    <w:qFormat/>
    <w:uiPriority w:val="9"/>
    <w:rPr>
      <w:rFonts w:eastAsiaTheme="majorEastAsia" w:cstheme="majorBidi"/>
      <w:color w:val="104862" w:themeColor="accent1" w:themeShade="BF"/>
      <w:sz w:val="28"/>
      <w:szCs w:val="28"/>
    </w:rPr>
  </w:style>
  <w:style w:type="character" w:customStyle="1" w:styleId="37">
    <w:name w:val="Heading 4 Char"/>
    <w:basedOn w:val="21"/>
    <w:link w:val="6"/>
    <w:semiHidden/>
    <w:qFormat/>
    <w:uiPriority w:val="9"/>
    <w:rPr>
      <w:rFonts w:eastAsiaTheme="majorEastAsia" w:cstheme="majorBidi"/>
      <w:i/>
      <w:iCs/>
      <w:color w:val="104862" w:themeColor="accent1" w:themeShade="BF"/>
    </w:rPr>
  </w:style>
  <w:style w:type="character" w:customStyle="1" w:styleId="38">
    <w:name w:val="Heading 5 Char"/>
    <w:basedOn w:val="21"/>
    <w:link w:val="7"/>
    <w:semiHidden/>
    <w:qFormat/>
    <w:uiPriority w:val="9"/>
    <w:rPr>
      <w:rFonts w:eastAsiaTheme="majorEastAsia" w:cstheme="majorBidi"/>
      <w:color w:val="104862" w:themeColor="accent1" w:themeShade="BF"/>
    </w:rPr>
  </w:style>
  <w:style w:type="character" w:customStyle="1" w:styleId="39">
    <w:name w:val="Heading 6 Char"/>
    <w:basedOn w:val="21"/>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Heading 7 Char"/>
    <w:basedOn w:val="21"/>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Heading 8 Char"/>
    <w:basedOn w:val="21"/>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Heading 9 Char"/>
    <w:basedOn w:val="21"/>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17"/>
    <w:next w:val="17"/>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2"/>
    <w:qFormat/>
    <w:uiPriority w:val="0"/>
    <w:pPr>
      <w:keepNext/>
    </w:pPr>
  </w:style>
  <w:style w:type="paragraph" w:customStyle="1" w:styleId="48">
    <w:name w:val="Image Caption"/>
    <w:basedOn w:val="12"/>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3"/>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3"/>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5">
    <w:name w:val="KeywordTok"/>
    <w:basedOn w:val="51"/>
    <w:qFormat/>
    <w:uiPriority w:val="0"/>
    <w:rPr>
      <w:b/>
      <w:color w:val="007020"/>
    </w:rPr>
  </w:style>
  <w:style w:type="character" w:customStyle="1" w:styleId="56">
    <w:name w:val="DataTypeTok"/>
    <w:basedOn w:val="51"/>
    <w:qFormat/>
    <w:uiPriority w:val="0"/>
    <w:rPr>
      <w:color w:val="902000"/>
    </w:rPr>
  </w:style>
  <w:style w:type="character" w:customStyle="1" w:styleId="57">
    <w:name w:val="DecValTok"/>
    <w:basedOn w:val="51"/>
    <w:qFormat/>
    <w:uiPriority w:val="0"/>
    <w:rPr>
      <w:color w:val="40A070"/>
    </w:rPr>
  </w:style>
  <w:style w:type="character" w:customStyle="1" w:styleId="58">
    <w:name w:val="BaseNTok"/>
    <w:basedOn w:val="51"/>
    <w:qFormat/>
    <w:uiPriority w:val="0"/>
    <w:rPr>
      <w:color w:val="40A070"/>
    </w:rPr>
  </w:style>
  <w:style w:type="character" w:customStyle="1" w:styleId="59">
    <w:name w:val="FloatTok"/>
    <w:basedOn w:val="51"/>
    <w:qFormat/>
    <w:uiPriority w:val="0"/>
    <w:rPr>
      <w:color w:val="40A070"/>
    </w:rPr>
  </w:style>
  <w:style w:type="character" w:customStyle="1" w:styleId="60">
    <w:name w:val="ConstantTok"/>
    <w:basedOn w:val="51"/>
    <w:qFormat/>
    <w:uiPriority w:val="0"/>
    <w:rPr>
      <w:color w:val="880000"/>
    </w:rPr>
  </w:style>
  <w:style w:type="character" w:customStyle="1" w:styleId="61">
    <w:name w:val="CharTok"/>
    <w:basedOn w:val="51"/>
    <w:qFormat/>
    <w:uiPriority w:val="0"/>
    <w:rPr>
      <w:color w:val="4070A0"/>
    </w:rPr>
  </w:style>
  <w:style w:type="character" w:customStyle="1" w:styleId="62">
    <w:name w:val="SpecialCharTok"/>
    <w:basedOn w:val="51"/>
    <w:qFormat/>
    <w:uiPriority w:val="0"/>
    <w:rPr>
      <w:color w:val="4070A0"/>
    </w:rPr>
  </w:style>
  <w:style w:type="character" w:customStyle="1" w:styleId="63">
    <w:name w:val="StringTok"/>
    <w:basedOn w:val="51"/>
    <w:qFormat/>
    <w:uiPriority w:val="0"/>
    <w:rPr>
      <w:color w:val="4070A0"/>
    </w:rPr>
  </w:style>
  <w:style w:type="character" w:customStyle="1" w:styleId="64">
    <w:name w:val="VerbatimStringTok"/>
    <w:basedOn w:val="51"/>
    <w:qFormat/>
    <w:uiPriority w:val="0"/>
    <w:rPr>
      <w:color w:val="4070A0"/>
    </w:rPr>
  </w:style>
  <w:style w:type="character" w:customStyle="1" w:styleId="65">
    <w:name w:val="SpecialStringTok"/>
    <w:basedOn w:val="51"/>
    <w:qFormat/>
    <w:uiPriority w:val="0"/>
    <w:rPr>
      <w:color w:val="BB6688"/>
    </w:rPr>
  </w:style>
  <w:style w:type="character" w:customStyle="1" w:styleId="66">
    <w:name w:val="ImportTok"/>
    <w:basedOn w:val="51"/>
    <w:qFormat/>
    <w:uiPriority w:val="0"/>
    <w:rPr>
      <w:b/>
      <w:color w:val="008000"/>
    </w:rPr>
  </w:style>
  <w:style w:type="character" w:customStyle="1" w:styleId="67">
    <w:name w:val="CommentTok"/>
    <w:basedOn w:val="51"/>
    <w:qFormat/>
    <w:uiPriority w:val="0"/>
    <w:rPr>
      <w:i/>
      <w:color w:val="60A0B0"/>
    </w:rPr>
  </w:style>
  <w:style w:type="character" w:customStyle="1" w:styleId="68">
    <w:name w:val="DocumentationTok"/>
    <w:basedOn w:val="51"/>
    <w:qFormat/>
    <w:uiPriority w:val="0"/>
    <w:rPr>
      <w:i/>
      <w:color w:val="BA2121"/>
    </w:rPr>
  </w:style>
  <w:style w:type="character" w:customStyle="1" w:styleId="69">
    <w:name w:val="AnnotationTok"/>
    <w:basedOn w:val="51"/>
    <w:qFormat/>
    <w:uiPriority w:val="0"/>
    <w:rPr>
      <w:b/>
      <w:i/>
      <w:color w:val="60A0B0"/>
    </w:rPr>
  </w:style>
  <w:style w:type="character" w:customStyle="1" w:styleId="70">
    <w:name w:val="CommentVarTok"/>
    <w:basedOn w:val="51"/>
    <w:qFormat/>
    <w:uiPriority w:val="0"/>
    <w:rPr>
      <w:b/>
      <w:i/>
      <w:color w:val="60A0B0"/>
    </w:rPr>
  </w:style>
  <w:style w:type="character" w:customStyle="1" w:styleId="71">
    <w:name w:val="OtherTok"/>
    <w:basedOn w:val="51"/>
    <w:qFormat/>
    <w:uiPriority w:val="0"/>
    <w:rPr>
      <w:color w:val="007020"/>
    </w:rPr>
  </w:style>
  <w:style w:type="character" w:customStyle="1" w:styleId="72">
    <w:name w:val="FunctionTok"/>
    <w:basedOn w:val="51"/>
    <w:qFormat/>
    <w:uiPriority w:val="0"/>
    <w:rPr>
      <w:color w:val="06287E"/>
    </w:rPr>
  </w:style>
  <w:style w:type="character" w:customStyle="1" w:styleId="73">
    <w:name w:val="VariableTok"/>
    <w:basedOn w:val="51"/>
    <w:qFormat/>
    <w:uiPriority w:val="0"/>
    <w:rPr>
      <w:color w:val="19177C"/>
    </w:rPr>
  </w:style>
  <w:style w:type="character" w:customStyle="1" w:styleId="74">
    <w:name w:val="ControlFlowTok"/>
    <w:basedOn w:val="51"/>
    <w:qFormat/>
    <w:uiPriority w:val="0"/>
    <w:rPr>
      <w:b/>
      <w:color w:val="007020"/>
    </w:rPr>
  </w:style>
  <w:style w:type="character" w:customStyle="1" w:styleId="75">
    <w:name w:val="OperatorTok"/>
    <w:basedOn w:val="51"/>
    <w:qFormat/>
    <w:uiPriority w:val="0"/>
    <w:rPr>
      <w:color w:val="666666"/>
    </w:rPr>
  </w:style>
  <w:style w:type="character" w:customStyle="1" w:styleId="76">
    <w:name w:val="BuiltInTok"/>
    <w:basedOn w:val="51"/>
    <w:qFormat/>
    <w:uiPriority w:val="0"/>
    <w:rPr>
      <w:color w:val="008000"/>
    </w:rPr>
  </w:style>
  <w:style w:type="character" w:customStyle="1" w:styleId="77">
    <w:name w:val="ExtensionTok"/>
    <w:basedOn w:val="51"/>
    <w:qFormat/>
    <w:uiPriority w:val="0"/>
  </w:style>
  <w:style w:type="character" w:customStyle="1" w:styleId="78">
    <w:name w:val="PreprocessorTok"/>
    <w:basedOn w:val="51"/>
    <w:qFormat/>
    <w:uiPriority w:val="0"/>
    <w:rPr>
      <w:color w:val="BC7A00"/>
    </w:rPr>
  </w:style>
  <w:style w:type="character" w:customStyle="1" w:styleId="79">
    <w:name w:val="AttributeTok"/>
    <w:basedOn w:val="51"/>
    <w:qFormat/>
    <w:uiPriority w:val="0"/>
    <w:rPr>
      <w:color w:val="7D9029"/>
    </w:rPr>
  </w:style>
  <w:style w:type="character" w:customStyle="1" w:styleId="80">
    <w:name w:val="RegionMarkerTok"/>
    <w:basedOn w:val="51"/>
    <w:qFormat/>
    <w:uiPriority w:val="0"/>
  </w:style>
  <w:style w:type="character" w:customStyle="1" w:styleId="81">
    <w:name w:val="InformationTok"/>
    <w:basedOn w:val="51"/>
    <w:qFormat/>
    <w:uiPriority w:val="0"/>
    <w:rPr>
      <w:b/>
      <w:i/>
      <w:color w:val="60A0B0"/>
    </w:rPr>
  </w:style>
  <w:style w:type="character" w:customStyle="1" w:styleId="82">
    <w:name w:val="WarningTok"/>
    <w:basedOn w:val="51"/>
    <w:qFormat/>
    <w:uiPriority w:val="0"/>
    <w:rPr>
      <w:b/>
      <w:i/>
      <w:color w:val="60A0B0"/>
    </w:rPr>
  </w:style>
  <w:style w:type="character" w:customStyle="1" w:styleId="83">
    <w:name w:val="AlertTok"/>
    <w:basedOn w:val="51"/>
    <w:qFormat/>
    <w:uiPriority w:val="0"/>
    <w:rPr>
      <w:b/>
      <w:color w:val="FF0000"/>
    </w:rPr>
  </w:style>
  <w:style w:type="character" w:customStyle="1" w:styleId="84">
    <w:name w:val="ErrorTok"/>
    <w:basedOn w:val="51"/>
    <w:qFormat/>
    <w:uiPriority w:val="0"/>
    <w:rPr>
      <w:b/>
      <w:color w:val="FF0000"/>
    </w:rPr>
  </w:style>
  <w:style w:type="character" w:customStyle="1" w:styleId="85">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7449</Words>
  <Characters>12684</Characters>
  <Lines>12</Lines>
  <Paragraphs>8</Paragraphs>
  <TotalTime>9</TotalTime>
  <ScaleCrop>false</ScaleCrop>
  <LinksUpToDate>false</LinksUpToDate>
  <CharactersWithSpaces>13317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2026-09-15T04:41:00Z</dcterms:created>
  <dc:creator>冠宇／陈</dc:creator>
  <cp:lastModifiedBy>冠宇／陈</cp:lastModifiedBy>
  <dcterms:modified xsi:type="dcterms:W3CDTF">2026-09-25T07:03:49Z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eyJoZGlkIjoiMGFjODJhYTNkN2EwMDlkNzgwZjY5ZDFkZjA4N2QyN2MiLCJ1c2VySWQiOiI3NTM0MTA0MTUifQ==</vt:lpwstr>
  </property>
  <property fmtid="{D5CDD505-2E9C-101B-9397-08002B2CF9AE}" pid="3" name="KSOProductBuildVer">
    <vt:lpwstr>2052-12.1.0.28505</vt:lpwstr>
  </property>
  <property fmtid="{D5CDD505-2E9C-101B-9397-08002B2CF9AE}" pid="4" name="ICV">
    <vt:lpwstr>27FCE8DBEFD84556AA5B796EBDD8D2BC_13</vt:lpwstr>
  </property>
</Properties>
</file>