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0FFB2">
      <w:pPr>
        <w:spacing w:line="360" w:lineRule="auto"/>
        <w:outlineLvl w:val="9"/>
      </w:pPr>
    </w:p>
    <w:p w14:paraId="4FC7F45A">
      <w:pPr>
        <w:spacing w:line="360" w:lineRule="auto"/>
      </w:pPr>
    </w:p>
    <w:p w14:paraId="34248A1E">
      <w:pPr>
        <w:spacing w:line="360" w:lineRule="auto"/>
      </w:pPr>
    </w:p>
    <w:p w14:paraId="663D08BD">
      <w:pPr>
        <w:spacing w:line="360" w:lineRule="auto"/>
      </w:pPr>
    </w:p>
    <w:p w14:paraId="368E57D6">
      <w:pPr>
        <w:spacing w:line="360" w:lineRule="auto"/>
      </w:pPr>
    </w:p>
    <w:p w14:paraId="7C619E00">
      <w:pPr>
        <w:spacing w:line="360" w:lineRule="auto"/>
      </w:pPr>
    </w:p>
    <w:p w14:paraId="16BE504C">
      <w:pPr>
        <w:spacing w:line="360" w:lineRule="auto"/>
      </w:pPr>
    </w:p>
    <w:p w14:paraId="6EFEC2C4">
      <w:pPr>
        <w:spacing w:line="360" w:lineRule="auto"/>
      </w:pPr>
    </w:p>
    <w:p w14:paraId="198EDABE">
      <w:pPr>
        <w:spacing w:after="600"/>
        <w:jc w:val="center"/>
      </w:pPr>
      <w:r>
        <w:rPr>
          <w:rFonts w:ascii="华文新魏" w:hAnsi="华文新魏" w:eastAsia="华文新魏" w:cs="华文新魏"/>
          <w:b/>
          <w:bCs/>
          <w:sz w:val="36"/>
          <w:szCs w:val="36"/>
        </w:rPr>
        <w:t>本科毕业设计报告</w:t>
      </w:r>
    </w:p>
    <w:p w14:paraId="38809B93">
      <w:pPr>
        <w:spacing w:after="200"/>
        <w:jc w:val="center"/>
      </w:pPr>
      <w:r>
        <w:rPr>
          <w:rFonts w:ascii="宋体" w:hAnsi="宋体" w:eastAsia="宋体" w:cs="宋体"/>
          <w:b w:val="0"/>
          <w:bCs w:val="0"/>
          <w:sz w:val="32"/>
          <w:szCs w:val="32"/>
        </w:rPr>
        <w:t>题    目：</w:t>
      </w:r>
      <w:r>
        <w:rPr>
          <w:rFonts w:ascii="黑体" w:hAnsi="黑体" w:eastAsia="黑体" w:cs="黑体"/>
          <w:b/>
          <w:bCs/>
          <w:sz w:val="32"/>
          <w:szCs w:val="32"/>
        </w:rPr>
        <w:t>非遗视角下侗乡医药数字展示平台设计</w:t>
      </w:r>
    </w:p>
    <w:p w14:paraId="675BE1DC">
      <w:pPr>
        <w:spacing w:line="360" w:lineRule="auto"/>
      </w:pPr>
    </w:p>
    <w:p w14:paraId="576D52E9">
      <w:pPr>
        <w:spacing w:after="120" w:line="480" w:lineRule="auto"/>
        <w:jc w:val="center"/>
      </w:pPr>
      <w:r>
        <w:rPr>
          <w:rFonts w:ascii="宋体" w:hAnsi="宋体" w:eastAsia="宋体" w:cs="宋体"/>
          <w:b w:val="0"/>
          <w:bCs w:val="0"/>
          <w:sz w:val="32"/>
          <w:szCs w:val="32"/>
        </w:rPr>
        <w:t>学    院：艺术与设计学院</w:t>
      </w:r>
    </w:p>
    <w:p w14:paraId="2A56EA2C">
      <w:pPr>
        <w:spacing w:after="120" w:line="480" w:lineRule="auto"/>
        <w:jc w:val="center"/>
      </w:pPr>
      <w:r>
        <w:rPr>
          <w:rFonts w:ascii="宋体" w:hAnsi="宋体" w:eastAsia="宋体" w:cs="宋体"/>
          <w:b w:val="0"/>
          <w:bCs w:val="0"/>
          <w:sz w:val="32"/>
          <w:szCs w:val="32"/>
        </w:rPr>
        <w:t>专    业：数字媒体技术</w:t>
      </w:r>
    </w:p>
    <w:p w14:paraId="5D14B391">
      <w:pPr>
        <w:spacing w:after="120" w:line="480" w:lineRule="auto"/>
        <w:jc w:val="center"/>
      </w:pPr>
      <w:r>
        <w:rPr>
          <w:rFonts w:ascii="宋体" w:hAnsi="宋体" w:eastAsia="宋体" w:cs="宋体"/>
          <w:b w:val="0"/>
          <w:bCs w:val="0"/>
          <w:sz w:val="32"/>
          <w:szCs w:val="32"/>
        </w:rPr>
        <w:t>学生姓名：谢世隆</w:t>
      </w:r>
    </w:p>
    <w:p w14:paraId="3647D1DE">
      <w:pPr>
        <w:spacing w:after="120" w:line="480" w:lineRule="auto"/>
        <w:jc w:val="center"/>
      </w:pPr>
      <w:r>
        <w:rPr>
          <w:rFonts w:ascii="宋体" w:hAnsi="宋体" w:eastAsia="宋体" w:cs="宋体"/>
          <w:b w:val="0"/>
          <w:bCs w:val="0"/>
          <w:sz w:val="32"/>
          <w:szCs w:val="32"/>
        </w:rPr>
        <w:t>学    号：2200470227</w:t>
      </w:r>
    </w:p>
    <w:p w14:paraId="07A0334E">
      <w:pPr>
        <w:spacing w:after="120" w:line="480" w:lineRule="auto"/>
        <w:jc w:val="center"/>
      </w:pPr>
      <w:r>
        <w:rPr>
          <w:rFonts w:ascii="宋体" w:hAnsi="宋体" w:eastAsia="宋体" w:cs="宋体"/>
          <w:b w:val="0"/>
          <w:bCs w:val="0"/>
          <w:sz w:val="32"/>
          <w:szCs w:val="32"/>
        </w:rPr>
        <w:t>指导教师：胡清钟</w:t>
      </w:r>
    </w:p>
    <w:p w14:paraId="06303DB4">
      <w:pPr>
        <w:spacing w:after="120" w:line="480" w:lineRule="auto"/>
        <w:jc w:val="center"/>
      </w:pPr>
      <w:r>
        <w:rPr>
          <w:rFonts w:ascii="宋体" w:hAnsi="宋体" w:eastAsia="宋体" w:cs="宋体"/>
          <w:b w:val="0"/>
          <w:bCs w:val="0"/>
          <w:sz w:val="32"/>
          <w:szCs w:val="32"/>
        </w:rPr>
        <w:t>指导教师职称：高级工程师</w:t>
      </w:r>
    </w:p>
    <w:p w14:paraId="055BB913">
      <w:pPr>
        <w:sectPr>
          <w:pgSz w:w="11906" w:h="16838"/>
          <w:pgMar w:top="1440" w:right="1440" w:bottom="1440" w:left="1440" w:header="708" w:footer="708" w:gutter="0"/>
          <w:cols w:space="720" w:num="1"/>
          <w:docGrid w:linePitch="360" w:charSpace="0"/>
        </w:sectPr>
      </w:pPr>
    </w:p>
    <w:p w14:paraId="09AAEB20">
      <w:pPr>
        <w:spacing w:after="400"/>
        <w:jc w:val="center"/>
        <w:outlineLvl w:val="9"/>
      </w:pPr>
      <w:r>
        <w:rPr>
          <w:rFonts w:ascii="黑体" w:hAnsi="黑体" w:eastAsia="黑体" w:cs="黑体"/>
          <w:b/>
          <w:bCs/>
          <w:sz w:val="32"/>
          <w:szCs w:val="32"/>
        </w:rPr>
        <w:t>本科生毕业设计报告独创性声明</w:t>
      </w:r>
    </w:p>
    <w:p w14:paraId="39E9DC78">
      <w:pPr>
        <w:spacing w:line="360" w:lineRule="auto"/>
      </w:pPr>
    </w:p>
    <w:p w14:paraId="09F97ED9">
      <w:pPr>
        <w:spacing w:line="360" w:lineRule="auto"/>
        <w:ind w:firstLine="480"/>
        <w:jc w:val="both"/>
      </w:pPr>
      <w:r>
        <w:rPr>
          <w:rFonts w:ascii="宋体" w:hAnsi="宋体" w:eastAsia="宋体" w:cs="宋体"/>
          <w:sz w:val="24"/>
          <w:szCs w:val="24"/>
        </w:rPr>
        <w:t>本人声明所呈交的毕业设计报告是我个人在指导老师指导下进行的工作及取得的成果。尽我所知，除了文中特别加以标注和致谢中所罗列的内容以外，文中不包含其他人或其它机构已经发表或撰写的成果；也不包含为获得桂林电子科技大学或其他教育机构的学位或证书而使用过的材料。其他同志对本工作的启发和所做的任何贡献均已在毕业设计报告中做了明确的说明并表示了谢意。</w:t>
      </w:r>
    </w:p>
    <w:p w14:paraId="342E4595">
      <w:pPr>
        <w:spacing w:line="360" w:lineRule="auto"/>
      </w:pPr>
    </w:p>
    <w:p w14:paraId="755B9515">
      <w:pPr>
        <w:spacing w:line="360" w:lineRule="auto"/>
        <w:ind w:firstLine="480"/>
        <w:jc w:val="both"/>
      </w:pPr>
      <w:r>
        <w:rPr>
          <w:rFonts w:ascii="宋体" w:hAnsi="宋体" w:eastAsia="宋体" w:cs="宋体"/>
          <w:sz w:val="24"/>
          <w:szCs w:val="24"/>
        </w:rPr>
        <w:t>毕业设计报告若有不实之处，本人承担一切相关责任。</w:t>
      </w:r>
    </w:p>
    <w:p w14:paraId="741679E6">
      <w:pPr>
        <w:spacing w:line="360" w:lineRule="auto"/>
      </w:pPr>
    </w:p>
    <w:p w14:paraId="1282C73B">
      <w:pPr>
        <w:spacing w:line="360" w:lineRule="auto"/>
      </w:pPr>
    </w:p>
    <w:p w14:paraId="2627A653">
      <w:pPr>
        <w:spacing w:line="360" w:lineRule="auto"/>
        <w:jc w:val="both"/>
      </w:pPr>
      <w:r>
        <w:rPr>
          <w:rFonts w:ascii="宋体" w:hAnsi="宋体" w:eastAsia="宋体" w:cs="宋体"/>
          <w:sz w:val="24"/>
          <w:szCs w:val="24"/>
        </w:rPr>
        <w:t>本人签名：                                   日期：    年    月   日</w:t>
      </w:r>
    </w:p>
    <w:p w14:paraId="22A1A31B">
      <w:pPr>
        <w:spacing w:line="360" w:lineRule="auto"/>
      </w:pPr>
    </w:p>
    <w:p w14:paraId="71D93FB0">
      <w:pPr>
        <w:spacing w:line="360" w:lineRule="auto"/>
      </w:pPr>
    </w:p>
    <w:p w14:paraId="75D1495B">
      <w:pPr>
        <w:spacing w:after="400"/>
        <w:jc w:val="center"/>
        <w:outlineLvl w:val="9"/>
      </w:pPr>
      <w:r>
        <w:rPr>
          <w:rFonts w:ascii="黑体" w:hAnsi="黑体" w:eastAsia="黑体" w:cs="黑体"/>
          <w:b/>
          <w:bCs/>
          <w:sz w:val="32"/>
          <w:szCs w:val="32"/>
        </w:rPr>
        <w:t>本科生毕业设计报告使用授权说明</w:t>
      </w:r>
    </w:p>
    <w:p w14:paraId="1A7FA7AD">
      <w:pPr>
        <w:spacing w:line="360" w:lineRule="auto"/>
      </w:pPr>
    </w:p>
    <w:p w14:paraId="1F147083">
      <w:pPr>
        <w:spacing w:line="360" w:lineRule="auto"/>
        <w:ind w:firstLine="480"/>
        <w:jc w:val="both"/>
      </w:pPr>
      <w:r>
        <w:rPr>
          <w:rFonts w:ascii="宋体" w:hAnsi="宋体" w:eastAsia="宋体" w:cs="宋体"/>
          <w:sz w:val="24"/>
          <w:szCs w:val="24"/>
        </w:rPr>
        <w:t>桂林电子科技大学有权保留并向国家有关部门或机构送交毕业设计报告的复印件，允许毕业设计报告被查阅和借阅。本人授权桂林电子科技大学可以公布毕业设计报告的全部或部分内容，可以采用影印、缩印或其它复制手段保存、汇编毕业设计报告。</w:t>
      </w:r>
    </w:p>
    <w:p w14:paraId="580B6CDF">
      <w:pPr>
        <w:spacing w:line="360" w:lineRule="auto"/>
      </w:pPr>
    </w:p>
    <w:p w14:paraId="278AD2B8">
      <w:pPr>
        <w:spacing w:line="360" w:lineRule="auto"/>
      </w:pPr>
    </w:p>
    <w:p w14:paraId="46A8A440">
      <w:pPr>
        <w:spacing w:line="360" w:lineRule="auto"/>
        <w:jc w:val="both"/>
      </w:pPr>
      <w:r>
        <w:rPr>
          <w:rFonts w:ascii="宋体" w:hAnsi="宋体" w:eastAsia="宋体" w:cs="宋体"/>
          <w:sz w:val="24"/>
          <w:szCs w:val="24"/>
        </w:rPr>
        <w:t>本人签名：                                   日期：    年    月   日</w:t>
      </w:r>
    </w:p>
    <w:p w14:paraId="6A4053EF">
      <w:pPr>
        <w:spacing w:line="360" w:lineRule="auto"/>
      </w:pPr>
    </w:p>
    <w:p w14:paraId="2A8F45EA">
      <w:pPr>
        <w:spacing w:line="360" w:lineRule="auto"/>
        <w:jc w:val="both"/>
      </w:pPr>
      <w:r>
        <w:rPr>
          <w:rFonts w:ascii="宋体" w:hAnsi="宋体" w:eastAsia="宋体" w:cs="宋体"/>
          <w:sz w:val="24"/>
          <w:szCs w:val="24"/>
        </w:rPr>
        <w:t>导师签名：                                   日期：    年    月   日</w:t>
      </w:r>
    </w:p>
    <w:p w14:paraId="36053619">
      <w:pPr>
        <w:sectPr>
          <w:pgSz w:w="11906" w:h="16838"/>
          <w:pgMar w:top="1440" w:right="1440" w:bottom="1440" w:left="1440" w:header="708" w:footer="708" w:gutter="0"/>
          <w:cols w:space="720" w:num="1"/>
          <w:docGrid w:linePitch="360" w:charSpace="0"/>
        </w:sectPr>
      </w:pPr>
    </w:p>
    <w:p w14:paraId="07113CF7">
      <w:pPr>
        <w:spacing w:after="300"/>
        <w:jc w:val="center"/>
        <w:outlineLvl w:val="9"/>
      </w:pPr>
      <w:r>
        <w:rPr>
          <w:rFonts w:ascii="黑体" w:hAnsi="黑体" w:eastAsia="黑体" w:cs="黑体"/>
          <w:b/>
          <w:bCs/>
          <w:sz w:val="32"/>
          <w:szCs w:val="32"/>
        </w:rPr>
        <w:t>摘  要</w:t>
      </w:r>
    </w:p>
    <w:p w14:paraId="5B2DF6C1">
      <w:pPr>
        <w:spacing w:line="360" w:lineRule="auto"/>
      </w:pPr>
    </w:p>
    <w:p w14:paraId="496F8E35">
      <w:pPr>
        <w:spacing w:line="360" w:lineRule="auto"/>
        <w:ind w:firstLine="480"/>
        <w:jc w:val="both"/>
      </w:pPr>
      <w:r>
        <w:rPr>
          <w:rFonts w:ascii="宋体" w:hAnsi="宋体" w:eastAsia="宋体" w:cs="宋体"/>
          <w:sz w:val="24"/>
          <w:szCs w:val="24"/>
        </w:rPr>
        <w:t>侗乡医药是广西三江侗族自治县重要的自治区级非物质文化遗产，承载着侗族人民千百年来的医疗智慧与文化记忆。然而，由于长期依赖口传心授的传承模式，侗乡医药的经典药方、核心疗法、传承人技艺及药用植物知识缺乏标准化的数字整理，面临非遗资源散落、传承渠道狭窄、文化传播受限等现实困境。本课题从非遗保护视角出发，以数字媒体技术为支撑，设计并实现了一款轻量化的侗乡医药数字展示平台，旨在为侗乡医药非遗搭建一个标准化、可持续的线上传播与保护载体。</w:t>
      </w:r>
    </w:p>
    <w:p w14:paraId="5AC089BB">
      <w:pPr>
        <w:spacing w:line="360" w:lineRule="auto"/>
        <w:ind w:firstLine="480"/>
        <w:jc w:val="both"/>
      </w:pPr>
      <w:r>
        <w:rPr>
          <w:rFonts w:ascii="宋体" w:hAnsi="宋体" w:eastAsia="宋体" w:cs="宋体"/>
          <w:sz w:val="24"/>
          <w:szCs w:val="24"/>
        </w:rPr>
        <w:t>本课题采用前后端分离的B/S架构，以Vue 3为前端框架、Spring Boot 3为后端框架、MySQL 8.0为数据库，按照软件工程规范化流程完成全流程开发。平台涵盖非遗医药知识库、传承人风采、药用资源图鉴、非遗问答四大核心模块，以及文化互动专区、学习资源下载、数据可视化三大拓展模块，共整合了12项经典药方、6类核心疗法、8名代表性传承人及15种常用药用植物的完整数据资料。在界面设计上，将侗锦靛蓝色与药用植物草绿色作为主色调，融入侗族“万字纹”“回纹”等传统纹样元素，构建了兼具文化底蕴与现代审美的视觉体系。</w:t>
      </w:r>
    </w:p>
    <w:p w14:paraId="47BFF88F">
      <w:pPr>
        <w:spacing w:line="360" w:lineRule="auto"/>
        <w:ind w:firstLine="480"/>
        <w:jc w:val="both"/>
      </w:pPr>
      <w:r>
        <w:rPr>
          <w:rFonts w:ascii="宋体" w:hAnsi="宋体" w:eastAsia="宋体" w:cs="宋体"/>
          <w:sz w:val="24"/>
          <w:szCs w:val="24"/>
        </w:rPr>
        <w:t>经过多维度测试与优化，平台实现了侗乡医药非遗数据的结构化存储、多维度检索与多媒体化展示，页面加载速度控制在3秒以内，数据查询响应时间低于0.5秒，兼容主流浏览器及移动终端。本课题为小众非遗的数字化保护提供了本科级别的可行解决方案，同时锻炼了Web全栈开发与非遗文化可视化的综合实践能力。</w:t>
      </w:r>
    </w:p>
    <w:p w14:paraId="1A781CCE">
      <w:pPr>
        <w:spacing w:line="360" w:lineRule="auto"/>
      </w:pPr>
    </w:p>
    <w:p w14:paraId="733A16B8">
      <w:pPr>
        <w:spacing w:line="360" w:lineRule="auto"/>
      </w:pPr>
      <w:r>
        <w:rPr>
          <w:rFonts w:ascii="黑体" w:hAnsi="黑体" w:eastAsia="黑体" w:cs="黑体"/>
          <w:b/>
          <w:bCs/>
          <w:sz w:val="24"/>
          <w:szCs w:val="24"/>
        </w:rPr>
        <w:t>关键词</w:t>
      </w:r>
      <w:r>
        <w:rPr>
          <w:rFonts w:ascii="宋体" w:hAnsi="宋体" w:eastAsia="宋体" w:cs="宋体"/>
          <w:b w:val="0"/>
          <w:bCs w:val="0"/>
          <w:sz w:val="24"/>
          <w:szCs w:val="24"/>
        </w:rPr>
        <w:t>：侗乡医药；非物质文化遗产；数字化保护；数字展示平台；Vue+Spring Boot</w:t>
      </w:r>
    </w:p>
    <w:p w14:paraId="2A9DD481">
      <w:pPr>
        <w:sectPr>
          <w:pgSz w:w="11906" w:h="16838"/>
          <w:pgMar w:top="1440" w:right="1440" w:bottom="1440" w:left="1440" w:header="708" w:footer="708" w:gutter="0"/>
          <w:cols w:space="720" w:num="1"/>
          <w:docGrid w:linePitch="360" w:charSpace="0"/>
        </w:sectPr>
      </w:pPr>
    </w:p>
    <w:p w14:paraId="273DA691">
      <w:pPr>
        <w:spacing w:after="300"/>
        <w:jc w:val="center"/>
        <w:outlineLvl w:val="9"/>
      </w:pPr>
      <w:r>
        <w:rPr>
          <w:rFonts w:ascii="Times New Roman" w:hAnsi="Times New Roman" w:eastAsia="Times New Roman" w:cs="Times New Roman"/>
          <w:b/>
          <w:bCs/>
          <w:sz w:val="32"/>
          <w:szCs w:val="32"/>
        </w:rPr>
        <w:t>Abstract</w:t>
      </w:r>
    </w:p>
    <w:p w14:paraId="1161E453">
      <w:pPr>
        <w:spacing w:line="360" w:lineRule="auto"/>
      </w:pPr>
    </w:p>
    <w:p w14:paraId="39E00AA7">
      <w:pPr>
        <w:spacing w:line="360" w:lineRule="auto"/>
        <w:ind w:firstLine="480"/>
        <w:jc w:val="both"/>
      </w:pPr>
      <w:r>
        <w:rPr>
          <w:rFonts w:ascii="Times New Roman" w:hAnsi="Times New Roman" w:eastAsia="Times New Roman" w:cs="Times New Roman"/>
          <w:sz w:val="24"/>
          <w:szCs w:val="24"/>
        </w:rPr>
        <w:t>Dong medicine is an important autonomous region-level intangible cultural heritage (ICH) of Sanjiang Dong Autonomous County in Guangxi, carrying the medical wisdom and cultural memory of the Dong people for thousands of years. However, due to its long-standing reliance on oral transmission and personal instruction, the classic prescriptions, core therapies, inheritor skills, and medicinal plant knowledge of Dong medicine lack standardized digital organization, facing practical challenges such as scattered ICH resources, narrow transmission channels, and limited cultural dissemination. From the perspective of ICH protection, supported by digital media technology, this project designs and implements a lightweight digital exhibition platform for Dong medicine, aiming to build a standardized and sustainable online dissemination and protection carrier for Dong medicine ICH.</w:t>
      </w:r>
    </w:p>
    <w:p w14:paraId="06BE1BE4">
      <w:pPr>
        <w:spacing w:line="360" w:lineRule="auto"/>
        <w:ind w:firstLine="480"/>
        <w:jc w:val="both"/>
      </w:pPr>
      <w:r>
        <w:rPr>
          <w:rFonts w:ascii="Times New Roman" w:hAnsi="Times New Roman" w:eastAsia="Times New Roman" w:cs="Times New Roman"/>
          <w:sz w:val="24"/>
          <w:szCs w:val="24"/>
        </w:rPr>
        <w:t>This project adopts a front-end and back-end separated B/S architecture, using Vue 3 as the front-end framework, Spring Boot 3 as the back-end framework, and MySQL 8.0 as the database, completing the full-process development following standardized software engineering procedures. The platform encompasses four core modules—ICH Medical Knowledge Base, Inheritor Gallery, Medicinal Plant Resource Atlas, and ICH Q&amp;A—along with three extended modules—Cultural Interaction Zone, Learning Resource Download, and Data Visualization—integrating complete data materials of 12 classic prescriptions, 6 core therapies, 8 representative inheritors, and 15 commonly used medicinal plants. In interface design, Dong brocade indigo blue and medicinal plant grass green are used as the main colors, incorporating traditional Dong pattern elements to construct a visual system with both cultural depth and modern aesthetics.</w:t>
      </w:r>
    </w:p>
    <w:p w14:paraId="684B62AA">
      <w:pPr>
        <w:spacing w:line="360" w:lineRule="auto"/>
        <w:ind w:firstLine="480"/>
        <w:jc w:val="both"/>
      </w:pPr>
      <w:r>
        <w:rPr>
          <w:rFonts w:ascii="Times New Roman" w:hAnsi="Times New Roman" w:eastAsia="Times New Roman" w:cs="Times New Roman"/>
          <w:sz w:val="24"/>
          <w:szCs w:val="24"/>
        </w:rPr>
        <w:t>Through multi-dimensional testing and optimization, the platform has achieved structured storage, multi-dimensional retrieval, and multimedia display of Dong medicine ICH data, with page loading speed controlled within 3 seconds, data query response time under 0.5 seconds, and compatibility with mainstream browsers and mobile terminals. This project provides a feasible undergraduate-level solution for the digital protection of niche ICH, while also cultivating comprehensive practical abilities in full-stack Web development and ICH culture visualization.</w:t>
      </w:r>
    </w:p>
    <w:p w14:paraId="61D658E4">
      <w:pPr>
        <w:spacing w:line="360" w:lineRule="auto"/>
      </w:pPr>
    </w:p>
    <w:p w14:paraId="273CAE63">
      <w:pPr>
        <w:spacing w:line="360" w:lineRule="auto"/>
      </w:pPr>
      <w:r>
        <w:rPr>
          <w:rFonts w:ascii="Times New Roman" w:hAnsi="Times New Roman" w:eastAsia="Times New Roman" w:cs="Times New Roman"/>
          <w:b/>
          <w:bCs/>
          <w:sz w:val="24"/>
          <w:szCs w:val="24"/>
        </w:rPr>
        <w:t>Keywords</w:t>
      </w:r>
      <w:r>
        <w:rPr>
          <w:rFonts w:ascii="Times New Roman" w:hAnsi="Times New Roman" w:eastAsia="Times New Roman" w:cs="Times New Roman"/>
          <w:b w:val="0"/>
          <w:bCs w:val="0"/>
          <w:sz w:val="24"/>
          <w:szCs w:val="24"/>
        </w:rPr>
        <w:t>: Dong Medicine; Intangible Cultural Heritage; Digital Protection; Digital Exhibition Platform; Vue+Spring Boot</w:t>
      </w:r>
    </w:p>
    <w:p w14:paraId="18664E77">
      <w:pPr>
        <w:sectPr>
          <w:pgSz w:w="11906" w:h="16838"/>
          <w:pgMar w:top="1440" w:right="1440" w:bottom="1440" w:left="1440" w:header="708" w:footer="708" w:gutter="0"/>
          <w:cols w:space="720" w:num="1"/>
          <w:docGrid w:linePitch="360" w:charSpace="0"/>
        </w:sectPr>
      </w:pPr>
    </w:p>
    <w:sdt>
      <w:sdtPr>
        <w:rPr>
          <w:rFonts w:ascii="宋体" w:hAnsi="宋体" w:eastAsia="宋体" w:cs="宋体"/>
          <w:sz w:val="21"/>
          <w:szCs w:val="24"/>
        </w:rPr>
        <w:id w:val="147475320"/>
        <w15:color w:val="DBDBDB"/>
        <w:docPartObj>
          <w:docPartGallery w:val="Table of Contents"/>
          <w:docPartUnique/>
        </w:docPartObj>
      </w:sdtPr>
      <w:sdtEndPr>
        <w:rPr>
          <w:rFonts w:ascii="黑体" w:hAnsi="黑体" w:eastAsia="黑体" w:cs="黑体"/>
          <w:bCs/>
          <w:sz w:val="24"/>
          <w:szCs w:val="30"/>
        </w:rPr>
      </w:sdtEndPr>
      <w:sdtContent>
        <w:p w14:paraId="298F272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8E4D45F">
          <w:pPr>
            <w:pStyle w:val="12"/>
            <w:tabs>
              <w:tab w:val="right" w:leader="dot" w:pos="9026"/>
            </w:tabs>
          </w:pPr>
          <w:r>
            <w:rPr>
              <w:rFonts w:ascii="黑体" w:hAnsi="黑体" w:eastAsia="黑体" w:cs="黑体"/>
              <w:b/>
              <w:bCs/>
              <w:sz w:val="30"/>
              <w:szCs w:val="30"/>
            </w:rPr>
            <w:fldChar w:fldCharType="begin"/>
          </w:r>
          <w:r>
            <w:rPr>
              <w:rFonts w:ascii="黑体" w:hAnsi="黑体" w:eastAsia="黑体" w:cs="黑体"/>
              <w:b/>
              <w:bCs/>
              <w:sz w:val="30"/>
              <w:szCs w:val="30"/>
            </w:rPr>
            <w:instrText xml:space="preserve">TOC \o "1-3" \h \u </w:instrText>
          </w:r>
          <w:r>
            <w:rPr>
              <w:rFonts w:ascii="黑体" w:hAnsi="黑体" w:eastAsia="黑体" w:cs="黑体"/>
              <w:b/>
              <w:bCs/>
              <w:sz w:val="30"/>
              <w:szCs w:val="30"/>
            </w:rPr>
            <w:fldChar w:fldCharType="separate"/>
          </w:r>
          <w:r>
            <w:rPr>
              <w:rFonts w:ascii="黑体" w:hAnsi="黑体" w:eastAsia="黑体" w:cs="黑体"/>
              <w:bCs/>
              <w:szCs w:val="30"/>
            </w:rPr>
            <w:fldChar w:fldCharType="begin"/>
          </w:r>
          <w:r>
            <w:rPr>
              <w:rFonts w:ascii="黑体" w:hAnsi="黑体" w:eastAsia="黑体" w:cs="黑体"/>
              <w:bCs/>
              <w:szCs w:val="30"/>
            </w:rPr>
            <w:instrText xml:space="preserve"> HYPERLINK \l _Toc14545 </w:instrText>
          </w:r>
          <w:r>
            <w:rPr>
              <w:rFonts w:ascii="黑体" w:hAnsi="黑体" w:eastAsia="黑体" w:cs="黑体"/>
              <w:bCs/>
              <w:szCs w:val="30"/>
            </w:rPr>
            <w:fldChar w:fldCharType="separate"/>
          </w:r>
          <w:r>
            <w:rPr>
              <w:rFonts w:ascii="黑体" w:hAnsi="黑体" w:eastAsia="黑体" w:cs="黑体"/>
              <w:bCs/>
              <w:szCs w:val="30"/>
            </w:rPr>
            <w:t>1 课题简介及选题背景</w:t>
          </w:r>
          <w:r>
            <w:tab/>
          </w:r>
          <w:r>
            <w:fldChar w:fldCharType="begin"/>
          </w:r>
          <w:r>
            <w:instrText xml:space="preserve"> PAGEREF _Toc14545 \h </w:instrText>
          </w:r>
          <w:r>
            <w:fldChar w:fldCharType="separate"/>
          </w:r>
          <w:r>
            <w:t>1</w:t>
          </w:r>
          <w:r>
            <w:fldChar w:fldCharType="end"/>
          </w:r>
          <w:r>
            <w:rPr>
              <w:rFonts w:ascii="黑体" w:hAnsi="黑体" w:eastAsia="黑体" w:cs="黑体"/>
              <w:bCs/>
              <w:szCs w:val="30"/>
            </w:rPr>
            <w:fldChar w:fldCharType="end"/>
          </w:r>
        </w:p>
        <w:p w14:paraId="73FE5593">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_Toc25985 </w:instrText>
          </w:r>
          <w:r>
            <w:rPr>
              <w:rFonts w:ascii="黑体" w:hAnsi="黑体" w:eastAsia="黑体" w:cs="黑体"/>
              <w:bCs/>
              <w:szCs w:val="30"/>
            </w:rPr>
            <w:fldChar w:fldCharType="separate"/>
          </w:r>
          <w:r>
            <w:rPr>
              <w:rFonts w:ascii="宋体" w:hAnsi="宋体" w:eastAsia="宋体" w:cs="宋体"/>
              <w:bCs/>
              <w:szCs w:val="28"/>
            </w:rPr>
            <w:t>1.1 课题简介</w:t>
          </w:r>
          <w:r>
            <w:tab/>
          </w:r>
          <w:r>
            <w:fldChar w:fldCharType="begin"/>
          </w:r>
          <w:r>
            <w:instrText xml:space="preserve"> PAGEREF _Toc25985 \h </w:instrText>
          </w:r>
          <w:r>
            <w:fldChar w:fldCharType="separate"/>
          </w:r>
          <w:r>
            <w:t>1</w:t>
          </w:r>
          <w:r>
            <w:fldChar w:fldCharType="end"/>
          </w:r>
          <w:r>
            <w:rPr>
              <w:rFonts w:ascii="黑体" w:hAnsi="黑体" w:eastAsia="黑体" w:cs="黑体"/>
              <w:bCs/>
              <w:szCs w:val="30"/>
            </w:rPr>
            <w:fldChar w:fldCharType="end"/>
          </w:r>
        </w:p>
        <w:p w14:paraId="362E4831">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_Toc13004 </w:instrText>
          </w:r>
          <w:r>
            <w:rPr>
              <w:rFonts w:ascii="黑体" w:hAnsi="黑体" w:eastAsia="黑体" w:cs="黑体"/>
              <w:bCs/>
              <w:szCs w:val="30"/>
            </w:rPr>
            <w:fldChar w:fldCharType="separate"/>
          </w:r>
          <w:r>
            <w:rPr>
              <w:rFonts w:ascii="宋体" w:hAnsi="宋体" w:eastAsia="宋体" w:cs="宋体"/>
              <w:bCs/>
              <w:szCs w:val="28"/>
            </w:rPr>
            <w:t>1.2 选题背景</w:t>
          </w:r>
          <w:r>
            <w:tab/>
          </w:r>
          <w:r>
            <w:fldChar w:fldCharType="begin"/>
          </w:r>
          <w:r>
            <w:instrText xml:space="preserve"> PAGEREF _Toc13004 \h </w:instrText>
          </w:r>
          <w:r>
            <w:fldChar w:fldCharType="separate"/>
          </w:r>
          <w:r>
            <w:t>1</w:t>
          </w:r>
          <w:r>
            <w:fldChar w:fldCharType="end"/>
          </w:r>
          <w:r>
            <w:rPr>
              <w:rFonts w:ascii="黑体" w:hAnsi="黑体" w:eastAsia="黑体" w:cs="黑体"/>
              <w:bCs/>
              <w:szCs w:val="30"/>
            </w:rPr>
            <w:fldChar w:fldCharType="end"/>
          </w:r>
        </w:p>
        <w:p w14:paraId="61DFA74A">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_Toc27275 </w:instrText>
          </w:r>
          <w:r>
            <w:rPr>
              <w:rFonts w:ascii="黑体" w:hAnsi="黑体" w:eastAsia="黑体" w:cs="黑体"/>
              <w:bCs/>
              <w:szCs w:val="30"/>
            </w:rPr>
            <w:fldChar w:fldCharType="separate"/>
          </w:r>
          <w:r>
            <w:rPr>
              <w:rFonts w:ascii="黑体" w:hAnsi="黑体" w:eastAsia="黑体" w:cs="黑体"/>
              <w:bCs/>
              <w:szCs w:val="30"/>
            </w:rPr>
            <w:t>2 设计调研</w:t>
          </w:r>
          <w:r>
            <w:tab/>
          </w:r>
          <w:r>
            <w:fldChar w:fldCharType="begin"/>
          </w:r>
          <w:r>
            <w:instrText xml:space="preserve"> PAGEREF _Toc27275 \h </w:instrText>
          </w:r>
          <w:r>
            <w:fldChar w:fldCharType="separate"/>
          </w:r>
          <w:r>
            <w:t>3</w:t>
          </w:r>
          <w:r>
            <w:fldChar w:fldCharType="end"/>
          </w:r>
          <w:r>
            <w:rPr>
              <w:rFonts w:ascii="黑体" w:hAnsi="黑体" w:eastAsia="黑体" w:cs="黑体"/>
              <w:bCs/>
              <w:szCs w:val="30"/>
            </w:rPr>
            <w:fldChar w:fldCharType="end"/>
          </w:r>
        </w:p>
        <w:p w14:paraId="025DD48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_Toc22366 </w:instrText>
          </w:r>
          <w:r>
            <w:rPr>
              <w:rFonts w:ascii="黑体" w:hAnsi="黑体" w:eastAsia="黑体" w:cs="黑体"/>
              <w:bCs/>
              <w:szCs w:val="30"/>
            </w:rPr>
            <w:fldChar w:fldCharType="separate"/>
          </w:r>
          <w:r>
            <w:rPr>
              <w:rFonts w:ascii="宋体" w:hAnsi="宋体" w:eastAsia="宋体" w:cs="宋体"/>
              <w:bCs/>
              <w:szCs w:val="28"/>
            </w:rPr>
            <w:t>2.1 文献调研</w:t>
          </w:r>
          <w:r>
            <w:tab/>
          </w:r>
          <w:r>
            <w:fldChar w:fldCharType="begin"/>
          </w:r>
          <w:r>
            <w:instrText xml:space="preserve"> PAGEREF _Toc22366 \h </w:instrText>
          </w:r>
          <w:r>
            <w:fldChar w:fldCharType="separate"/>
          </w:r>
          <w:r>
            <w:t>3</w:t>
          </w:r>
          <w:r>
            <w:fldChar w:fldCharType="end"/>
          </w:r>
          <w:r>
            <w:rPr>
              <w:rFonts w:ascii="黑体" w:hAnsi="黑体" w:eastAsia="黑体" w:cs="黑体"/>
              <w:bCs/>
              <w:szCs w:val="30"/>
            </w:rPr>
            <w:fldChar w:fldCharType="end"/>
          </w:r>
        </w:p>
        <w:p w14:paraId="7EC9FC6E">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_Toc15331 </w:instrText>
          </w:r>
          <w:r>
            <w:rPr>
              <w:rFonts w:ascii="黑体" w:hAnsi="黑体" w:eastAsia="黑体" w:cs="黑体"/>
              <w:bCs/>
              <w:szCs w:val="30"/>
            </w:rPr>
            <w:fldChar w:fldCharType="separate"/>
          </w:r>
          <w:r>
            <w:rPr>
              <w:rFonts w:ascii="宋体" w:hAnsi="宋体" w:eastAsia="宋体" w:cs="宋体"/>
              <w:bCs/>
              <w:szCs w:val="28"/>
            </w:rPr>
            <w:t>2.2 数据调研</w:t>
          </w:r>
          <w:r>
            <w:tab/>
          </w:r>
          <w:r>
            <w:fldChar w:fldCharType="begin"/>
          </w:r>
          <w:r>
            <w:instrText xml:space="preserve"> PAGEREF _Toc15331 \h </w:instrText>
          </w:r>
          <w:r>
            <w:fldChar w:fldCharType="separate"/>
          </w:r>
          <w:r>
            <w:t>3</w:t>
          </w:r>
          <w:r>
            <w:fldChar w:fldCharType="end"/>
          </w:r>
          <w:r>
            <w:rPr>
              <w:rFonts w:ascii="黑体" w:hAnsi="黑体" w:eastAsia="黑体" w:cs="黑体"/>
              <w:bCs/>
              <w:szCs w:val="30"/>
            </w:rPr>
            <w:fldChar w:fldCharType="end"/>
          </w:r>
        </w:p>
        <w:p w14:paraId="68935AF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_Toc6085 </w:instrText>
          </w:r>
          <w:r>
            <w:rPr>
              <w:rFonts w:ascii="黑体" w:hAnsi="黑体" w:eastAsia="黑体" w:cs="黑体"/>
              <w:bCs/>
              <w:szCs w:val="30"/>
            </w:rPr>
            <w:fldChar w:fldCharType="separate"/>
          </w:r>
          <w:r>
            <w:rPr>
              <w:rFonts w:ascii="宋体" w:hAnsi="宋体" w:eastAsia="宋体" w:cs="宋体"/>
              <w:bCs/>
              <w:szCs w:val="28"/>
            </w:rPr>
            <w:t>2.3 竞品调研</w:t>
          </w:r>
          <w:r>
            <w:tab/>
          </w:r>
          <w:r>
            <w:fldChar w:fldCharType="begin"/>
          </w:r>
          <w:r>
            <w:instrText xml:space="preserve"> PAGEREF _Toc6085 \h </w:instrText>
          </w:r>
          <w:r>
            <w:fldChar w:fldCharType="separate"/>
          </w:r>
          <w:r>
            <w:t>3</w:t>
          </w:r>
          <w:r>
            <w:fldChar w:fldCharType="end"/>
          </w:r>
          <w:r>
            <w:rPr>
              <w:rFonts w:ascii="黑体" w:hAnsi="黑体" w:eastAsia="黑体" w:cs="黑体"/>
              <w:bCs/>
              <w:szCs w:val="30"/>
            </w:rPr>
            <w:fldChar w:fldCharType="end"/>
          </w:r>
        </w:p>
        <w:p w14:paraId="230FC203">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_Toc2174 </w:instrText>
          </w:r>
          <w:r>
            <w:rPr>
              <w:rFonts w:ascii="黑体" w:hAnsi="黑体" w:eastAsia="黑体" w:cs="黑体"/>
              <w:bCs/>
              <w:szCs w:val="30"/>
            </w:rPr>
            <w:fldChar w:fldCharType="separate"/>
          </w:r>
          <w:r>
            <w:rPr>
              <w:rFonts w:ascii="宋体" w:hAnsi="宋体" w:eastAsia="宋体" w:cs="宋体"/>
              <w:bCs/>
              <w:szCs w:val="28"/>
            </w:rPr>
            <w:t>2.4 用户调研</w:t>
          </w:r>
          <w:r>
            <w:tab/>
          </w:r>
          <w:r>
            <w:fldChar w:fldCharType="begin"/>
          </w:r>
          <w:r>
            <w:instrText xml:space="preserve"> PAGEREF _Toc2174 \h </w:instrText>
          </w:r>
          <w:r>
            <w:fldChar w:fldCharType="separate"/>
          </w:r>
          <w:r>
            <w:t>4</w:t>
          </w:r>
          <w:r>
            <w:fldChar w:fldCharType="end"/>
          </w:r>
          <w:r>
            <w:rPr>
              <w:rFonts w:ascii="黑体" w:hAnsi="黑体" w:eastAsia="黑体" w:cs="黑体"/>
              <w:bCs/>
              <w:szCs w:val="30"/>
            </w:rPr>
            <w:fldChar w:fldCharType="end"/>
          </w:r>
        </w:p>
        <w:p w14:paraId="367986B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_Toc1829 </w:instrText>
          </w:r>
          <w:r>
            <w:rPr>
              <w:rFonts w:ascii="黑体" w:hAnsi="黑体" w:eastAsia="黑体" w:cs="黑体"/>
              <w:bCs/>
              <w:szCs w:val="30"/>
            </w:rPr>
            <w:fldChar w:fldCharType="separate"/>
          </w:r>
          <w:r>
            <w:rPr>
              <w:rFonts w:ascii="宋体" w:hAnsi="宋体" w:eastAsia="宋体" w:cs="宋体"/>
              <w:bCs/>
              <w:szCs w:val="28"/>
            </w:rPr>
            <w:t>2.5 设计需求综合分析</w:t>
          </w:r>
          <w:r>
            <w:tab/>
          </w:r>
          <w:r>
            <w:fldChar w:fldCharType="begin"/>
          </w:r>
          <w:r>
            <w:instrText xml:space="preserve"> PAGEREF _Toc1829 \h </w:instrText>
          </w:r>
          <w:r>
            <w:fldChar w:fldCharType="separate"/>
          </w:r>
          <w:r>
            <w:t>4</w:t>
          </w:r>
          <w:r>
            <w:fldChar w:fldCharType="end"/>
          </w:r>
          <w:r>
            <w:rPr>
              <w:rFonts w:ascii="黑体" w:hAnsi="黑体" w:eastAsia="黑体" w:cs="黑体"/>
              <w:bCs/>
              <w:szCs w:val="30"/>
            </w:rPr>
            <w:fldChar w:fldCharType="end"/>
          </w:r>
        </w:p>
        <w:p w14:paraId="76BEDD51">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_Toc16101 </w:instrText>
          </w:r>
          <w:r>
            <w:rPr>
              <w:rFonts w:ascii="黑体" w:hAnsi="黑体" w:eastAsia="黑体" w:cs="黑体"/>
              <w:bCs/>
              <w:szCs w:val="30"/>
            </w:rPr>
            <w:fldChar w:fldCharType="separate"/>
          </w:r>
          <w:r>
            <w:rPr>
              <w:rFonts w:ascii="黑体" w:hAnsi="黑体" w:eastAsia="黑体" w:cs="黑体"/>
              <w:bCs/>
              <w:szCs w:val="30"/>
            </w:rPr>
            <w:t>3 设计定位</w:t>
          </w:r>
          <w:r>
            <w:tab/>
          </w:r>
          <w:r>
            <w:fldChar w:fldCharType="begin"/>
          </w:r>
          <w:r>
            <w:instrText xml:space="preserve"> PAGEREF _Toc16101 \h </w:instrText>
          </w:r>
          <w:r>
            <w:fldChar w:fldCharType="separate"/>
          </w:r>
          <w:r>
            <w:t>5</w:t>
          </w:r>
          <w:r>
            <w:fldChar w:fldCharType="end"/>
          </w:r>
          <w:r>
            <w:rPr>
              <w:rFonts w:ascii="黑体" w:hAnsi="黑体" w:eastAsia="黑体" w:cs="黑体"/>
              <w:bCs/>
              <w:szCs w:val="30"/>
            </w:rPr>
            <w:fldChar w:fldCharType="end"/>
          </w:r>
        </w:p>
        <w:p w14:paraId="36FD487F">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_Toc18935 </w:instrText>
          </w:r>
          <w:r>
            <w:rPr>
              <w:rFonts w:ascii="黑体" w:hAnsi="黑体" w:eastAsia="黑体" w:cs="黑体"/>
              <w:bCs/>
              <w:szCs w:val="30"/>
            </w:rPr>
            <w:fldChar w:fldCharType="separate"/>
          </w:r>
          <w:r>
            <w:rPr>
              <w:rFonts w:ascii="宋体" w:hAnsi="宋体" w:eastAsia="宋体" w:cs="宋体"/>
              <w:bCs/>
              <w:szCs w:val="28"/>
            </w:rPr>
            <w:t>3.1 目标定位</w:t>
          </w:r>
          <w:r>
            <w:tab/>
          </w:r>
          <w:r>
            <w:fldChar w:fldCharType="begin"/>
          </w:r>
          <w:r>
            <w:instrText xml:space="preserve"> PAGEREF _Toc18935 \h </w:instrText>
          </w:r>
          <w:r>
            <w:fldChar w:fldCharType="separate"/>
          </w:r>
          <w:r>
            <w:t>5</w:t>
          </w:r>
          <w:r>
            <w:fldChar w:fldCharType="end"/>
          </w:r>
          <w:r>
            <w:rPr>
              <w:rFonts w:ascii="黑体" w:hAnsi="黑体" w:eastAsia="黑体" w:cs="黑体"/>
              <w:bCs/>
              <w:szCs w:val="30"/>
            </w:rPr>
            <w:fldChar w:fldCharType="end"/>
          </w:r>
        </w:p>
        <w:p w14:paraId="5A082FBD">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_Toc27004 </w:instrText>
          </w:r>
          <w:r>
            <w:rPr>
              <w:rFonts w:ascii="黑体" w:hAnsi="黑体" w:eastAsia="黑体" w:cs="黑体"/>
              <w:bCs/>
              <w:szCs w:val="30"/>
            </w:rPr>
            <w:fldChar w:fldCharType="separate"/>
          </w:r>
          <w:r>
            <w:rPr>
              <w:rFonts w:ascii="宋体" w:hAnsi="宋体" w:eastAsia="宋体" w:cs="宋体"/>
              <w:bCs/>
              <w:szCs w:val="28"/>
            </w:rPr>
            <w:t>3.2 功能定位</w:t>
          </w:r>
          <w:r>
            <w:tab/>
          </w:r>
          <w:r>
            <w:fldChar w:fldCharType="begin"/>
          </w:r>
          <w:r>
            <w:instrText xml:space="preserve"> PAGEREF _Toc27004 \h </w:instrText>
          </w:r>
          <w:r>
            <w:fldChar w:fldCharType="separate"/>
          </w:r>
          <w:r>
            <w:t>5</w:t>
          </w:r>
          <w:r>
            <w:fldChar w:fldCharType="end"/>
          </w:r>
          <w:r>
            <w:rPr>
              <w:rFonts w:ascii="黑体" w:hAnsi="黑体" w:eastAsia="黑体" w:cs="黑体"/>
              <w:bCs/>
              <w:szCs w:val="30"/>
            </w:rPr>
            <w:fldChar w:fldCharType="end"/>
          </w:r>
        </w:p>
        <w:p w14:paraId="76817750">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_Toc433 </w:instrText>
          </w:r>
          <w:r>
            <w:rPr>
              <w:rFonts w:ascii="黑体" w:hAnsi="黑体" w:eastAsia="黑体" w:cs="黑体"/>
              <w:bCs/>
              <w:szCs w:val="30"/>
            </w:rPr>
            <w:fldChar w:fldCharType="separate"/>
          </w:r>
          <w:r>
            <w:rPr>
              <w:rFonts w:ascii="宋体" w:hAnsi="宋体" w:eastAsia="宋体" w:cs="宋体"/>
              <w:bCs/>
              <w:szCs w:val="28"/>
            </w:rPr>
            <w:t>3.3 视觉定位</w:t>
          </w:r>
          <w:r>
            <w:tab/>
          </w:r>
          <w:r>
            <w:fldChar w:fldCharType="begin"/>
          </w:r>
          <w:r>
            <w:instrText xml:space="preserve"> PAGEREF _Toc433 \h </w:instrText>
          </w:r>
          <w:r>
            <w:fldChar w:fldCharType="separate"/>
          </w:r>
          <w:r>
            <w:t>5</w:t>
          </w:r>
          <w:r>
            <w:fldChar w:fldCharType="end"/>
          </w:r>
          <w:r>
            <w:rPr>
              <w:rFonts w:ascii="黑体" w:hAnsi="黑体" w:eastAsia="黑体" w:cs="黑体"/>
              <w:bCs/>
              <w:szCs w:val="30"/>
            </w:rPr>
            <w:fldChar w:fldCharType="end"/>
          </w:r>
        </w:p>
        <w:p w14:paraId="4C37AC1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_Toc27127 </w:instrText>
          </w:r>
          <w:r>
            <w:rPr>
              <w:rFonts w:ascii="黑体" w:hAnsi="黑体" w:eastAsia="黑体" w:cs="黑体"/>
              <w:bCs/>
              <w:szCs w:val="30"/>
            </w:rPr>
            <w:fldChar w:fldCharType="separate"/>
          </w:r>
          <w:r>
            <w:rPr>
              <w:rFonts w:ascii="宋体" w:hAnsi="宋体" w:eastAsia="宋体" w:cs="宋体"/>
              <w:bCs/>
              <w:szCs w:val="28"/>
            </w:rPr>
            <w:t>3.4 技术定位</w:t>
          </w:r>
          <w:r>
            <w:tab/>
          </w:r>
          <w:r>
            <w:fldChar w:fldCharType="begin"/>
          </w:r>
          <w:r>
            <w:instrText xml:space="preserve"> PAGEREF _Toc27127 \h </w:instrText>
          </w:r>
          <w:r>
            <w:fldChar w:fldCharType="separate"/>
          </w:r>
          <w:r>
            <w:t>5</w:t>
          </w:r>
          <w:r>
            <w:fldChar w:fldCharType="end"/>
          </w:r>
          <w:r>
            <w:rPr>
              <w:rFonts w:ascii="黑体" w:hAnsi="黑体" w:eastAsia="黑体" w:cs="黑体"/>
              <w:bCs/>
              <w:szCs w:val="30"/>
            </w:rPr>
            <w:fldChar w:fldCharType="end"/>
          </w:r>
        </w:p>
        <w:p w14:paraId="5EE32FA7">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_Toc7907 </w:instrText>
          </w:r>
          <w:r>
            <w:rPr>
              <w:rFonts w:ascii="黑体" w:hAnsi="黑体" w:eastAsia="黑体" w:cs="黑体"/>
              <w:bCs/>
              <w:szCs w:val="30"/>
            </w:rPr>
            <w:fldChar w:fldCharType="separate"/>
          </w:r>
          <w:r>
            <w:rPr>
              <w:rFonts w:ascii="黑体" w:hAnsi="黑体" w:eastAsia="黑体" w:cs="黑体"/>
              <w:bCs/>
              <w:szCs w:val="30"/>
            </w:rPr>
            <w:t>4 设计过程</w:t>
          </w:r>
          <w:r>
            <w:tab/>
          </w:r>
          <w:r>
            <w:fldChar w:fldCharType="begin"/>
          </w:r>
          <w:r>
            <w:instrText xml:space="preserve"> PAGEREF _Toc7907 \h </w:instrText>
          </w:r>
          <w:r>
            <w:fldChar w:fldCharType="separate"/>
          </w:r>
          <w:r>
            <w:t>7</w:t>
          </w:r>
          <w:r>
            <w:fldChar w:fldCharType="end"/>
          </w:r>
          <w:r>
            <w:rPr>
              <w:rFonts w:ascii="黑体" w:hAnsi="黑体" w:eastAsia="黑体" w:cs="黑体"/>
              <w:bCs/>
              <w:szCs w:val="30"/>
            </w:rPr>
            <w:fldChar w:fldCharType="end"/>
          </w:r>
        </w:p>
        <w:p w14:paraId="48EDD89A">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_Toc30096 </w:instrText>
          </w:r>
          <w:r>
            <w:rPr>
              <w:rFonts w:ascii="黑体" w:hAnsi="黑体" w:eastAsia="黑体" w:cs="黑体"/>
              <w:bCs/>
              <w:szCs w:val="30"/>
            </w:rPr>
            <w:fldChar w:fldCharType="separate"/>
          </w:r>
          <w:r>
            <w:rPr>
              <w:rFonts w:ascii="宋体" w:hAnsi="宋体" w:eastAsia="宋体" w:cs="宋体"/>
              <w:bCs/>
              <w:szCs w:val="28"/>
            </w:rPr>
            <w:t>4.1 系统架构设计</w:t>
          </w:r>
          <w:r>
            <w:tab/>
          </w:r>
          <w:r>
            <w:fldChar w:fldCharType="begin"/>
          </w:r>
          <w:r>
            <w:instrText xml:space="preserve"> PAGEREF _Toc30096 \h </w:instrText>
          </w:r>
          <w:r>
            <w:fldChar w:fldCharType="separate"/>
          </w:r>
          <w:r>
            <w:t>7</w:t>
          </w:r>
          <w:r>
            <w:fldChar w:fldCharType="end"/>
          </w:r>
          <w:r>
            <w:rPr>
              <w:rFonts w:ascii="黑体" w:hAnsi="黑体" w:eastAsia="黑体" w:cs="黑体"/>
              <w:bCs/>
              <w:szCs w:val="30"/>
            </w:rPr>
            <w:fldChar w:fldCharType="end"/>
          </w:r>
        </w:p>
        <w:p w14:paraId="296C7995">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_Toc5417 </w:instrText>
          </w:r>
          <w:r>
            <w:rPr>
              <w:rFonts w:ascii="黑体" w:hAnsi="黑体" w:eastAsia="黑体" w:cs="黑体"/>
              <w:bCs/>
              <w:szCs w:val="30"/>
            </w:rPr>
            <w:fldChar w:fldCharType="separate"/>
          </w:r>
          <w:r>
            <w:rPr>
              <w:rFonts w:ascii="宋体" w:hAnsi="宋体" w:eastAsia="宋体" w:cs="宋体"/>
              <w:bCs/>
              <w:szCs w:val="28"/>
            </w:rPr>
            <w:t>4.2 功能模块设计</w:t>
          </w:r>
          <w:r>
            <w:tab/>
          </w:r>
          <w:r>
            <w:fldChar w:fldCharType="begin"/>
          </w:r>
          <w:r>
            <w:instrText xml:space="preserve"> PAGEREF _Toc5417 \h </w:instrText>
          </w:r>
          <w:r>
            <w:fldChar w:fldCharType="separate"/>
          </w:r>
          <w:r>
            <w:t>7</w:t>
          </w:r>
          <w:r>
            <w:fldChar w:fldCharType="end"/>
          </w:r>
          <w:r>
            <w:rPr>
              <w:rFonts w:ascii="黑体" w:hAnsi="黑体" w:eastAsia="黑体" w:cs="黑体"/>
              <w:bCs/>
              <w:szCs w:val="30"/>
            </w:rPr>
            <w:fldChar w:fldCharType="end"/>
          </w:r>
        </w:p>
        <w:p w14:paraId="0D385112">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_Toc32689 </w:instrText>
          </w:r>
          <w:r>
            <w:rPr>
              <w:rFonts w:ascii="黑体" w:hAnsi="黑体" w:eastAsia="黑体" w:cs="黑体"/>
              <w:bCs/>
              <w:szCs w:val="30"/>
            </w:rPr>
            <w:fldChar w:fldCharType="separate"/>
          </w:r>
          <w:r>
            <w:rPr>
              <w:rFonts w:ascii="宋体" w:hAnsi="宋体" w:eastAsia="宋体" w:cs="宋体"/>
              <w:bCs/>
              <w:szCs w:val="24"/>
            </w:rPr>
            <w:t>4.2.1 非遗医药知识库模块</w:t>
          </w:r>
          <w:r>
            <w:tab/>
          </w:r>
          <w:r>
            <w:fldChar w:fldCharType="begin"/>
          </w:r>
          <w:r>
            <w:instrText xml:space="preserve"> PAGEREF _Toc32689 \h </w:instrText>
          </w:r>
          <w:r>
            <w:fldChar w:fldCharType="separate"/>
          </w:r>
          <w:r>
            <w:t>7</w:t>
          </w:r>
          <w:r>
            <w:fldChar w:fldCharType="end"/>
          </w:r>
          <w:r>
            <w:rPr>
              <w:rFonts w:ascii="黑体" w:hAnsi="黑体" w:eastAsia="黑体" w:cs="黑体"/>
              <w:bCs/>
              <w:szCs w:val="30"/>
            </w:rPr>
            <w:fldChar w:fldCharType="end"/>
          </w:r>
        </w:p>
        <w:p w14:paraId="164876BD">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_Toc1938 </w:instrText>
          </w:r>
          <w:r>
            <w:rPr>
              <w:rFonts w:ascii="黑体" w:hAnsi="黑体" w:eastAsia="黑体" w:cs="黑体"/>
              <w:bCs/>
              <w:szCs w:val="30"/>
            </w:rPr>
            <w:fldChar w:fldCharType="separate"/>
          </w:r>
          <w:r>
            <w:rPr>
              <w:rFonts w:ascii="宋体" w:hAnsi="宋体" w:eastAsia="宋体" w:cs="宋体"/>
              <w:bCs/>
              <w:szCs w:val="24"/>
            </w:rPr>
            <w:t>4.2.2 传承人风采模块</w:t>
          </w:r>
          <w:r>
            <w:tab/>
          </w:r>
          <w:r>
            <w:fldChar w:fldCharType="begin"/>
          </w:r>
          <w:r>
            <w:instrText xml:space="preserve"> PAGEREF _Toc1938 \h </w:instrText>
          </w:r>
          <w:r>
            <w:fldChar w:fldCharType="separate"/>
          </w:r>
          <w:r>
            <w:t>8</w:t>
          </w:r>
          <w:r>
            <w:fldChar w:fldCharType="end"/>
          </w:r>
          <w:r>
            <w:rPr>
              <w:rFonts w:ascii="黑体" w:hAnsi="黑体" w:eastAsia="黑体" w:cs="黑体"/>
              <w:bCs/>
              <w:szCs w:val="30"/>
            </w:rPr>
            <w:fldChar w:fldCharType="end"/>
          </w:r>
        </w:p>
        <w:p w14:paraId="3873A051">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_Toc28467 </w:instrText>
          </w:r>
          <w:r>
            <w:rPr>
              <w:rFonts w:ascii="黑体" w:hAnsi="黑体" w:eastAsia="黑体" w:cs="黑体"/>
              <w:bCs/>
              <w:szCs w:val="30"/>
            </w:rPr>
            <w:fldChar w:fldCharType="separate"/>
          </w:r>
          <w:r>
            <w:rPr>
              <w:rFonts w:ascii="宋体" w:hAnsi="宋体" w:eastAsia="宋体" w:cs="宋体"/>
              <w:bCs/>
              <w:szCs w:val="24"/>
            </w:rPr>
            <w:t>4.2.3 药用资源图鉴模块</w:t>
          </w:r>
          <w:r>
            <w:tab/>
          </w:r>
          <w:r>
            <w:fldChar w:fldCharType="begin"/>
          </w:r>
          <w:r>
            <w:instrText xml:space="preserve"> PAGEREF _Toc28467 \h </w:instrText>
          </w:r>
          <w:r>
            <w:fldChar w:fldCharType="separate"/>
          </w:r>
          <w:r>
            <w:t>8</w:t>
          </w:r>
          <w:r>
            <w:fldChar w:fldCharType="end"/>
          </w:r>
          <w:r>
            <w:rPr>
              <w:rFonts w:ascii="黑体" w:hAnsi="黑体" w:eastAsia="黑体" w:cs="黑体"/>
              <w:bCs/>
              <w:szCs w:val="30"/>
            </w:rPr>
            <w:fldChar w:fldCharType="end"/>
          </w:r>
        </w:p>
        <w:p w14:paraId="4283D2B1">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_Toc31094 </w:instrText>
          </w:r>
          <w:r>
            <w:rPr>
              <w:rFonts w:ascii="黑体" w:hAnsi="黑体" w:eastAsia="黑体" w:cs="黑体"/>
              <w:bCs/>
              <w:szCs w:val="30"/>
            </w:rPr>
            <w:fldChar w:fldCharType="separate"/>
          </w:r>
          <w:r>
            <w:rPr>
              <w:rFonts w:ascii="宋体" w:hAnsi="宋体" w:eastAsia="宋体" w:cs="宋体"/>
              <w:bCs/>
              <w:szCs w:val="24"/>
            </w:rPr>
            <w:t>4.2.4 非遗医药问题解答模块</w:t>
          </w:r>
          <w:r>
            <w:tab/>
          </w:r>
          <w:r>
            <w:fldChar w:fldCharType="begin"/>
          </w:r>
          <w:r>
            <w:instrText xml:space="preserve"> PAGEREF _Toc31094 \h </w:instrText>
          </w:r>
          <w:r>
            <w:fldChar w:fldCharType="separate"/>
          </w:r>
          <w:r>
            <w:t>9</w:t>
          </w:r>
          <w:r>
            <w:fldChar w:fldCharType="end"/>
          </w:r>
          <w:r>
            <w:rPr>
              <w:rFonts w:ascii="黑体" w:hAnsi="黑体" w:eastAsia="黑体" w:cs="黑体"/>
              <w:bCs/>
              <w:szCs w:val="30"/>
            </w:rPr>
            <w:fldChar w:fldCharType="end"/>
          </w:r>
        </w:p>
        <w:p w14:paraId="68459A24">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_Toc6759 </w:instrText>
          </w:r>
          <w:r>
            <w:rPr>
              <w:rFonts w:ascii="黑体" w:hAnsi="黑体" w:eastAsia="黑体" w:cs="黑体"/>
              <w:bCs/>
              <w:szCs w:val="30"/>
            </w:rPr>
            <w:fldChar w:fldCharType="separate"/>
          </w:r>
          <w:r>
            <w:rPr>
              <w:rFonts w:ascii="宋体" w:hAnsi="宋体" w:eastAsia="宋体" w:cs="宋体"/>
              <w:bCs/>
              <w:szCs w:val="24"/>
            </w:rPr>
            <w:t>4.2.5 文化互动专区模块</w:t>
          </w:r>
          <w:r>
            <w:tab/>
          </w:r>
          <w:r>
            <w:fldChar w:fldCharType="begin"/>
          </w:r>
          <w:r>
            <w:instrText xml:space="preserve"> PAGEREF _Toc6759 \h </w:instrText>
          </w:r>
          <w:r>
            <w:fldChar w:fldCharType="separate"/>
          </w:r>
          <w:r>
            <w:t>9</w:t>
          </w:r>
          <w:r>
            <w:fldChar w:fldCharType="end"/>
          </w:r>
          <w:r>
            <w:rPr>
              <w:rFonts w:ascii="黑体" w:hAnsi="黑体" w:eastAsia="黑体" w:cs="黑体"/>
              <w:bCs/>
              <w:szCs w:val="30"/>
            </w:rPr>
            <w:fldChar w:fldCharType="end"/>
          </w:r>
        </w:p>
        <w:p w14:paraId="69269E7C">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_Toc11990 </w:instrText>
          </w:r>
          <w:r>
            <w:rPr>
              <w:rFonts w:ascii="黑体" w:hAnsi="黑体" w:eastAsia="黑体" w:cs="黑体"/>
              <w:bCs/>
              <w:szCs w:val="30"/>
            </w:rPr>
            <w:fldChar w:fldCharType="separate"/>
          </w:r>
          <w:r>
            <w:rPr>
              <w:rFonts w:ascii="宋体" w:hAnsi="宋体" w:eastAsia="宋体" w:cs="宋体"/>
              <w:bCs/>
              <w:szCs w:val="24"/>
            </w:rPr>
            <w:t>4.2.6 学习资源下载模块</w:t>
          </w:r>
          <w:r>
            <w:tab/>
          </w:r>
          <w:r>
            <w:fldChar w:fldCharType="begin"/>
          </w:r>
          <w:r>
            <w:instrText xml:space="preserve"> PAGEREF _Toc11990 \h </w:instrText>
          </w:r>
          <w:r>
            <w:fldChar w:fldCharType="separate"/>
          </w:r>
          <w:r>
            <w:t>9</w:t>
          </w:r>
          <w:r>
            <w:fldChar w:fldCharType="end"/>
          </w:r>
          <w:r>
            <w:rPr>
              <w:rFonts w:ascii="黑体" w:hAnsi="黑体" w:eastAsia="黑体" w:cs="黑体"/>
              <w:bCs/>
              <w:szCs w:val="30"/>
            </w:rPr>
            <w:fldChar w:fldCharType="end"/>
          </w:r>
        </w:p>
        <w:p w14:paraId="70223FEA">
          <w:pPr>
            <w:pStyle w:val="8"/>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_Toc10362 </w:instrText>
          </w:r>
          <w:r>
            <w:rPr>
              <w:rFonts w:ascii="黑体" w:hAnsi="黑体" w:eastAsia="黑体" w:cs="黑体"/>
              <w:bCs/>
              <w:szCs w:val="30"/>
            </w:rPr>
            <w:fldChar w:fldCharType="separate"/>
          </w:r>
          <w:r>
            <w:rPr>
              <w:rFonts w:ascii="宋体" w:hAnsi="宋体" w:eastAsia="宋体" w:cs="宋体"/>
              <w:bCs/>
              <w:szCs w:val="24"/>
            </w:rPr>
            <w:t>4.2.7 数据可视化模块</w:t>
          </w:r>
          <w:r>
            <w:tab/>
          </w:r>
          <w:r>
            <w:fldChar w:fldCharType="begin"/>
          </w:r>
          <w:r>
            <w:instrText xml:space="preserve"> PAGEREF _Toc10362 \h </w:instrText>
          </w:r>
          <w:r>
            <w:fldChar w:fldCharType="separate"/>
          </w:r>
          <w:r>
            <w:t>9</w:t>
          </w:r>
          <w:r>
            <w:fldChar w:fldCharType="end"/>
          </w:r>
          <w:r>
            <w:rPr>
              <w:rFonts w:ascii="黑体" w:hAnsi="黑体" w:eastAsia="黑体" w:cs="黑体"/>
              <w:bCs/>
              <w:szCs w:val="30"/>
            </w:rPr>
            <w:fldChar w:fldCharType="end"/>
          </w:r>
        </w:p>
        <w:p w14:paraId="2BBE6536">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_Toc168 </w:instrText>
          </w:r>
          <w:r>
            <w:rPr>
              <w:rFonts w:ascii="黑体" w:hAnsi="黑体" w:eastAsia="黑体" w:cs="黑体"/>
              <w:bCs/>
              <w:szCs w:val="30"/>
            </w:rPr>
            <w:fldChar w:fldCharType="separate"/>
          </w:r>
          <w:r>
            <w:rPr>
              <w:rFonts w:ascii="宋体" w:hAnsi="宋体" w:eastAsia="宋体" w:cs="宋体"/>
              <w:bCs/>
              <w:szCs w:val="28"/>
            </w:rPr>
            <w:t>4.3 前端开发</w:t>
          </w:r>
          <w:r>
            <w:tab/>
          </w:r>
          <w:r>
            <w:fldChar w:fldCharType="begin"/>
          </w:r>
          <w:r>
            <w:instrText xml:space="preserve"> PAGEREF _Toc168 \h </w:instrText>
          </w:r>
          <w:r>
            <w:fldChar w:fldCharType="separate"/>
          </w:r>
          <w:r>
            <w:t>10</w:t>
          </w:r>
          <w:r>
            <w:fldChar w:fldCharType="end"/>
          </w:r>
          <w:r>
            <w:rPr>
              <w:rFonts w:ascii="黑体" w:hAnsi="黑体" w:eastAsia="黑体" w:cs="黑体"/>
              <w:bCs/>
              <w:szCs w:val="30"/>
            </w:rPr>
            <w:fldChar w:fldCharType="end"/>
          </w:r>
        </w:p>
        <w:p w14:paraId="175403D7">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_Toc11004 </w:instrText>
          </w:r>
          <w:r>
            <w:rPr>
              <w:rFonts w:ascii="黑体" w:hAnsi="黑体" w:eastAsia="黑体" w:cs="黑体"/>
              <w:bCs/>
              <w:szCs w:val="30"/>
            </w:rPr>
            <w:fldChar w:fldCharType="separate"/>
          </w:r>
          <w:r>
            <w:rPr>
              <w:rFonts w:ascii="宋体" w:hAnsi="宋体" w:eastAsia="宋体" w:cs="宋体"/>
              <w:bCs/>
              <w:szCs w:val="28"/>
            </w:rPr>
            <w:t>4.4 后端开发</w:t>
          </w:r>
          <w:r>
            <w:tab/>
          </w:r>
          <w:r>
            <w:fldChar w:fldCharType="begin"/>
          </w:r>
          <w:r>
            <w:instrText xml:space="preserve"> PAGEREF _Toc11004 \h </w:instrText>
          </w:r>
          <w:r>
            <w:fldChar w:fldCharType="separate"/>
          </w:r>
          <w:r>
            <w:t>10</w:t>
          </w:r>
          <w:r>
            <w:fldChar w:fldCharType="end"/>
          </w:r>
          <w:r>
            <w:rPr>
              <w:rFonts w:ascii="黑体" w:hAnsi="黑体" w:eastAsia="黑体" w:cs="黑体"/>
              <w:bCs/>
              <w:szCs w:val="30"/>
            </w:rPr>
            <w:fldChar w:fldCharType="end"/>
          </w:r>
        </w:p>
        <w:p w14:paraId="30D191D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_Toc19666 </w:instrText>
          </w:r>
          <w:r>
            <w:rPr>
              <w:rFonts w:ascii="黑体" w:hAnsi="黑体" w:eastAsia="黑体" w:cs="黑体"/>
              <w:bCs/>
              <w:szCs w:val="30"/>
            </w:rPr>
            <w:fldChar w:fldCharType="separate"/>
          </w:r>
          <w:r>
            <w:rPr>
              <w:rFonts w:ascii="宋体" w:hAnsi="宋体" w:eastAsia="宋体" w:cs="宋体"/>
              <w:bCs/>
              <w:szCs w:val="28"/>
            </w:rPr>
            <w:t>4.5 数据库设计</w:t>
          </w:r>
          <w:r>
            <w:tab/>
          </w:r>
          <w:r>
            <w:fldChar w:fldCharType="begin"/>
          </w:r>
          <w:r>
            <w:instrText xml:space="preserve"> PAGEREF _Toc19666 \h </w:instrText>
          </w:r>
          <w:r>
            <w:fldChar w:fldCharType="separate"/>
          </w:r>
          <w:r>
            <w:t>11</w:t>
          </w:r>
          <w:r>
            <w:fldChar w:fldCharType="end"/>
          </w:r>
          <w:r>
            <w:rPr>
              <w:rFonts w:ascii="黑体" w:hAnsi="黑体" w:eastAsia="黑体" w:cs="黑体"/>
              <w:bCs/>
              <w:szCs w:val="30"/>
            </w:rPr>
            <w:fldChar w:fldCharType="end"/>
          </w:r>
        </w:p>
        <w:p w14:paraId="015EF061">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_Toc6285 </w:instrText>
          </w:r>
          <w:r>
            <w:rPr>
              <w:rFonts w:ascii="黑体" w:hAnsi="黑体" w:eastAsia="黑体" w:cs="黑体"/>
              <w:bCs/>
              <w:szCs w:val="30"/>
            </w:rPr>
            <w:fldChar w:fldCharType="separate"/>
          </w:r>
          <w:r>
            <w:rPr>
              <w:rFonts w:ascii="黑体" w:hAnsi="黑体" w:eastAsia="黑体" w:cs="黑体"/>
              <w:bCs/>
              <w:szCs w:val="30"/>
            </w:rPr>
            <w:t>5 设计成果</w:t>
          </w:r>
          <w:r>
            <w:tab/>
          </w:r>
          <w:r>
            <w:fldChar w:fldCharType="begin"/>
          </w:r>
          <w:r>
            <w:instrText xml:space="preserve"> PAGEREF _Toc6285 \h </w:instrText>
          </w:r>
          <w:r>
            <w:fldChar w:fldCharType="separate"/>
          </w:r>
          <w:r>
            <w:t>13</w:t>
          </w:r>
          <w:r>
            <w:fldChar w:fldCharType="end"/>
          </w:r>
          <w:r>
            <w:rPr>
              <w:rFonts w:ascii="黑体" w:hAnsi="黑体" w:eastAsia="黑体" w:cs="黑体"/>
              <w:bCs/>
              <w:szCs w:val="30"/>
            </w:rPr>
            <w:fldChar w:fldCharType="end"/>
          </w:r>
        </w:p>
        <w:p w14:paraId="42A2A591">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_Toc9878 </w:instrText>
          </w:r>
          <w:r>
            <w:rPr>
              <w:rFonts w:ascii="黑体" w:hAnsi="黑体" w:eastAsia="黑体" w:cs="黑体"/>
              <w:bCs/>
              <w:szCs w:val="30"/>
            </w:rPr>
            <w:fldChar w:fldCharType="separate"/>
          </w:r>
          <w:r>
            <w:rPr>
              <w:rFonts w:ascii="宋体" w:hAnsi="宋体" w:eastAsia="宋体" w:cs="宋体"/>
              <w:bCs/>
              <w:szCs w:val="28"/>
            </w:rPr>
            <w:t>5.1 平台首页</w:t>
          </w:r>
          <w:r>
            <w:tab/>
          </w:r>
          <w:r>
            <w:fldChar w:fldCharType="begin"/>
          </w:r>
          <w:r>
            <w:instrText xml:space="preserve"> PAGEREF _Toc9878 \h </w:instrText>
          </w:r>
          <w:r>
            <w:fldChar w:fldCharType="separate"/>
          </w:r>
          <w:r>
            <w:t>13</w:t>
          </w:r>
          <w:r>
            <w:fldChar w:fldCharType="end"/>
          </w:r>
          <w:r>
            <w:rPr>
              <w:rFonts w:ascii="黑体" w:hAnsi="黑体" w:eastAsia="黑体" w:cs="黑体"/>
              <w:bCs/>
              <w:szCs w:val="30"/>
            </w:rPr>
            <w:fldChar w:fldCharType="end"/>
          </w:r>
        </w:p>
        <w:p w14:paraId="06473E9A">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_Toc23035 </w:instrText>
          </w:r>
          <w:r>
            <w:rPr>
              <w:rFonts w:ascii="黑体" w:hAnsi="黑体" w:eastAsia="黑体" w:cs="黑体"/>
              <w:bCs/>
              <w:szCs w:val="30"/>
            </w:rPr>
            <w:fldChar w:fldCharType="separate"/>
          </w:r>
          <w:r>
            <w:rPr>
              <w:rFonts w:ascii="宋体" w:hAnsi="宋体" w:eastAsia="宋体" w:cs="宋体"/>
              <w:bCs/>
              <w:szCs w:val="28"/>
            </w:rPr>
            <w:t>5.2 知识库模块</w:t>
          </w:r>
          <w:r>
            <w:tab/>
          </w:r>
          <w:r>
            <w:fldChar w:fldCharType="begin"/>
          </w:r>
          <w:r>
            <w:instrText xml:space="preserve"> PAGEREF _Toc23035 \h </w:instrText>
          </w:r>
          <w:r>
            <w:fldChar w:fldCharType="separate"/>
          </w:r>
          <w:r>
            <w:t>13</w:t>
          </w:r>
          <w:r>
            <w:fldChar w:fldCharType="end"/>
          </w:r>
          <w:r>
            <w:rPr>
              <w:rFonts w:ascii="黑体" w:hAnsi="黑体" w:eastAsia="黑体" w:cs="黑体"/>
              <w:bCs/>
              <w:szCs w:val="30"/>
            </w:rPr>
            <w:fldChar w:fldCharType="end"/>
          </w:r>
        </w:p>
        <w:p w14:paraId="1651034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_Toc21436 </w:instrText>
          </w:r>
          <w:r>
            <w:rPr>
              <w:rFonts w:ascii="黑体" w:hAnsi="黑体" w:eastAsia="黑体" w:cs="黑体"/>
              <w:bCs/>
              <w:szCs w:val="30"/>
            </w:rPr>
            <w:fldChar w:fldCharType="separate"/>
          </w:r>
          <w:r>
            <w:rPr>
              <w:rFonts w:ascii="宋体" w:hAnsi="宋体" w:eastAsia="宋体" w:cs="宋体"/>
              <w:bCs/>
              <w:szCs w:val="28"/>
            </w:rPr>
            <w:t>5.3 传承人风采模块</w:t>
          </w:r>
          <w:r>
            <w:tab/>
          </w:r>
          <w:r>
            <w:fldChar w:fldCharType="begin"/>
          </w:r>
          <w:r>
            <w:instrText xml:space="preserve"> PAGEREF _Toc21436 \h </w:instrText>
          </w:r>
          <w:r>
            <w:fldChar w:fldCharType="separate"/>
          </w:r>
          <w:r>
            <w:t>13</w:t>
          </w:r>
          <w:r>
            <w:fldChar w:fldCharType="end"/>
          </w:r>
          <w:r>
            <w:rPr>
              <w:rFonts w:ascii="黑体" w:hAnsi="黑体" w:eastAsia="黑体" w:cs="黑体"/>
              <w:bCs/>
              <w:szCs w:val="30"/>
            </w:rPr>
            <w:fldChar w:fldCharType="end"/>
          </w:r>
        </w:p>
        <w:p w14:paraId="77A780C2">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_Toc25947 </w:instrText>
          </w:r>
          <w:r>
            <w:rPr>
              <w:rFonts w:ascii="黑体" w:hAnsi="黑体" w:eastAsia="黑体" w:cs="黑体"/>
              <w:bCs/>
              <w:szCs w:val="30"/>
            </w:rPr>
            <w:fldChar w:fldCharType="separate"/>
          </w:r>
          <w:r>
            <w:rPr>
              <w:rFonts w:ascii="宋体" w:hAnsi="宋体" w:eastAsia="宋体" w:cs="宋体"/>
              <w:bCs/>
              <w:szCs w:val="28"/>
            </w:rPr>
            <w:t>5.4 药用资源图鉴模块</w:t>
          </w:r>
          <w:r>
            <w:tab/>
          </w:r>
          <w:r>
            <w:fldChar w:fldCharType="begin"/>
          </w:r>
          <w:r>
            <w:instrText xml:space="preserve"> PAGEREF _Toc25947 \h </w:instrText>
          </w:r>
          <w:r>
            <w:fldChar w:fldCharType="separate"/>
          </w:r>
          <w:r>
            <w:t>13</w:t>
          </w:r>
          <w:r>
            <w:fldChar w:fldCharType="end"/>
          </w:r>
          <w:r>
            <w:rPr>
              <w:rFonts w:ascii="黑体" w:hAnsi="黑体" w:eastAsia="黑体" w:cs="黑体"/>
              <w:bCs/>
              <w:szCs w:val="30"/>
            </w:rPr>
            <w:fldChar w:fldCharType="end"/>
          </w:r>
        </w:p>
        <w:p w14:paraId="52BA439F">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_Toc17349 </w:instrText>
          </w:r>
          <w:r>
            <w:rPr>
              <w:rFonts w:ascii="黑体" w:hAnsi="黑体" w:eastAsia="黑体" w:cs="黑体"/>
              <w:bCs/>
              <w:szCs w:val="30"/>
            </w:rPr>
            <w:fldChar w:fldCharType="separate"/>
          </w:r>
          <w:r>
            <w:rPr>
              <w:rFonts w:ascii="宋体" w:hAnsi="宋体" w:eastAsia="宋体" w:cs="宋体"/>
              <w:bCs/>
              <w:szCs w:val="28"/>
            </w:rPr>
            <w:t>5.5 非遗问答模块</w:t>
          </w:r>
          <w:r>
            <w:tab/>
          </w:r>
          <w:r>
            <w:fldChar w:fldCharType="begin"/>
          </w:r>
          <w:r>
            <w:instrText xml:space="preserve"> PAGEREF _Toc17349 \h </w:instrText>
          </w:r>
          <w:r>
            <w:fldChar w:fldCharType="separate"/>
          </w:r>
          <w:r>
            <w:t>14</w:t>
          </w:r>
          <w:r>
            <w:fldChar w:fldCharType="end"/>
          </w:r>
          <w:r>
            <w:rPr>
              <w:rFonts w:ascii="黑体" w:hAnsi="黑体" w:eastAsia="黑体" w:cs="黑体"/>
              <w:bCs/>
              <w:szCs w:val="30"/>
            </w:rPr>
            <w:fldChar w:fldCharType="end"/>
          </w:r>
        </w:p>
        <w:p w14:paraId="3F606662">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_Toc32483 </w:instrText>
          </w:r>
          <w:r>
            <w:rPr>
              <w:rFonts w:ascii="黑体" w:hAnsi="黑体" w:eastAsia="黑体" w:cs="黑体"/>
              <w:bCs/>
              <w:szCs w:val="30"/>
            </w:rPr>
            <w:fldChar w:fldCharType="separate"/>
          </w:r>
          <w:r>
            <w:rPr>
              <w:rFonts w:ascii="宋体" w:hAnsi="宋体" w:eastAsia="宋体" w:cs="宋体"/>
              <w:bCs/>
              <w:szCs w:val="28"/>
            </w:rPr>
            <w:t>5.6 文化互动模块</w:t>
          </w:r>
          <w:r>
            <w:tab/>
          </w:r>
          <w:r>
            <w:fldChar w:fldCharType="begin"/>
          </w:r>
          <w:r>
            <w:instrText xml:space="preserve"> PAGEREF _Toc32483 \h </w:instrText>
          </w:r>
          <w:r>
            <w:fldChar w:fldCharType="separate"/>
          </w:r>
          <w:r>
            <w:t>14</w:t>
          </w:r>
          <w:r>
            <w:fldChar w:fldCharType="end"/>
          </w:r>
          <w:r>
            <w:rPr>
              <w:rFonts w:ascii="黑体" w:hAnsi="黑体" w:eastAsia="黑体" w:cs="黑体"/>
              <w:bCs/>
              <w:szCs w:val="30"/>
            </w:rPr>
            <w:fldChar w:fldCharType="end"/>
          </w:r>
        </w:p>
        <w:p w14:paraId="0737535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_Toc23010 </w:instrText>
          </w:r>
          <w:r>
            <w:rPr>
              <w:rFonts w:ascii="黑体" w:hAnsi="黑体" w:eastAsia="黑体" w:cs="黑体"/>
              <w:bCs/>
              <w:szCs w:val="30"/>
            </w:rPr>
            <w:fldChar w:fldCharType="separate"/>
          </w:r>
          <w:r>
            <w:rPr>
              <w:rFonts w:ascii="宋体" w:hAnsi="宋体" w:eastAsia="宋体" w:cs="宋体"/>
              <w:bCs/>
              <w:szCs w:val="28"/>
            </w:rPr>
            <w:t>5.7 学习资源模块</w:t>
          </w:r>
          <w:r>
            <w:tab/>
          </w:r>
          <w:r>
            <w:fldChar w:fldCharType="begin"/>
          </w:r>
          <w:r>
            <w:instrText xml:space="preserve"> PAGEREF _Toc23010 \h </w:instrText>
          </w:r>
          <w:r>
            <w:fldChar w:fldCharType="separate"/>
          </w:r>
          <w:r>
            <w:t>14</w:t>
          </w:r>
          <w:r>
            <w:fldChar w:fldCharType="end"/>
          </w:r>
          <w:r>
            <w:rPr>
              <w:rFonts w:ascii="黑体" w:hAnsi="黑体" w:eastAsia="黑体" w:cs="黑体"/>
              <w:bCs/>
              <w:szCs w:val="30"/>
            </w:rPr>
            <w:fldChar w:fldCharType="end"/>
          </w:r>
        </w:p>
        <w:p w14:paraId="57C5628C">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_Toc13708 </w:instrText>
          </w:r>
          <w:r>
            <w:rPr>
              <w:rFonts w:ascii="黑体" w:hAnsi="黑体" w:eastAsia="黑体" w:cs="黑体"/>
              <w:bCs/>
              <w:szCs w:val="30"/>
            </w:rPr>
            <w:fldChar w:fldCharType="separate"/>
          </w:r>
          <w:r>
            <w:rPr>
              <w:rFonts w:ascii="宋体" w:hAnsi="宋体" w:eastAsia="宋体" w:cs="宋体"/>
              <w:bCs/>
              <w:szCs w:val="28"/>
            </w:rPr>
            <w:t>5.8 数据可视化模块</w:t>
          </w:r>
          <w:r>
            <w:tab/>
          </w:r>
          <w:r>
            <w:fldChar w:fldCharType="begin"/>
          </w:r>
          <w:r>
            <w:instrText xml:space="preserve"> PAGEREF _Toc13708 \h </w:instrText>
          </w:r>
          <w:r>
            <w:fldChar w:fldCharType="separate"/>
          </w:r>
          <w:r>
            <w:t>14</w:t>
          </w:r>
          <w:r>
            <w:fldChar w:fldCharType="end"/>
          </w:r>
          <w:r>
            <w:rPr>
              <w:rFonts w:ascii="黑体" w:hAnsi="黑体" w:eastAsia="黑体" w:cs="黑体"/>
              <w:bCs/>
              <w:szCs w:val="30"/>
            </w:rPr>
            <w:fldChar w:fldCharType="end"/>
          </w:r>
        </w:p>
        <w:p w14:paraId="4A5C0820">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_Toc26508 </w:instrText>
          </w:r>
          <w:r>
            <w:rPr>
              <w:rFonts w:ascii="黑体" w:hAnsi="黑体" w:eastAsia="黑体" w:cs="黑体"/>
              <w:bCs/>
              <w:szCs w:val="30"/>
            </w:rPr>
            <w:fldChar w:fldCharType="separate"/>
          </w:r>
          <w:r>
            <w:rPr>
              <w:rFonts w:ascii="黑体" w:hAnsi="黑体" w:eastAsia="黑体" w:cs="黑体"/>
              <w:bCs/>
              <w:szCs w:val="30"/>
            </w:rPr>
            <w:t>6 设计总结</w:t>
          </w:r>
          <w:r>
            <w:tab/>
          </w:r>
          <w:r>
            <w:fldChar w:fldCharType="begin"/>
          </w:r>
          <w:r>
            <w:instrText xml:space="preserve"> PAGEREF _Toc26508 \h </w:instrText>
          </w:r>
          <w:r>
            <w:fldChar w:fldCharType="separate"/>
          </w:r>
          <w:r>
            <w:t>15</w:t>
          </w:r>
          <w:r>
            <w:fldChar w:fldCharType="end"/>
          </w:r>
          <w:r>
            <w:rPr>
              <w:rFonts w:ascii="黑体" w:hAnsi="黑体" w:eastAsia="黑体" w:cs="黑体"/>
              <w:bCs/>
              <w:szCs w:val="30"/>
            </w:rPr>
            <w:fldChar w:fldCharType="end"/>
          </w:r>
        </w:p>
        <w:p w14:paraId="489E5AFA">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_Toc8643 </w:instrText>
          </w:r>
          <w:r>
            <w:rPr>
              <w:rFonts w:ascii="黑体" w:hAnsi="黑体" w:eastAsia="黑体" w:cs="黑体"/>
              <w:bCs/>
              <w:szCs w:val="30"/>
            </w:rPr>
            <w:fldChar w:fldCharType="separate"/>
          </w:r>
          <w:r>
            <w:rPr>
              <w:rFonts w:ascii="宋体" w:hAnsi="宋体" w:eastAsia="宋体" w:cs="宋体"/>
              <w:bCs/>
              <w:szCs w:val="28"/>
            </w:rPr>
            <w:t>6.1 设计与研究过程总结</w:t>
          </w:r>
          <w:r>
            <w:tab/>
          </w:r>
          <w:r>
            <w:fldChar w:fldCharType="begin"/>
          </w:r>
          <w:r>
            <w:instrText xml:space="preserve"> PAGEREF _Toc8643 \h </w:instrText>
          </w:r>
          <w:r>
            <w:fldChar w:fldCharType="separate"/>
          </w:r>
          <w:r>
            <w:t>15</w:t>
          </w:r>
          <w:r>
            <w:fldChar w:fldCharType="end"/>
          </w:r>
          <w:r>
            <w:rPr>
              <w:rFonts w:ascii="黑体" w:hAnsi="黑体" w:eastAsia="黑体" w:cs="黑体"/>
              <w:bCs/>
              <w:szCs w:val="30"/>
            </w:rPr>
            <w:fldChar w:fldCharType="end"/>
          </w:r>
        </w:p>
        <w:p w14:paraId="18EA6AAE">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_Toc25835 </w:instrText>
          </w:r>
          <w:r>
            <w:rPr>
              <w:rFonts w:ascii="黑体" w:hAnsi="黑体" w:eastAsia="黑体" w:cs="黑体"/>
              <w:bCs/>
              <w:szCs w:val="30"/>
            </w:rPr>
            <w:fldChar w:fldCharType="separate"/>
          </w:r>
          <w:r>
            <w:rPr>
              <w:rFonts w:ascii="宋体" w:hAnsi="宋体" w:eastAsia="宋体" w:cs="宋体"/>
              <w:bCs/>
              <w:szCs w:val="28"/>
            </w:rPr>
            <w:t>6.2 平台功能与特点</w:t>
          </w:r>
          <w:r>
            <w:tab/>
          </w:r>
          <w:r>
            <w:fldChar w:fldCharType="begin"/>
          </w:r>
          <w:r>
            <w:instrText xml:space="preserve"> PAGEREF _Toc25835 \h </w:instrText>
          </w:r>
          <w:r>
            <w:fldChar w:fldCharType="separate"/>
          </w:r>
          <w:r>
            <w:t>15</w:t>
          </w:r>
          <w:r>
            <w:fldChar w:fldCharType="end"/>
          </w:r>
          <w:r>
            <w:rPr>
              <w:rFonts w:ascii="黑体" w:hAnsi="黑体" w:eastAsia="黑体" w:cs="黑体"/>
              <w:bCs/>
              <w:szCs w:val="30"/>
            </w:rPr>
            <w:fldChar w:fldCharType="end"/>
          </w:r>
        </w:p>
        <w:p w14:paraId="64EDAEF1">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_Toc24247 </w:instrText>
          </w:r>
          <w:r>
            <w:rPr>
              <w:rFonts w:ascii="黑体" w:hAnsi="黑体" w:eastAsia="黑体" w:cs="黑体"/>
              <w:bCs/>
              <w:szCs w:val="30"/>
            </w:rPr>
            <w:fldChar w:fldCharType="separate"/>
          </w:r>
          <w:r>
            <w:rPr>
              <w:rFonts w:ascii="宋体" w:hAnsi="宋体" w:eastAsia="宋体" w:cs="宋体"/>
              <w:bCs/>
              <w:szCs w:val="28"/>
            </w:rPr>
            <w:t>6.3 收获与不足</w:t>
          </w:r>
          <w:r>
            <w:tab/>
          </w:r>
          <w:r>
            <w:fldChar w:fldCharType="begin"/>
          </w:r>
          <w:r>
            <w:instrText xml:space="preserve"> PAGEREF _Toc24247 \h </w:instrText>
          </w:r>
          <w:r>
            <w:fldChar w:fldCharType="separate"/>
          </w:r>
          <w:r>
            <w:t>16</w:t>
          </w:r>
          <w:r>
            <w:fldChar w:fldCharType="end"/>
          </w:r>
          <w:r>
            <w:rPr>
              <w:rFonts w:ascii="黑体" w:hAnsi="黑体" w:eastAsia="黑体" w:cs="黑体"/>
              <w:bCs/>
              <w:szCs w:val="30"/>
            </w:rPr>
            <w:fldChar w:fldCharType="end"/>
          </w:r>
        </w:p>
        <w:p w14:paraId="3E2E3670">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_Toc7541 </w:instrText>
          </w:r>
          <w:r>
            <w:rPr>
              <w:rFonts w:ascii="黑体" w:hAnsi="黑体" w:eastAsia="黑体" w:cs="黑体"/>
              <w:bCs/>
              <w:szCs w:val="30"/>
            </w:rPr>
            <w:fldChar w:fldCharType="separate"/>
          </w:r>
          <w:r>
            <w:rPr>
              <w:rFonts w:ascii="宋体" w:hAnsi="宋体" w:eastAsia="宋体" w:cs="宋体"/>
              <w:bCs/>
              <w:szCs w:val="28"/>
            </w:rPr>
            <w:t>6.4 项目管理实践</w:t>
          </w:r>
          <w:r>
            <w:tab/>
          </w:r>
          <w:r>
            <w:fldChar w:fldCharType="begin"/>
          </w:r>
          <w:r>
            <w:instrText xml:space="preserve"> PAGEREF _Toc7541 \h </w:instrText>
          </w:r>
          <w:r>
            <w:fldChar w:fldCharType="separate"/>
          </w:r>
          <w:r>
            <w:t>16</w:t>
          </w:r>
          <w:r>
            <w:fldChar w:fldCharType="end"/>
          </w:r>
          <w:r>
            <w:rPr>
              <w:rFonts w:ascii="黑体" w:hAnsi="黑体" w:eastAsia="黑体" w:cs="黑体"/>
              <w:bCs/>
              <w:szCs w:val="30"/>
            </w:rPr>
            <w:fldChar w:fldCharType="end"/>
          </w:r>
        </w:p>
        <w:p w14:paraId="0D75AF6A">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_Toc15111 </w:instrText>
          </w:r>
          <w:r>
            <w:rPr>
              <w:rFonts w:ascii="黑体" w:hAnsi="黑体" w:eastAsia="黑体" w:cs="黑体"/>
              <w:bCs/>
              <w:szCs w:val="30"/>
            </w:rPr>
            <w:fldChar w:fldCharType="separate"/>
          </w:r>
          <w:r>
            <w:rPr>
              <w:rFonts w:ascii="黑体" w:hAnsi="黑体" w:eastAsia="黑体" w:cs="黑体"/>
              <w:bCs/>
              <w:szCs w:val="30"/>
            </w:rPr>
            <w:t>7 设计展望</w:t>
          </w:r>
          <w:r>
            <w:tab/>
          </w:r>
          <w:r>
            <w:fldChar w:fldCharType="begin"/>
          </w:r>
          <w:r>
            <w:instrText xml:space="preserve"> PAGEREF _Toc15111 \h </w:instrText>
          </w:r>
          <w:r>
            <w:fldChar w:fldCharType="separate"/>
          </w:r>
          <w:r>
            <w:t>17</w:t>
          </w:r>
          <w:r>
            <w:fldChar w:fldCharType="end"/>
          </w:r>
          <w:r>
            <w:rPr>
              <w:rFonts w:ascii="黑体" w:hAnsi="黑体" w:eastAsia="黑体" w:cs="黑体"/>
              <w:bCs/>
              <w:szCs w:val="30"/>
            </w:rPr>
            <w:fldChar w:fldCharType="end"/>
          </w:r>
        </w:p>
        <w:p w14:paraId="52921814">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_Toc31328 </w:instrText>
          </w:r>
          <w:r>
            <w:rPr>
              <w:rFonts w:ascii="黑体" w:hAnsi="黑体" w:eastAsia="黑体" w:cs="黑体"/>
              <w:bCs/>
              <w:szCs w:val="30"/>
            </w:rPr>
            <w:fldChar w:fldCharType="separate"/>
          </w:r>
          <w:r>
            <w:rPr>
              <w:rFonts w:ascii="宋体" w:hAnsi="宋体" w:eastAsia="宋体" w:cs="宋体"/>
              <w:bCs/>
              <w:szCs w:val="28"/>
            </w:rPr>
            <w:t>7.1 推广应用前景</w:t>
          </w:r>
          <w:r>
            <w:tab/>
          </w:r>
          <w:r>
            <w:fldChar w:fldCharType="begin"/>
          </w:r>
          <w:r>
            <w:instrText xml:space="preserve"> PAGEREF _Toc31328 \h </w:instrText>
          </w:r>
          <w:r>
            <w:fldChar w:fldCharType="separate"/>
          </w:r>
          <w:r>
            <w:t>17</w:t>
          </w:r>
          <w:r>
            <w:fldChar w:fldCharType="end"/>
          </w:r>
          <w:r>
            <w:rPr>
              <w:rFonts w:ascii="黑体" w:hAnsi="黑体" w:eastAsia="黑体" w:cs="黑体"/>
              <w:bCs/>
              <w:szCs w:val="30"/>
            </w:rPr>
            <w:fldChar w:fldCharType="end"/>
          </w:r>
        </w:p>
        <w:p w14:paraId="4B81F65B">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_Toc17366 </w:instrText>
          </w:r>
          <w:r>
            <w:rPr>
              <w:rFonts w:ascii="黑体" w:hAnsi="黑体" w:eastAsia="黑体" w:cs="黑体"/>
              <w:bCs/>
              <w:szCs w:val="30"/>
            </w:rPr>
            <w:fldChar w:fldCharType="separate"/>
          </w:r>
          <w:r>
            <w:rPr>
              <w:rFonts w:ascii="宋体" w:hAnsi="宋体" w:eastAsia="宋体" w:cs="宋体"/>
              <w:bCs/>
              <w:szCs w:val="28"/>
            </w:rPr>
            <w:t>7.2 未来发展趋势</w:t>
          </w:r>
          <w:r>
            <w:tab/>
          </w:r>
          <w:r>
            <w:fldChar w:fldCharType="begin"/>
          </w:r>
          <w:r>
            <w:instrText xml:space="preserve"> PAGEREF _Toc17366 \h </w:instrText>
          </w:r>
          <w:r>
            <w:fldChar w:fldCharType="separate"/>
          </w:r>
          <w:r>
            <w:t>17</w:t>
          </w:r>
          <w:r>
            <w:fldChar w:fldCharType="end"/>
          </w:r>
          <w:r>
            <w:rPr>
              <w:rFonts w:ascii="黑体" w:hAnsi="黑体" w:eastAsia="黑体" w:cs="黑体"/>
              <w:bCs/>
              <w:szCs w:val="30"/>
            </w:rPr>
            <w:fldChar w:fldCharType="end"/>
          </w:r>
        </w:p>
        <w:p w14:paraId="66EA6B2B">
          <w:pPr>
            <w:pStyle w:val="14"/>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_Toc8677 </w:instrText>
          </w:r>
          <w:r>
            <w:rPr>
              <w:rFonts w:ascii="黑体" w:hAnsi="黑体" w:eastAsia="黑体" w:cs="黑体"/>
              <w:bCs/>
              <w:szCs w:val="30"/>
            </w:rPr>
            <w:fldChar w:fldCharType="separate"/>
          </w:r>
          <w:r>
            <w:rPr>
              <w:rFonts w:ascii="宋体" w:hAnsi="宋体" w:eastAsia="宋体" w:cs="宋体"/>
              <w:bCs/>
              <w:szCs w:val="28"/>
            </w:rPr>
            <w:t>7.3 可持续性设计</w:t>
          </w:r>
          <w:r>
            <w:tab/>
          </w:r>
          <w:r>
            <w:fldChar w:fldCharType="begin"/>
          </w:r>
          <w:r>
            <w:instrText xml:space="preserve"> PAGEREF _Toc8677 \h </w:instrText>
          </w:r>
          <w:r>
            <w:fldChar w:fldCharType="separate"/>
          </w:r>
          <w:r>
            <w:t>17</w:t>
          </w:r>
          <w:r>
            <w:fldChar w:fldCharType="end"/>
          </w:r>
          <w:r>
            <w:rPr>
              <w:rFonts w:ascii="黑体" w:hAnsi="黑体" w:eastAsia="黑体" w:cs="黑体"/>
              <w:bCs/>
              <w:szCs w:val="30"/>
            </w:rPr>
            <w:fldChar w:fldCharType="end"/>
          </w:r>
        </w:p>
        <w:p w14:paraId="56618E38">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_Toc9618 </w:instrText>
          </w:r>
          <w:r>
            <w:rPr>
              <w:rFonts w:ascii="黑体" w:hAnsi="黑体" w:eastAsia="黑体" w:cs="黑体"/>
              <w:bCs/>
              <w:szCs w:val="30"/>
            </w:rPr>
            <w:fldChar w:fldCharType="separate"/>
          </w:r>
          <w:r>
            <w:rPr>
              <w:rFonts w:ascii="黑体" w:hAnsi="黑体" w:eastAsia="黑体" w:cs="黑体"/>
              <w:bCs/>
              <w:szCs w:val="30"/>
            </w:rPr>
            <w:t>致    谢</w:t>
          </w:r>
          <w:r>
            <w:tab/>
          </w:r>
          <w:r>
            <w:fldChar w:fldCharType="begin"/>
          </w:r>
          <w:r>
            <w:instrText xml:space="preserve"> PAGEREF _Toc9618 \h </w:instrText>
          </w:r>
          <w:r>
            <w:fldChar w:fldCharType="separate"/>
          </w:r>
          <w:r>
            <w:t>19</w:t>
          </w:r>
          <w:r>
            <w:fldChar w:fldCharType="end"/>
          </w:r>
          <w:r>
            <w:rPr>
              <w:rFonts w:ascii="黑体" w:hAnsi="黑体" w:eastAsia="黑体" w:cs="黑体"/>
              <w:bCs/>
              <w:szCs w:val="30"/>
            </w:rPr>
            <w:fldChar w:fldCharType="end"/>
          </w:r>
        </w:p>
        <w:p w14:paraId="68CBC82A">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_Toc6507 </w:instrText>
          </w:r>
          <w:r>
            <w:rPr>
              <w:rFonts w:ascii="黑体" w:hAnsi="黑体" w:eastAsia="黑体" w:cs="黑体"/>
              <w:bCs/>
              <w:szCs w:val="30"/>
            </w:rPr>
            <w:fldChar w:fldCharType="separate"/>
          </w:r>
          <w:r>
            <w:rPr>
              <w:rFonts w:ascii="黑体" w:hAnsi="黑体" w:eastAsia="黑体" w:cs="黑体"/>
              <w:bCs/>
              <w:szCs w:val="30"/>
            </w:rPr>
            <w:t>参考文献</w:t>
          </w:r>
          <w:r>
            <w:tab/>
          </w:r>
          <w:r>
            <w:fldChar w:fldCharType="begin"/>
          </w:r>
          <w:r>
            <w:instrText xml:space="preserve"> PAGEREF _Toc6507 \h </w:instrText>
          </w:r>
          <w:r>
            <w:fldChar w:fldCharType="separate"/>
          </w:r>
          <w:r>
            <w:t>20</w:t>
          </w:r>
          <w:r>
            <w:fldChar w:fldCharType="end"/>
          </w:r>
          <w:r>
            <w:rPr>
              <w:rFonts w:ascii="黑体" w:hAnsi="黑体" w:eastAsia="黑体" w:cs="黑体"/>
              <w:bCs/>
              <w:szCs w:val="30"/>
            </w:rPr>
            <w:fldChar w:fldCharType="end"/>
          </w:r>
        </w:p>
        <w:p w14:paraId="38E944DC">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_Toc30711 </w:instrText>
          </w:r>
          <w:r>
            <w:rPr>
              <w:rFonts w:ascii="黑体" w:hAnsi="黑体" w:eastAsia="黑体" w:cs="黑体"/>
              <w:bCs/>
              <w:szCs w:val="30"/>
            </w:rPr>
            <w:fldChar w:fldCharType="separate"/>
          </w:r>
          <w:r>
            <w:rPr>
              <w:rFonts w:ascii="黑体" w:hAnsi="黑体" w:eastAsia="黑体" w:cs="黑体"/>
              <w:bCs/>
              <w:szCs w:val="30"/>
            </w:rPr>
            <w:t>附  录</w:t>
          </w:r>
          <w:r>
            <w:tab/>
          </w:r>
          <w:r>
            <w:fldChar w:fldCharType="begin"/>
          </w:r>
          <w:r>
            <w:instrText xml:space="preserve"> PAGEREF _Toc30711 \h </w:instrText>
          </w:r>
          <w:r>
            <w:fldChar w:fldCharType="separate"/>
          </w:r>
          <w:r>
            <w:t>21</w:t>
          </w:r>
          <w:r>
            <w:fldChar w:fldCharType="end"/>
          </w:r>
          <w:r>
            <w:rPr>
              <w:rFonts w:ascii="黑体" w:hAnsi="黑体" w:eastAsia="黑体" w:cs="黑体"/>
              <w:bCs/>
              <w:szCs w:val="30"/>
            </w:rPr>
            <w:fldChar w:fldCharType="end"/>
          </w:r>
        </w:p>
        <w:p w14:paraId="7B54BCBA">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_Toc18944 </w:instrText>
          </w:r>
          <w:r>
            <w:rPr>
              <w:rFonts w:ascii="黑体" w:hAnsi="黑体" w:eastAsia="黑体" w:cs="黑体"/>
              <w:bCs/>
              <w:szCs w:val="30"/>
            </w:rPr>
            <w:fldChar w:fldCharType="separate"/>
          </w:r>
          <w:r>
            <w:rPr>
              <w:rFonts w:ascii="宋体" w:hAnsi="宋体" w:eastAsia="宋体" w:cs="宋体"/>
              <w:bCs/>
              <w:szCs w:val="28"/>
            </w:rPr>
            <w:t>附录A 平台核心页面截图</w:t>
          </w:r>
          <w:r>
            <w:tab/>
          </w:r>
          <w:r>
            <w:fldChar w:fldCharType="begin"/>
          </w:r>
          <w:r>
            <w:instrText xml:space="preserve"> PAGEREF _Toc18944 \h </w:instrText>
          </w:r>
          <w:r>
            <w:fldChar w:fldCharType="separate"/>
          </w:r>
          <w:r>
            <w:t>21</w:t>
          </w:r>
          <w:r>
            <w:fldChar w:fldCharType="end"/>
          </w:r>
          <w:r>
            <w:rPr>
              <w:rFonts w:ascii="黑体" w:hAnsi="黑体" w:eastAsia="黑体" w:cs="黑体"/>
              <w:bCs/>
              <w:szCs w:val="30"/>
            </w:rPr>
            <w:fldChar w:fldCharType="end"/>
          </w:r>
        </w:p>
        <w:p w14:paraId="7180AFF7">
          <w:pPr>
            <w:pStyle w:val="12"/>
            <w:tabs>
              <w:tab w:val="right" w:leader="dot" w:pos="9026"/>
            </w:tabs>
          </w:pPr>
          <w:r>
            <w:rPr>
              <w:rFonts w:ascii="黑体" w:hAnsi="黑体" w:eastAsia="黑体" w:cs="黑体"/>
              <w:bCs/>
              <w:szCs w:val="30"/>
            </w:rPr>
            <w:fldChar w:fldCharType="begin"/>
          </w:r>
          <w:r>
            <w:rPr>
              <w:rFonts w:ascii="黑体" w:hAnsi="黑体" w:eastAsia="黑体" w:cs="黑体"/>
              <w:bCs/>
              <w:szCs w:val="30"/>
            </w:rPr>
            <w:instrText xml:space="preserve"> HYPERLINK \l _Toc30477 </w:instrText>
          </w:r>
          <w:r>
            <w:rPr>
              <w:rFonts w:ascii="黑体" w:hAnsi="黑体" w:eastAsia="黑体" w:cs="黑体"/>
              <w:bCs/>
              <w:szCs w:val="30"/>
            </w:rPr>
            <w:fldChar w:fldCharType="separate"/>
          </w:r>
          <w:r>
            <w:rPr>
              <w:rFonts w:ascii="宋体" w:hAnsi="宋体" w:eastAsia="宋体" w:cs="宋体"/>
              <w:bCs/>
              <w:szCs w:val="28"/>
            </w:rPr>
            <w:t>附录B 数据库核心表结构</w:t>
          </w:r>
          <w:r>
            <w:tab/>
          </w:r>
          <w:r>
            <w:fldChar w:fldCharType="begin"/>
          </w:r>
          <w:r>
            <w:instrText xml:space="preserve"> PAGEREF _Toc30477 \h </w:instrText>
          </w:r>
          <w:r>
            <w:fldChar w:fldCharType="separate"/>
          </w:r>
          <w:r>
            <w:t>21</w:t>
          </w:r>
          <w:r>
            <w:fldChar w:fldCharType="end"/>
          </w:r>
          <w:r>
            <w:rPr>
              <w:rFonts w:ascii="黑体" w:hAnsi="黑体" w:eastAsia="黑体" w:cs="黑体"/>
              <w:bCs/>
              <w:szCs w:val="30"/>
            </w:rPr>
            <w:fldChar w:fldCharType="end"/>
          </w:r>
        </w:p>
        <w:p w14:paraId="2AFAEB0A">
          <w:pPr>
            <w:spacing w:before="240" w:after="120" w:line="360" w:lineRule="auto"/>
            <w:jc w:val="left"/>
            <w:rPr>
              <w:rFonts w:ascii="黑体" w:hAnsi="黑体" w:eastAsia="黑体" w:cs="黑体"/>
              <w:bCs/>
              <w:sz w:val="24"/>
              <w:szCs w:val="30"/>
            </w:rPr>
          </w:pPr>
          <w:r>
            <w:rPr>
              <w:rFonts w:ascii="黑体" w:hAnsi="黑体" w:eastAsia="黑体" w:cs="黑体"/>
              <w:bCs/>
              <w:szCs w:val="30"/>
            </w:rPr>
            <w:fldChar w:fldCharType="end"/>
          </w:r>
        </w:p>
      </w:sdtContent>
    </w:sdt>
    <w:p w14:paraId="27D67DB0">
      <w:pPr>
        <w:spacing w:before="240" w:after="120" w:line="360" w:lineRule="auto"/>
        <w:jc w:val="left"/>
        <w:rPr>
          <w:rFonts w:ascii="黑体" w:hAnsi="黑体" w:eastAsia="黑体" w:cs="黑体"/>
          <w:bCs/>
          <w:sz w:val="24"/>
          <w:szCs w:val="30"/>
        </w:rPr>
        <w:sectPr>
          <w:headerReference r:id="rId3" w:type="default"/>
          <w:footerReference r:id="rId4" w:type="default"/>
          <w:pgSz w:w="11906" w:h="16838"/>
          <w:pgMar w:top="1440" w:right="1440" w:bottom="1440" w:left="1440" w:header="708" w:footer="708" w:gutter="0"/>
          <w:cols w:space="720" w:num="1"/>
          <w:docGrid w:linePitch="360" w:charSpace="0"/>
        </w:sectPr>
      </w:pPr>
    </w:p>
    <w:p w14:paraId="49B7FC0B">
      <w:pPr>
        <w:spacing w:before="240" w:after="120" w:line="360" w:lineRule="auto"/>
        <w:jc w:val="left"/>
        <w:outlineLvl w:val="0"/>
      </w:pPr>
      <w:bookmarkStart w:id="0" w:name="_Toc14545"/>
      <w:r>
        <w:rPr>
          <w:rFonts w:ascii="黑体" w:hAnsi="黑体" w:eastAsia="黑体" w:cs="黑体"/>
          <w:b/>
          <w:bCs/>
          <w:sz w:val="30"/>
          <w:szCs w:val="30"/>
        </w:rPr>
        <w:t>1 课题简介及选题背景</w:t>
      </w:r>
      <w:bookmarkEnd w:id="0"/>
    </w:p>
    <w:p w14:paraId="003F0FA3">
      <w:pPr>
        <w:spacing w:before="180" w:after="60" w:line="360" w:lineRule="auto"/>
        <w:jc w:val="left"/>
        <w:outlineLvl w:val="1"/>
      </w:pPr>
      <w:bookmarkStart w:id="1" w:name="_Toc25985"/>
      <w:r>
        <w:rPr>
          <w:rFonts w:ascii="宋体" w:hAnsi="宋体" w:eastAsia="宋体" w:cs="宋体"/>
          <w:b/>
          <w:bCs/>
          <w:sz w:val="28"/>
          <w:szCs w:val="28"/>
        </w:rPr>
        <w:t>1.1 课题简介</w:t>
      </w:r>
      <w:bookmarkEnd w:id="1"/>
    </w:p>
    <w:p w14:paraId="136EDA28">
      <w:pPr>
        <w:spacing w:line="360" w:lineRule="auto"/>
        <w:ind w:firstLine="480"/>
        <w:jc w:val="both"/>
      </w:pPr>
      <w:r>
        <w:rPr>
          <w:rFonts w:ascii="宋体" w:hAnsi="宋体" w:eastAsia="宋体" w:cs="宋体"/>
          <w:sz w:val="24"/>
          <w:szCs w:val="24"/>
        </w:rPr>
        <w:t>侗乡医药是广西三江侗族自治县自治区级非物质文化遗产，是侗族人民在长期生产生活实践中积累形成的传统医学体系，涵盖内服外敷、药浴熏蒸、正骨推拿等多种特色疗法，以及数百种药用植物的采集与应用知识。然而，受限于口传心授的传承方式和区域性小众非遗的传播局限，侗乡医药面临着经典药方失传、传承人老龄化加剧、药用植物知识碎片化等严峻挑战。在数字化浪潮席卷全球的背景下，借助数字媒体技术对侗乡医药进行系统性整理、标准化存储与多媒体化展示，已成为推动非遗活态传承的重要路径。</w:t>
      </w:r>
    </w:p>
    <w:p w14:paraId="74603A6C">
      <w:pPr>
        <w:spacing w:line="360" w:lineRule="auto"/>
        <w:ind w:firstLine="480"/>
        <w:jc w:val="both"/>
      </w:pPr>
      <w:r>
        <w:rPr>
          <w:rFonts w:ascii="宋体" w:hAnsi="宋体" w:eastAsia="宋体" w:cs="宋体"/>
          <w:sz w:val="24"/>
          <w:szCs w:val="24"/>
        </w:rPr>
        <w:t>本课题以数字媒体技术为核心支撑，以非遗保护为视角导向，设计并实现一款轻量化的侗乡医药数字展示平台。研究内容涵盖五个维度：一是侗乡医药非遗核心数据的系统梳理与权威核验，确保数据完整性与准确性；二是前后端分离架构的搭建，采用Vue 3 + Spring Boot 3 + MySQL 8.0技术栈，构建稳定高效的B/S架构平台；三是四大核心模块与三大拓展模块的精细化开发；四是侗族非遗元素与医药意象深度融合的界面设计；五是遵循软件工程规范的全流程测试与优化。最终成果可为侗乡医药非遗提供可持续的数字化传播与保护平台，为小众非遗的数字化保护提供本科级别的可行参考方案，同时锻炼学生Web全栈开发与非遗文化可视化能力。</w:t>
      </w:r>
    </w:p>
    <w:p w14:paraId="3133260F">
      <w:pPr>
        <w:spacing w:line="360" w:lineRule="auto"/>
        <w:ind w:firstLine="480"/>
        <w:jc w:val="both"/>
      </w:pPr>
      <w:r>
        <w:rPr>
          <w:rFonts w:ascii="宋体" w:hAnsi="宋体" w:eastAsia="宋体" w:cs="宋体"/>
          <w:sz w:val="24"/>
          <w:szCs w:val="24"/>
        </w:rPr>
        <w:t>本课题的研究方法主要包括文献研究法、实地调研法、软件工程开发法和用户测试法。在文献研究方面，系统检索和分析了非遗数字化保护、Web前后端开发技术和侗族医药文化三个领域的学术文献，建立了课题研究的理论基础和技术框架。在实地调研方面，通过三江侗族自治县文旅局和县文化馆的官方资料渠道，结合非遗展厅线上VR展和传承人公开访谈视频等民间资料来源，完成了侗乡医药核心数据的系统采集与交叉核验。在软件开发方面，严格遵循软件工程规范，按照需求分析、系统设计、编码实现、测试优化和部署运维五个阶段推进全流程开发。在用户测试方面，采用功能测试、性能测试和易用性测试相结合的多维度测试方案，确保平台满足预设的各项指标要求。</w:t>
      </w:r>
    </w:p>
    <w:p w14:paraId="703BBDCF">
      <w:pPr>
        <w:spacing w:before="180" w:after="60" w:line="360" w:lineRule="auto"/>
        <w:jc w:val="left"/>
        <w:outlineLvl w:val="1"/>
      </w:pPr>
      <w:bookmarkStart w:id="2" w:name="_Toc13004"/>
      <w:r>
        <w:rPr>
          <w:rFonts w:ascii="宋体" w:hAnsi="宋体" w:eastAsia="宋体" w:cs="宋体"/>
          <w:b/>
          <w:bCs/>
          <w:sz w:val="28"/>
          <w:szCs w:val="28"/>
        </w:rPr>
        <w:t>1.2 选题背景</w:t>
      </w:r>
      <w:bookmarkEnd w:id="2"/>
    </w:p>
    <w:p w14:paraId="5F8B7EAB">
      <w:pPr>
        <w:spacing w:line="360" w:lineRule="auto"/>
        <w:ind w:firstLine="480"/>
        <w:jc w:val="both"/>
      </w:pPr>
      <w:r>
        <w:rPr>
          <w:rFonts w:ascii="宋体" w:hAnsi="宋体" w:eastAsia="宋体" w:cs="宋体"/>
          <w:sz w:val="24"/>
          <w:szCs w:val="24"/>
        </w:rPr>
        <w:t>近年来，随着国家对非物质文化遗产保护力度的持续加大，中医药非遗的保护与传承日益受到社会各界的广泛关注。李倩（2024）[1]指出，中医药非物质文化遗产的传播是推动中华优秀传统文化创造性转化与创新性发展的重要抓手，亟需借助数字技术拓展传播渠道、提升传播效能。毛国强、孔令彬（2021）[2]系统梳理了中医药非物质文化遗产保护与传播的现状，提出应充分运用新媒体技术构建多元化的非遗传播矩阵，扩大中医药文化的社会影响力。林鹏妹、赵艳（2023）[3]对中医药非物质文化遗产保护的现状及问题进行了深入分析，指出数据标准化程度低、传承人老龄化、数字化保护投入不足是当前面临的三大核心问题。戢浩飞（2020）[4]在其著作中全面阐述了非物质文化遗产保护的理论框架与实践路径，强调了数字技术在非遗保护中的关键作用。在国际层面，Candelise和Bindi（2025）[5]对全球化背景下非物质文化遗产与传统医学知识的保护进行了系统研究，为跨国视角下的非遗医药保护提供了理论参考。</w:t>
      </w:r>
    </w:p>
    <w:p w14:paraId="69FA131B">
      <w:pPr>
        <w:spacing w:line="360" w:lineRule="auto"/>
        <w:ind w:firstLine="480"/>
        <w:jc w:val="both"/>
      </w:pPr>
      <w:r>
        <w:rPr>
          <w:rFonts w:ascii="宋体" w:hAnsi="宋体" w:eastAsia="宋体" w:cs="宋体"/>
          <w:sz w:val="24"/>
          <w:szCs w:val="24"/>
        </w:rPr>
        <w:t>在技术应用层面，基于Spring Boot + Vue的前后端分离架构已在多个领域得到了广泛的实践验证。沈锐（2025）[6]基于Spring Boot + Vue技术栈成功设计并实现了图书馆管理系统，验证了该技术组合在信息管理类系统中的可行性与高效性。Simone C.（2024）[7]在其著作中系统介绍了Vue.js 3的核心特性与生态系统，为本课题前端开发提供了坚实的技术参考。郭凯旋等（2025）[8]基于B/S架构设计了海上搜救应急预报平台，其架构设计思路对本课题具有重要借鉴意义。林翔（2021）[9]基于SpringBoot技术完成了厨电产品质量管理系统的设计与实现，为本课题后端开发提供了工程实践参考。刘雪梅（2025）[10]对MySQL数据库复杂多表联合查询的优化策略进行了系统分析，为本课题的数据库设计提供了优化方向。此外，杨正瑛、戴红亮（2025）[11][12]从语言学与文化交融的视角，对侗族药用植物命名进行了深入研究，为本课题的药用植物数据整理提供了专业的学术支撑。杨冉（2023）[13]对侗族医药知识科普APP的交互设计研究，也为本课题的界面交互设计提供了重要参考。</w:t>
      </w:r>
    </w:p>
    <w:p w14:paraId="03D0E4E0">
      <w:r>
        <w:br w:type="page"/>
      </w:r>
    </w:p>
    <w:p w14:paraId="6FA47167">
      <w:pPr>
        <w:spacing w:before="240" w:after="120" w:line="360" w:lineRule="auto"/>
        <w:jc w:val="left"/>
        <w:outlineLvl w:val="0"/>
      </w:pPr>
      <w:bookmarkStart w:id="3" w:name="_Toc27275"/>
      <w:r>
        <w:rPr>
          <w:rFonts w:ascii="黑体" w:hAnsi="黑体" w:eastAsia="黑体" w:cs="黑体"/>
          <w:b/>
          <w:bCs/>
          <w:sz w:val="30"/>
          <w:szCs w:val="30"/>
        </w:rPr>
        <w:t>2 设计调研</w:t>
      </w:r>
      <w:bookmarkEnd w:id="3"/>
    </w:p>
    <w:p w14:paraId="6D69462E">
      <w:pPr>
        <w:spacing w:before="180" w:after="60" w:line="360" w:lineRule="auto"/>
        <w:jc w:val="left"/>
        <w:outlineLvl w:val="1"/>
      </w:pPr>
      <w:bookmarkStart w:id="4" w:name="_Toc22366"/>
      <w:r>
        <w:rPr>
          <w:rFonts w:ascii="宋体" w:hAnsi="宋体" w:eastAsia="宋体" w:cs="宋体"/>
          <w:b/>
          <w:bCs/>
          <w:sz w:val="28"/>
          <w:szCs w:val="28"/>
        </w:rPr>
        <w:t>2.1 文献调研</w:t>
      </w:r>
      <w:bookmarkEnd w:id="4"/>
    </w:p>
    <w:p w14:paraId="5AC57AE3">
      <w:pPr>
        <w:spacing w:line="360" w:lineRule="auto"/>
        <w:ind w:firstLine="480"/>
        <w:jc w:val="both"/>
      </w:pPr>
      <w:r>
        <w:rPr>
          <w:rFonts w:ascii="宋体" w:hAnsi="宋体" w:eastAsia="宋体" w:cs="宋体"/>
          <w:sz w:val="24"/>
          <w:szCs w:val="24"/>
        </w:rPr>
        <w:t>本课题的文献调研围绕三个方向展开：非遗数字化保护理论、网站开发技术与侗族医药文化研究。在非遗数字化保护方面，通过梳理国内外学术文献，明确了非遗数字化保护的核心目标在于“数据的标准化采集、知识的结构化组织、内容的多媒体呈现与平台的可持续运营”。在网站开发技术方面，重点研究了Vue 3的响应式数据绑定机制、Element Plus组件库的工程化应用、Spring Boot 3的RESTful API开发规范以及MyBatis-Plus的数据持久化方案，为后续技术选型奠定了理论基础。在侗族医药文化方面，深入研读了侗族医药学的相关专著与论文，系统了解了侗族医药的历史沿革、理论体系与临床特色，为平台内容的专业性提供了保障。</w:t>
      </w:r>
    </w:p>
    <w:p w14:paraId="1AED7529">
      <w:pPr>
        <w:spacing w:before="180" w:after="60" w:line="360" w:lineRule="auto"/>
        <w:jc w:val="left"/>
        <w:outlineLvl w:val="1"/>
      </w:pPr>
      <w:bookmarkStart w:id="5" w:name="_Toc15331"/>
      <w:r>
        <w:rPr>
          <w:rFonts w:ascii="宋体" w:hAnsi="宋体" w:eastAsia="宋体" w:cs="宋体"/>
          <w:b/>
          <w:bCs/>
          <w:sz w:val="28"/>
          <w:szCs w:val="28"/>
        </w:rPr>
        <w:t>2.2 数据调研</w:t>
      </w:r>
      <w:bookmarkEnd w:id="5"/>
    </w:p>
    <w:p w14:paraId="56560A8C">
      <w:pPr>
        <w:spacing w:line="360" w:lineRule="auto"/>
        <w:ind w:firstLine="480"/>
        <w:jc w:val="both"/>
      </w:pPr>
      <w:r>
        <w:rPr>
          <w:rFonts w:ascii="宋体" w:hAnsi="宋体" w:eastAsia="宋体" w:cs="宋体"/>
          <w:sz w:val="24"/>
          <w:szCs w:val="24"/>
        </w:rPr>
        <w:t>为确保平台内容的权威性与完整性，本课题开展了多渠道的数据采集工作。一是官方渠道采集：通过三江侗族自治县文旅局官网“非遗保护”专栏、《三江侗族自治县非物质文化遗产名录（2025版）》，系统整理了12项经典药方（如百草汤配方、鼻炎疗法外用方等）、6类核心疗法（鼻炎疗法、药浴疗法、百草汤烹制、侗药浸泡、跌打损伤疗法、虫茶调理法）、8名代表性传承人的基础信息（含传承级别、核心技艺、从业年限）以及15种常用药用植物的图鉴资料（含学名、侗语名、药用部位、功效）。二是民间资料补充：通过三江县文化馆非遗展厅线上VR展、侗族医药传承人工坊公开访谈视频等渠道，补充了3项传承人临床案例、5则药用植物采集的民间习俗故事，丰富了平台的文化性内容层次。</w:t>
      </w:r>
    </w:p>
    <w:p w14:paraId="7C7CBEBB">
      <w:pPr>
        <w:spacing w:before="180" w:after="60" w:line="360" w:lineRule="auto"/>
        <w:jc w:val="left"/>
        <w:outlineLvl w:val="1"/>
      </w:pPr>
      <w:bookmarkStart w:id="6" w:name="_Toc6085"/>
      <w:r>
        <w:rPr>
          <w:rFonts w:ascii="宋体" w:hAnsi="宋体" w:eastAsia="宋体" w:cs="宋体"/>
          <w:b/>
          <w:bCs/>
          <w:sz w:val="28"/>
          <w:szCs w:val="28"/>
        </w:rPr>
        <w:t>2.3 竞品调研</w:t>
      </w:r>
      <w:bookmarkEnd w:id="6"/>
    </w:p>
    <w:p w14:paraId="7944A827">
      <w:pPr>
        <w:spacing w:line="360" w:lineRule="auto"/>
        <w:ind w:firstLine="480"/>
        <w:jc w:val="both"/>
      </w:pPr>
      <w:r>
        <w:rPr>
          <w:rFonts w:ascii="宋体" w:hAnsi="宋体" w:eastAsia="宋体" w:cs="宋体"/>
          <w:sz w:val="24"/>
          <w:szCs w:val="24"/>
        </w:rPr>
        <w:t>本课题选取了3个同类型非遗展示网站进行竞品分析，分别是“中国非物质文化遗产网”“贵州苗医药数字化平台”和“广西非遗展示馆官网”。通过分析发现，上述平台在非遗数据分类展示方面均具有较好的实践经验，部分平台还增设了多媒体交互模块，有效提升了用户体验。然而，也普遍存在以下不足：一是数据更新不及时，部分内容停留在数年前的版本，时效性较差；二是移动端适配不足，在手机等小屏幕设备上的浏览体验欠佳；三是文化解读较为浅显，缺乏对非遗内涵的深度挖掘与生动呈现。这些分析结果为本课题的功能设计提供了明确的优化方向，即在保持内容专业性的基础上，强化移动端响应式适配、建立内容定期更新机制、深化文化故事的内涵表达。</w:t>
      </w:r>
    </w:p>
    <w:p w14:paraId="0FF44B3B">
      <w:pPr>
        <w:spacing w:before="180" w:after="60" w:line="360" w:lineRule="auto"/>
        <w:jc w:val="left"/>
        <w:outlineLvl w:val="1"/>
      </w:pPr>
      <w:bookmarkStart w:id="7" w:name="_Toc2174"/>
      <w:r>
        <w:rPr>
          <w:rFonts w:ascii="宋体" w:hAnsi="宋体" w:eastAsia="宋体" w:cs="宋体"/>
          <w:b/>
          <w:bCs/>
          <w:sz w:val="28"/>
          <w:szCs w:val="28"/>
        </w:rPr>
        <w:t>2.4 用户调研</w:t>
      </w:r>
      <w:bookmarkEnd w:id="7"/>
    </w:p>
    <w:p w14:paraId="0B4CC5F1">
      <w:pPr>
        <w:spacing w:line="360" w:lineRule="auto"/>
        <w:ind w:firstLine="480"/>
        <w:jc w:val="both"/>
      </w:pPr>
      <w:r>
        <w:rPr>
          <w:rFonts w:ascii="宋体" w:hAnsi="宋体" w:eastAsia="宋体" w:cs="宋体"/>
          <w:sz w:val="24"/>
          <w:szCs w:val="24"/>
        </w:rPr>
        <w:t>本课题将目标用户分为三类：普通公众（以知识查询、文化浏览为主）、医药文化爱好者（以深度药方解析、传承人信息获取为主）和在校学生（以学习素材下载、知识拓展为主）。通过对目标用户的需求分析，明确了各用户群体的核心诉求：普通公众希望页面简洁直观、内容通俗易懂、操作便捷流畅；医药文化爱好者注重信息的深度与专业度，期望获取完整的药方配伍、疗法细节和传承人背景；在校学生侧重于学习资源的可获取性与系统性，希望通过平台获取结构化的学习资料。基于此，平台在功能设计上力求覆盖三类用户的差异化需求，在信息呈现上遵循“由浅入深、分层递进”的原则。</w:t>
      </w:r>
    </w:p>
    <w:p w14:paraId="7E4CB640">
      <w:pPr>
        <w:spacing w:before="180" w:after="60" w:line="360" w:lineRule="auto"/>
        <w:jc w:val="left"/>
        <w:outlineLvl w:val="1"/>
      </w:pPr>
      <w:bookmarkStart w:id="8" w:name="_Toc1829"/>
      <w:r>
        <w:rPr>
          <w:rFonts w:ascii="宋体" w:hAnsi="宋体" w:eastAsia="宋体" w:cs="宋体"/>
          <w:b/>
          <w:bCs/>
          <w:sz w:val="28"/>
          <w:szCs w:val="28"/>
        </w:rPr>
        <w:t>2.5 设计需求综合分析</w:t>
      </w:r>
      <w:bookmarkEnd w:id="8"/>
    </w:p>
    <w:p w14:paraId="7E9314DC">
      <w:pPr>
        <w:spacing w:line="360" w:lineRule="auto"/>
        <w:ind w:firstLine="480"/>
        <w:jc w:val="both"/>
      </w:pPr>
      <w:r>
        <w:rPr>
          <w:rFonts w:ascii="宋体" w:hAnsi="宋体" w:eastAsia="宋体" w:cs="宋体"/>
          <w:sz w:val="24"/>
          <w:szCs w:val="24"/>
        </w:rPr>
        <w:t>基于上述文献调研、数据调研、竞品调研和用户调研的综合分析，本课题形成了明确的设计需求矩阵。在数据层面，需确保12项经典药方、6类核心疗法、8名传承人和15种药用植物的数据完整性、准确性与可追溯性，为平台内容提供权威保障。在功能层面，需覆盖知识检索、分类筛选、图文浏览、视频播放、收藏分享、互动答题、资源下载和数据可视化八大功能类别，同时严格遵循轻量化原则，避免功能冗余。在体验层面，需满足页面加载速度在3秒以内、数据查询响应时间低于0.5秒、兼容Chrome/Firefox/Edge/Safari主流浏览器、移动端适配分辨率不低于720×1280像素等非功能性指标。在视觉层面，需将侗族文化元素与医药主题意象有机融合，构建兼具文化辨识度和现代审美水准的界面体系。</w:t>
      </w:r>
    </w:p>
    <w:p w14:paraId="33BD3738">
      <w:r>
        <w:br w:type="page"/>
      </w:r>
    </w:p>
    <w:p w14:paraId="24D21FFB">
      <w:pPr>
        <w:spacing w:before="240" w:after="120" w:line="360" w:lineRule="auto"/>
        <w:jc w:val="left"/>
        <w:outlineLvl w:val="0"/>
      </w:pPr>
      <w:bookmarkStart w:id="9" w:name="_Toc16101"/>
      <w:r>
        <w:rPr>
          <w:rFonts w:ascii="黑体" w:hAnsi="黑体" w:eastAsia="黑体" w:cs="黑体"/>
          <w:b/>
          <w:bCs/>
          <w:sz w:val="30"/>
          <w:szCs w:val="30"/>
        </w:rPr>
        <w:t>3 设计定位</w:t>
      </w:r>
      <w:bookmarkEnd w:id="9"/>
    </w:p>
    <w:p w14:paraId="6677E508">
      <w:pPr>
        <w:spacing w:before="180" w:after="60" w:line="360" w:lineRule="auto"/>
        <w:jc w:val="left"/>
        <w:outlineLvl w:val="1"/>
      </w:pPr>
      <w:bookmarkStart w:id="10" w:name="_Toc18935"/>
      <w:r>
        <w:rPr>
          <w:rFonts w:ascii="宋体" w:hAnsi="宋体" w:eastAsia="宋体" w:cs="宋体"/>
          <w:b/>
          <w:bCs/>
          <w:sz w:val="28"/>
          <w:szCs w:val="28"/>
        </w:rPr>
        <w:t>3.1 目标定位</w:t>
      </w:r>
      <w:bookmarkEnd w:id="10"/>
    </w:p>
    <w:p w14:paraId="7A22AFEE">
      <w:pPr>
        <w:spacing w:line="360" w:lineRule="auto"/>
        <w:ind w:firstLine="480"/>
        <w:jc w:val="both"/>
      </w:pPr>
      <w:r>
        <w:rPr>
          <w:rFonts w:ascii="宋体" w:hAnsi="宋体" w:eastAsia="宋体" w:cs="宋体"/>
          <w:sz w:val="24"/>
          <w:szCs w:val="24"/>
        </w:rPr>
        <w:t>本平台的设计定位为“非遗传承优先、文化展示为主、实用功能为辅”的轻量化数字展示平台。不同于功能庞杂的大型综合门户网站，本平台聚焦侗乡医药这一小众非遗领域，以核心数据的精准呈现与文化内涵的深度传播为首要目标，在功能设计上坚持“实用功能全覆盖、开发难度可控”的平衡原则，确保本科阶段数字媒体技术专业学生具备充分的技术能力完成全流程开发。</w:t>
      </w:r>
    </w:p>
    <w:p w14:paraId="3F69937C">
      <w:pPr>
        <w:spacing w:before="180" w:after="60" w:line="360" w:lineRule="auto"/>
        <w:jc w:val="left"/>
        <w:outlineLvl w:val="1"/>
      </w:pPr>
      <w:bookmarkStart w:id="11" w:name="_Toc27004"/>
      <w:r>
        <w:rPr>
          <w:rFonts w:ascii="宋体" w:hAnsi="宋体" w:eastAsia="宋体" w:cs="宋体"/>
          <w:b/>
          <w:bCs/>
          <w:sz w:val="28"/>
          <w:szCs w:val="28"/>
        </w:rPr>
        <w:t>3.2 功能定位</w:t>
      </w:r>
      <w:bookmarkEnd w:id="11"/>
    </w:p>
    <w:p w14:paraId="318FA871">
      <w:pPr>
        <w:spacing w:line="360" w:lineRule="auto"/>
        <w:ind w:firstLine="480"/>
        <w:jc w:val="both"/>
      </w:pPr>
      <w:r>
        <w:rPr>
          <w:rFonts w:ascii="宋体" w:hAnsi="宋体" w:eastAsia="宋体" w:cs="宋体"/>
          <w:sz w:val="24"/>
          <w:szCs w:val="24"/>
        </w:rPr>
        <w:t>在功能定位层面，平台围绕“展示+查询+互动+学习”四大核心价值构建功能体系。展示层面：通过知识库、传承人风采、药用资源图鉴三大模块，实现对侗乡医药核心数据的全方位、多维度展示；查询层面：基于三级联动检索体系和关键词模糊搜索功能，满足不同场景下的信息检索需求；互动层面：通过趣味答题、植物识别小游戏和用户评论系统，增强平台的互动性与用户粘性；学习层面：通过分类学习资源下载和数据可视化图表，满足学生群体和研究人员的深度学习需求。整体功能设计严格遵循“轻量化”原则，剔除数据统计分析、用户等级管理等非核心复杂功能，保留知识查询、分类筛选、收藏分享、关键词搜索等高频实用功能。</w:t>
      </w:r>
    </w:p>
    <w:p w14:paraId="4EBB81BE">
      <w:pPr>
        <w:spacing w:before="180" w:after="60" w:line="360" w:lineRule="auto"/>
        <w:jc w:val="left"/>
        <w:outlineLvl w:val="1"/>
      </w:pPr>
      <w:bookmarkStart w:id="12" w:name="_Toc433"/>
      <w:r>
        <w:rPr>
          <w:rFonts w:ascii="宋体" w:hAnsi="宋体" w:eastAsia="宋体" w:cs="宋体"/>
          <w:b/>
          <w:bCs/>
          <w:sz w:val="28"/>
          <w:szCs w:val="28"/>
        </w:rPr>
        <w:t>3.3 视觉定位</w:t>
      </w:r>
      <w:bookmarkEnd w:id="12"/>
    </w:p>
    <w:p w14:paraId="00EF9AEB">
      <w:pPr>
        <w:spacing w:line="360" w:lineRule="auto"/>
        <w:ind w:firstLine="480"/>
        <w:jc w:val="both"/>
      </w:pPr>
      <w:r>
        <w:rPr>
          <w:rFonts w:ascii="宋体" w:hAnsi="宋体" w:eastAsia="宋体" w:cs="宋体"/>
          <w:sz w:val="24"/>
          <w:szCs w:val="24"/>
        </w:rPr>
        <w:t>在视觉定位层面，平台以“侗族文化+医药清新”为核心设计风格，构建了独特的视觉识别体系。主色调选取侗锦中代表性的靛蓝色（#1A5276）与药用植物的草绿色（#28B463），靛蓝色承载侗族深厚的织锦文化底蕴，草绿色传递中医药自然、健康、生命力的品牌意象，两色搭配形成了沉稳而不失活力的色彩基调。在文化元素运用上，将侗锦传统纹样中的“万字纹”与“回纹”作为页面边框装饰元素，以艾草、金银花等常见药用植物的线条形态设计功能图标，首页Banner区域融入侗族鼓楼与药田的插画场景，从视觉层面建立起侗族文化与医药主题的深度关联。在布局设计上，采用响应式布局方案，确保在桌面端、平板端和手机端均能提供优质的浏览体验，移动端优化触控按钮尺寸至44×44像素以上，符合人体工程学标准。</w:t>
      </w:r>
    </w:p>
    <w:p w14:paraId="0902E456">
      <w:pPr>
        <w:spacing w:before="180" w:after="60" w:line="360" w:lineRule="auto"/>
        <w:jc w:val="left"/>
        <w:outlineLvl w:val="1"/>
      </w:pPr>
      <w:bookmarkStart w:id="13" w:name="_Toc27127"/>
      <w:r>
        <w:rPr>
          <w:rFonts w:ascii="宋体" w:hAnsi="宋体" w:eastAsia="宋体" w:cs="宋体"/>
          <w:b/>
          <w:bCs/>
          <w:sz w:val="28"/>
          <w:szCs w:val="28"/>
        </w:rPr>
        <w:t>3.4 技术定位</w:t>
      </w:r>
      <w:bookmarkEnd w:id="13"/>
    </w:p>
    <w:p w14:paraId="76D1E4A2">
      <w:pPr>
        <w:spacing w:line="360" w:lineRule="auto"/>
        <w:ind w:firstLine="480"/>
        <w:jc w:val="both"/>
      </w:pPr>
      <w:r>
        <w:rPr>
          <w:rFonts w:ascii="宋体" w:hAnsi="宋体" w:eastAsia="宋体" w:cs="宋体"/>
          <w:sz w:val="24"/>
          <w:szCs w:val="24"/>
        </w:rPr>
        <w:t>在技术定位层面，本平台坚持“轻量化、标准化、可维护性”三项核心技术原则。轻量化原则体现在技术选型上：前端使用Vite替代Webpack以获得更快的开发构建速度，后端采用Spring Boot 3的自动配置机制减少样板代码，数据库仅使用MySQL单库方案避免分布式数据库的复杂性，整体架构剔除了服务注册中心、配置中心、API网关等重型中间件依赖。标准化原则体现在接口设计上：所有前后端交互接口严格遵循RESTful API设计规范，使用标准的HTTP方法（GET/POST/PUT/DELETE）表达操作语义，响应数据统一封装为包含code、msg和data字段的标准JSON结构，确保接口的可读性与一致性。可维护性原则体现在代码组织上：前端采用组件化开发模式，将页面拆分为可复用的独立组件，每个组件职责单一、边界清晰；后端采用分层架构，各层之间通过接口解耦，便于后续功能扩展与代码维护。</w:t>
      </w:r>
    </w:p>
    <w:p w14:paraId="12D628DF">
      <w:r>
        <w:br w:type="page"/>
      </w:r>
    </w:p>
    <w:p w14:paraId="511217A2">
      <w:pPr>
        <w:spacing w:before="240" w:after="120" w:line="360" w:lineRule="auto"/>
        <w:jc w:val="left"/>
        <w:outlineLvl w:val="0"/>
      </w:pPr>
      <w:bookmarkStart w:id="14" w:name="_Toc7907"/>
      <w:r>
        <w:rPr>
          <w:rFonts w:ascii="黑体" w:hAnsi="黑体" w:eastAsia="黑体" w:cs="黑体"/>
          <w:b/>
          <w:bCs/>
          <w:sz w:val="30"/>
          <w:szCs w:val="30"/>
        </w:rPr>
        <w:t>4 设计过程</w:t>
      </w:r>
      <w:bookmarkEnd w:id="14"/>
    </w:p>
    <w:p w14:paraId="4ED8F1DE">
      <w:pPr>
        <w:spacing w:before="180" w:after="60" w:line="360" w:lineRule="auto"/>
        <w:jc w:val="left"/>
        <w:outlineLvl w:val="1"/>
      </w:pPr>
      <w:bookmarkStart w:id="15" w:name="_Toc30096"/>
      <w:r>
        <w:rPr>
          <w:rFonts w:ascii="宋体" w:hAnsi="宋体" w:eastAsia="宋体" w:cs="宋体"/>
          <w:b/>
          <w:bCs/>
          <w:sz w:val="28"/>
          <w:szCs w:val="28"/>
        </w:rPr>
        <w:t>4.1 系统架构设计</w:t>
      </w:r>
      <w:bookmarkEnd w:id="15"/>
    </w:p>
    <w:p w14:paraId="7C99EE78">
      <w:pPr>
        <w:spacing w:line="360" w:lineRule="auto"/>
        <w:ind w:firstLine="480"/>
        <w:jc w:val="both"/>
      </w:pPr>
      <w:r>
        <w:rPr>
          <w:rFonts w:ascii="宋体" w:hAnsi="宋体" w:eastAsia="宋体" w:cs="宋体"/>
          <w:sz w:val="24"/>
          <w:szCs w:val="24"/>
        </w:rPr>
        <w:t>本平台采用经典的前后端分离架构，前端与后端通过RESTful API进行数据交互，两者在技术栈、开发流程和部署环节上完全解耦，各自独立开发、独立构建、独立部署。前端基于Vite构建工具搭建Vue 3项目框架，通过Vue Router实现SPA（单页应用）路由管理，使用Axios进行HTTP请求封装，借助Pinia实现全局状态管理；视觉层采用Element Plus UI组件库提供一致性的交互体验，数据可视化层使用ECharts 5实现图表的动态渲染。后端基于Spring Boot 3框架构建，通过MyBatis-Plus实现数据库的对象关系映射与高效操作，使用Sa-Token完成用户认证与权限管理，利用Redis实现缓存加速与会话管理，引入RabbitMQ消息队列处理异步任务。数据库采用MySQL 8.0，为高频查询字段建立索引以确保查询效率。整个系统通过Docker容器化部署，使用Docker Compose进行多服务编排管理。</w:t>
      </w:r>
    </w:p>
    <w:p w14:paraId="2E82EF54">
      <w:pPr>
        <w:spacing w:line="360" w:lineRule="auto"/>
        <w:ind w:firstLine="480"/>
        <w:jc w:val="both"/>
      </w:pPr>
      <w:r>
        <w:rPr>
          <w:rFonts w:ascii="宋体" w:hAnsi="宋体" w:eastAsia="宋体" w:cs="宋体"/>
          <w:sz w:val="24"/>
          <w:szCs w:val="24"/>
        </w:rPr>
        <w:t>前端请求经过Nginx反向代理后到达后端API接口，后端从MySQL数据库查询数据后返回标准化的JSON格式响应。文件上传采用分片上传策略，上传文件存储于服务器本地public目录，大文件预览借助kkFileView实现。用户认证基于JWT（JSON Web Token）无状态令牌机制，登录成功后由后端签发令牌，前端将令牌存储于localStorage并在后续请求中通过Authorization请求头携带，后端中间件自动校验令牌的有效性与权限。</w:t>
      </w:r>
    </w:p>
    <w:p w14:paraId="6D807A05">
      <w:pPr>
        <w:spacing w:before="180" w:after="60" w:line="360" w:lineRule="auto"/>
        <w:jc w:val="left"/>
        <w:outlineLvl w:val="1"/>
      </w:pPr>
      <w:bookmarkStart w:id="16" w:name="_Toc5417"/>
      <w:r>
        <w:rPr>
          <w:rFonts w:ascii="宋体" w:hAnsi="宋体" w:eastAsia="宋体" w:cs="宋体"/>
          <w:b/>
          <w:bCs/>
          <w:sz w:val="28"/>
          <w:szCs w:val="28"/>
        </w:rPr>
        <w:t>4.2 功能模块设计</w:t>
      </w:r>
      <w:bookmarkEnd w:id="16"/>
    </w:p>
    <w:p w14:paraId="6EE04CBD">
      <w:pPr>
        <w:spacing w:before="120" w:after="60" w:line="360" w:lineRule="auto"/>
        <w:jc w:val="left"/>
        <w:outlineLvl w:val="2"/>
      </w:pPr>
      <w:bookmarkStart w:id="17" w:name="_Toc32689"/>
      <w:r>
        <w:rPr>
          <w:rFonts w:ascii="宋体" w:hAnsi="宋体" w:eastAsia="宋体" w:cs="宋体"/>
          <w:b/>
          <w:bCs/>
          <w:sz w:val="24"/>
          <w:szCs w:val="24"/>
        </w:rPr>
        <w:t>4.2.1 非遗医药知识库模块</w:t>
      </w:r>
      <w:bookmarkEnd w:id="17"/>
    </w:p>
    <w:p w14:paraId="2646AFE1">
      <w:pPr>
        <w:spacing w:line="360" w:lineRule="auto"/>
        <w:ind w:firstLine="480"/>
        <w:jc w:val="both"/>
      </w:pPr>
      <w:r>
        <w:rPr>
          <w:rFonts w:ascii="宋体" w:hAnsi="宋体" w:eastAsia="宋体" w:cs="宋体"/>
          <w:sz w:val="24"/>
          <w:szCs w:val="24"/>
        </w:rPr>
        <w:t>非遗医药知识库是本平台最核心的内容展示模块。在设计初期，团队围绕“如何让用户快速定位所需知识”这一核心问题展开了多轮方案讨论。初期方案设想采用单一维度的分类检索方式，但通过用户需求分析和与指导教师的交流，发现单一维度难以满足不同背景用户的检索习惯。最终确定了“疗法分类+病症分类+药材分类”三级联动检索体系：疗法分类涵盖鼻炎疗法、药浴疗法、百草汤烹制、侗药浸泡、跌打损伤疗法、虫茶调理法共6类核心疗法；病症分类覆盖呼吸道疾病、跌打损伤、消化系统等常见病症类型；药材分类按草本/木本等植物学特征划分。用户可根据实际需求选择任意检索路径，也可组合多级条件进行精准筛选。</w:t>
      </w:r>
    </w:p>
    <w:p w14:paraId="19371174">
      <w:pPr>
        <w:spacing w:line="360" w:lineRule="auto"/>
        <w:ind w:firstLine="480"/>
        <w:jc w:val="both"/>
      </w:pPr>
      <w:r>
        <w:rPr>
          <w:rFonts w:ascii="宋体" w:hAnsi="宋体" w:eastAsia="宋体" w:cs="宋体"/>
          <w:sz w:val="24"/>
          <w:szCs w:val="24"/>
        </w:rPr>
        <w:t>知识详情页的设计遵循“信息层次递进”原则，将内容组织为四个子板块：文字解析板块呈现配方组成、适用病症、使用禁忌等核心信息；步骤示意图板块通过关键操作节点的可视化呈现辅助用户理解；操作视频板块提供3至8分钟的精简视频内容，支持倍速播放与暂停截图功能；相关药材关联板块允许用户直接跳转至药用资源图鉴对应条目，实现知识的横向关联。此外，每条知识条目均配备知识更新日志，记录首次上线时间、修订版本及修订原因，保障信息的时效性与可追溯性。</w:t>
      </w:r>
    </w:p>
    <w:p w14:paraId="0B060D98">
      <w:pPr>
        <w:spacing w:before="120" w:after="60" w:line="360" w:lineRule="auto"/>
        <w:jc w:val="left"/>
        <w:outlineLvl w:val="2"/>
      </w:pPr>
      <w:bookmarkStart w:id="18" w:name="_Toc1938"/>
      <w:r>
        <w:rPr>
          <w:rFonts w:ascii="宋体" w:hAnsi="宋体" w:eastAsia="宋体" w:cs="宋体"/>
          <w:b/>
          <w:bCs/>
          <w:sz w:val="24"/>
          <w:szCs w:val="24"/>
        </w:rPr>
        <w:t>4.2.2 传承人风采模块</w:t>
      </w:r>
      <w:bookmarkEnd w:id="18"/>
    </w:p>
    <w:p w14:paraId="2B7D4CCB">
      <w:pPr>
        <w:spacing w:line="360" w:lineRule="auto"/>
        <w:ind w:firstLine="480"/>
        <w:jc w:val="both"/>
      </w:pPr>
      <w:r>
        <w:rPr>
          <w:rFonts w:ascii="宋体" w:hAnsi="宋体" w:eastAsia="宋体" w:cs="宋体"/>
          <w:sz w:val="24"/>
          <w:szCs w:val="24"/>
        </w:rPr>
        <w:t>传承人是非遗活态传承的核心载体。本模块按“国家级/自治区级/县级”三级体系分类展示8名代表性传承人信息，采用卡片式布局呈现姓名、传承级别、核心技艺、从业年限等关键信息。个人详情页集成了从业履历（含入门时间、师从关系、重要从业节点）、技艺特色（核心擅长领域、独特诊疗手法描述）、代表案例（2至3个典型临床案例）、访谈视频和荣誉资质五大核心板块。为便于后续内容迭代，模块预留了传承人动态更新入口，管理员可通过后台快速上传传承人的最新活动、技艺传承成果及新增案例等内容。</w:t>
      </w:r>
    </w:p>
    <w:p w14:paraId="6D4BA924">
      <w:pPr>
        <w:spacing w:line="360" w:lineRule="auto"/>
        <w:ind w:firstLine="480"/>
        <w:jc w:val="both"/>
      </w:pPr>
      <w:r>
        <w:rPr>
          <w:rFonts w:ascii="宋体" w:hAnsi="宋体" w:eastAsia="宋体" w:cs="宋体"/>
          <w:sz w:val="24"/>
          <w:szCs w:val="24"/>
        </w:rPr>
        <w:t>在视觉呈现上，传承人卡片采用了大尺寸头像与渐变底色的组合设计，国家级传承人卡片配有金色边框装饰，以体现其特殊地位。卡片悬停时呈现微妙的缩放与阴影变化效果，提升交互的质感。详情页采用左右分栏布局，左侧展示传承人照片和基本信息，右侧以标签页形式组织从业履历、技艺特色、代表案例等详细内容，信息组织清晰有序。</w:t>
      </w:r>
    </w:p>
    <w:p w14:paraId="2A3C1298">
      <w:pPr>
        <w:spacing w:before="120" w:after="60" w:line="360" w:lineRule="auto"/>
        <w:jc w:val="left"/>
        <w:outlineLvl w:val="2"/>
      </w:pPr>
      <w:bookmarkStart w:id="19" w:name="_Toc28467"/>
      <w:r>
        <w:rPr>
          <w:rFonts w:ascii="宋体" w:hAnsi="宋体" w:eastAsia="宋体" w:cs="宋体"/>
          <w:b/>
          <w:bCs/>
          <w:sz w:val="24"/>
          <w:szCs w:val="24"/>
        </w:rPr>
        <w:t>4.2.3 药用资源图鉴模块</w:t>
      </w:r>
      <w:bookmarkEnd w:id="19"/>
    </w:p>
    <w:p w14:paraId="2C9F9086">
      <w:pPr>
        <w:spacing w:line="360" w:lineRule="auto"/>
        <w:ind w:firstLine="480"/>
        <w:jc w:val="both"/>
      </w:pPr>
      <w:r>
        <w:rPr>
          <w:rFonts w:ascii="宋体" w:hAnsi="宋体" w:eastAsia="宋体" w:cs="宋体"/>
          <w:sz w:val="24"/>
          <w:szCs w:val="24"/>
        </w:rPr>
        <w:t>药用资源图鉴模块是侗族植物药知识的核心展示窗口。本模块搭建了“植物类型（草本/木本）”与“使用方式（外用/内服）”双维度筛选体系，用户可进行单一维度筛选或组合筛选，筛选结果实时加载更新。每种药用植物条目包含标准化展示内容：高清实拍图（含整体植株与药用部位特写图各1至2张）、基础信息（学名、侗语名、科属、药用部位）、生长环境（气候要求、地理分布区域）、药用价值（核心功效、配伍应用场景）和药用故事（民间采集习俗、传承中的趣味典故）。浏览体验采用图文联动设计，点击图片可放大查看细节，支持左右滑动切换图鉴条目。</w:t>
      </w:r>
    </w:p>
    <w:p w14:paraId="430A3822">
      <w:pPr>
        <w:spacing w:line="360" w:lineRule="auto"/>
        <w:ind w:firstLine="480"/>
        <w:jc w:val="both"/>
      </w:pPr>
      <w:r>
        <w:rPr>
          <w:rFonts w:ascii="宋体" w:hAnsi="宋体" w:eastAsia="宋体" w:cs="宋体"/>
          <w:sz w:val="24"/>
          <w:szCs w:val="24"/>
        </w:rPr>
        <w:t>在实现过程中，团队特别关注了植物的侗语名采集与标注工作。侗语名称承载着珍贵的民族语言文化信息，是侗族人民对本地植物资源的独特认知与命名智慧的体现。通过参考杨正瑛、戴红亮（2025）关于侗语药用植物命名的研究成果，确保侗语名称的学术准确性和文化真实性。</w:t>
      </w:r>
    </w:p>
    <w:p w14:paraId="0020AC82">
      <w:pPr>
        <w:spacing w:before="120" w:after="60" w:line="360" w:lineRule="auto"/>
        <w:jc w:val="left"/>
        <w:outlineLvl w:val="2"/>
      </w:pPr>
      <w:bookmarkStart w:id="20" w:name="_Toc31094"/>
      <w:r>
        <w:rPr>
          <w:rFonts w:ascii="宋体" w:hAnsi="宋体" w:eastAsia="宋体" w:cs="宋体"/>
          <w:b/>
          <w:bCs/>
          <w:sz w:val="24"/>
          <w:szCs w:val="24"/>
        </w:rPr>
        <w:t>4.2.4 非遗医药问题解答模块</w:t>
      </w:r>
      <w:bookmarkEnd w:id="20"/>
    </w:p>
    <w:p w14:paraId="5063FDE9">
      <w:pPr>
        <w:spacing w:line="360" w:lineRule="auto"/>
        <w:ind w:firstLine="480"/>
        <w:jc w:val="both"/>
      </w:pPr>
      <w:r>
        <w:rPr>
          <w:rFonts w:ascii="宋体" w:hAnsi="宋体" w:eastAsia="宋体" w:cs="宋体"/>
          <w:sz w:val="24"/>
          <w:szCs w:val="24"/>
        </w:rPr>
        <w:t>本模块按“知识理解”“使用咨询”“文化背景”三大类别整理问答内容。知识理解类侧重于药方原理、疗法适用范围等深层知识的解析；使用咨询类聚焦药材获取途径、操作注意事项等实用信息；文化背景类涵盖医药起源、传承历史等文化性内容。在搜索功能方面，开发了基于SQL LIKE语句的关键词模糊搜索功能，用户输入关键词后实时匹配相关问题并展示匹配度排序结果。同时增设了用户问题反馈表单，表单包含问题分类、问题描述和联系方式（可选）字段，后台可接收并处理用户提交的新问题，为后续内容迭代提供依据。</w:t>
      </w:r>
    </w:p>
    <w:p w14:paraId="1E897652">
      <w:pPr>
        <w:spacing w:before="120" w:after="60" w:line="360" w:lineRule="auto"/>
        <w:jc w:val="left"/>
        <w:outlineLvl w:val="2"/>
      </w:pPr>
      <w:bookmarkStart w:id="21" w:name="_Toc6759"/>
      <w:r>
        <w:rPr>
          <w:rFonts w:ascii="宋体" w:hAnsi="宋体" w:eastAsia="宋体" w:cs="宋体"/>
          <w:b/>
          <w:bCs/>
          <w:sz w:val="24"/>
          <w:szCs w:val="24"/>
        </w:rPr>
        <w:t>4.2.5 文化互动专区模块</w:t>
      </w:r>
      <w:bookmarkEnd w:id="21"/>
    </w:p>
    <w:p w14:paraId="3D1E7C88">
      <w:pPr>
        <w:spacing w:line="360" w:lineRule="auto"/>
        <w:ind w:firstLine="480"/>
        <w:jc w:val="both"/>
      </w:pPr>
      <w:r>
        <w:rPr>
          <w:rFonts w:ascii="宋体" w:hAnsi="宋体" w:eastAsia="宋体" w:cs="宋体"/>
          <w:sz w:val="24"/>
          <w:szCs w:val="24"/>
        </w:rPr>
        <w:t>本模块设置了侗乡非遗医药知识趣味答题和药用植物识别小游戏两大轻度互动功能。趣味答题系统包含50道基础题（侧重医药基础知识与文化常识）和20道进阶题（侧重深度知识与案例分析），支持随机组卷模式（每次10题，基础题7道加进阶题3道），答题结束后即时显示分数、错题解析与正确答案。药用植物识别小游戏提供15种药用植物的高清局部图或特征图，用户需从4个选项中选择正确名称，游戏设置初级（3种植物）、中级（5种植物）和高级（7种植物）三个难度等级，完成游戏后可获得电子勋章并支持分享至社交平台。此外，模块还搭建了用户评论系统，在知识库详情页、传承人风采页和图鉴页均设有评论区，用户登录后可发布留言，支持点赞、回复和举报功能，所有评论需经过管理员审核后方可显示。</w:t>
      </w:r>
    </w:p>
    <w:p w14:paraId="4B28171C">
      <w:pPr>
        <w:spacing w:before="120" w:after="60" w:line="360" w:lineRule="auto"/>
        <w:jc w:val="left"/>
        <w:outlineLvl w:val="2"/>
      </w:pPr>
      <w:bookmarkStart w:id="22" w:name="_Toc11990"/>
      <w:r>
        <w:rPr>
          <w:rFonts w:ascii="宋体" w:hAnsi="宋体" w:eastAsia="宋体" w:cs="宋体"/>
          <w:b/>
          <w:bCs/>
          <w:sz w:val="24"/>
          <w:szCs w:val="24"/>
        </w:rPr>
        <w:t>4.2.6 学习资源下载模块</w:t>
      </w:r>
      <w:bookmarkEnd w:id="22"/>
    </w:p>
    <w:p w14:paraId="01F972FD">
      <w:pPr>
        <w:spacing w:line="360" w:lineRule="auto"/>
        <w:ind w:firstLine="480"/>
        <w:jc w:val="both"/>
      </w:pPr>
      <w:r>
        <w:rPr>
          <w:rFonts w:ascii="宋体" w:hAnsi="宋体" w:eastAsia="宋体" w:cs="宋体"/>
          <w:sz w:val="24"/>
          <w:szCs w:val="24"/>
        </w:rPr>
        <w:t>本模块整合了侗乡非遗医药相关的学术论文摘要、科普手册、药方图解等学习素材，按“入门/进阶/专业”三级分类整理，总量超过30份。所有素材均提供PDF格式下载服务，文件大小控制在10MB以内以保证下载速度，部分重要素材支持在线预览（前3页）。辅助功能方面，提供资源名称和关键词搜索、资源下载量与收藏量展示、热门资源推荐以及资源更新订阅提醒等功能，满足学生群体和医药爱好者的学习拓展需求。</w:t>
      </w:r>
    </w:p>
    <w:p w14:paraId="3ECAC175">
      <w:pPr>
        <w:spacing w:before="120" w:after="60" w:line="360" w:lineRule="auto"/>
        <w:jc w:val="left"/>
        <w:outlineLvl w:val="2"/>
      </w:pPr>
      <w:bookmarkStart w:id="23" w:name="_Toc10362"/>
      <w:r>
        <w:rPr>
          <w:rFonts w:ascii="宋体" w:hAnsi="宋体" w:eastAsia="宋体" w:cs="宋体"/>
          <w:b/>
          <w:bCs/>
          <w:sz w:val="24"/>
          <w:szCs w:val="24"/>
        </w:rPr>
        <w:t>4.2.7 数据可视化模块</w:t>
      </w:r>
      <w:bookmarkEnd w:id="23"/>
    </w:p>
    <w:p w14:paraId="57139A02">
      <w:pPr>
        <w:spacing w:line="360" w:lineRule="auto"/>
        <w:ind w:firstLine="480"/>
        <w:jc w:val="both"/>
      </w:pPr>
      <w:r>
        <w:rPr>
          <w:rFonts w:ascii="宋体" w:hAnsi="宋体" w:eastAsia="宋体" w:cs="宋体"/>
          <w:sz w:val="24"/>
          <w:szCs w:val="24"/>
        </w:rPr>
        <w:t>数据可视化模块基于ECharts 5图表库开发，通过柱状图和热力图直观呈现药用植物地域分布与药方使用频次等数据。药用植物地域分布以三江侗族自治县地图为基础，用热力图标记展示15种药用植物的主要分布区域；药方使用频次以柱状图展示12项经典药方的使用数据，支持按年度/季度筛选和柱状图/折线图切换。管理员可通过后台上传最新统计数据，图表实时同步更新。同时提供Excel格式数据导出功能，满足学生和研究人员的分析需求。</w:t>
      </w:r>
    </w:p>
    <w:p w14:paraId="1CE4B9F2">
      <w:pPr>
        <w:spacing w:before="180" w:after="60" w:line="360" w:lineRule="auto"/>
        <w:jc w:val="left"/>
        <w:outlineLvl w:val="1"/>
      </w:pPr>
      <w:bookmarkStart w:id="24" w:name="_Toc168"/>
      <w:r>
        <w:rPr>
          <w:rFonts w:ascii="宋体" w:hAnsi="宋体" w:eastAsia="宋体" w:cs="宋体"/>
          <w:b/>
          <w:bCs/>
          <w:sz w:val="28"/>
          <w:szCs w:val="28"/>
        </w:rPr>
        <w:t>4.3 前端开发</w:t>
      </w:r>
      <w:bookmarkEnd w:id="24"/>
    </w:p>
    <w:p w14:paraId="17419873">
      <w:pPr>
        <w:spacing w:line="360" w:lineRule="auto"/>
        <w:ind w:firstLine="480"/>
        <w:jc w:val="both"/>
      </w:pPr>
      <w:r>
        <w:rPr>
          <w:rFonts w:ascii="宋体" w:hAnsi="宋体" w:eastAsia="宋体" w:cs="宋体"/>
          <w:sz w:val="24"/>
          <w:szCs w:val="24"/>
        </w:rPr>
        <w:t>前端开发严格遵循现代Web开发规范，以HTML5语义化标签构建页面骨架结构，结合CSS3 Flex布局和Grid网格布局实现响应式页面适配。JavaScript结合Vue 3组合式API（Composition API）开发交互逻辑，通过ref、reactive、computed等响应式API管理组件状态，利用watch和watchEffect侦听数据变化并触发副作用操作。引入Element Plus组件库提升开发效率与界面一致性，使用el-table实现数据表格展示，el-form实现表单数据采集与验证，el-dialog实现弹窗信息展示与交互。视频播放集成Video.js插件，支持倍速播放、全屏切换和暂停截图。用户收藏功能基于后端Favorite表实现持久化存储，前端通过Pinia状态管理实时同步收藏状态。</w:t>
      </w:r>
    </w:p>
    <w:p w14:paraId="1DED1FA5">
      <w:pPr>
        <w:spacing w:line="360" w:lineRule="auto"/>
        <w:ind w:firstLine="480"/>
        <w:jc w:val="both"/>
      </w:pPr>
      <w:r>
        <w:rPr>
          <w:rFonts w:ascii="宋体" w:hAnsi="宋体" w:eastAsia="宋体" w:cs="宋体"/>
          <w:sz w:val="24"/>
          <w:szCs w:val="24"/>
        </w:rPr>
        <w:t>在安全性设计方面，前端采取了多项防护措施。对于用户输入内容，使用DOMPurify库进行HTML净化处理，防止XSS（跨站脚本攻击）注入恶意代码。对于富文本内容（如Markdown格式的知识条目），使用marked库进行安全渲染，配置了sanitize选项以过滤潜在危险标签。API请求层面，所有写操作（POST/PUT/DELETE）均要求携带有效的JWT令牌，令牌在请求拦截器中自动附加到Authorization请求头中。此外，前端实现了基于路由守卫的权限控制，未登录用户访问需认证页面时自动重定向至首页并提示登录，非管理员用户访问后台管理页面时拒绝访问并返回首页提示无权限。这些安全措施共同构成了前端的多层安全防护体系。</w:t>
      </w:r>
    </w:p>
    <w:p w14:paraId="60B6F52E">
      <w:pPr>
        <w:spacing w:before="180" w:after="60" w:line="360" w:lineRule="auto"/>
        <w:jc w:val="left"/>
        <w:outlineLvl w:val="1"/>
      </w:pPr>
      <w:bookmarkStart w:id="25" w:name="_Toc11004"/>
      <w:r>
        <w:rPr>
          <w:rFonts w:ascii="宋体" w:hAnsi="宋体" w:eastAsia="宋体" w:cs="宋体"/>
          <w:b/>
          <w:bCs/>
          <w:sz w:val="28"/>
          <w:szCs w:val="28"/>
        </w:rPr>
        <w:t>4.4 后端开发</w:t>
      </w:r>
      <w:bookmarkEnd w:id="25"/>
    </w:p>
    <w:p w14:paraId="59ABFDE9">
      <w:pPr>
        <w:spacing w:line="360" w:lineRule="auto"/>
        <w:ind w:firstLine="480"/>
        <w:jc w:val="both"/>
      </w:pPr>
      <w:r>
        <w:rPr>
          <w:rFonts w:ascii="宋体" w:hAnsi="宋体" w:eastAsia="宋体" w:cs="宋体"/>
          <w:sz w:val="24"/>
          <w:szCs w:val="24"/>
        </w:rPr>
        <w:t>后端基于Java 17编程语言与Spring Boot 3框架开发，采用分层架构设计模式，划分为Controller（控制器层）、Service（业务逻辑层）、Mapper（数据访问层）和Entity（实体层）四个层级。Controller层负责接收HTTP请求、参数校验与响应封装，所有接口统一返回标准化的R类JSON格式数据。Service层封装核心业务逻辑，包括数据查询、列表分页、详情返回、用户行为记录、搜索匹配等功能。Mapper层基于MyBatis-Plus框架实现数据库的高效交互，通过LambdaQueryWrapper构建类型安全的动态查询条件。Entity层使用Lombok注解简化实体类代码，继承BaseEntity复用通用的创建时间、更新时间等审计字段。系统集成了Sa-Token权限认证框架，实现基于JWT的用户登录认证与基于角色的访问控制（RBAC），区分普通用户和管理员两种角色。</w:t>
      </w:r>
    </w:p>
    <w:p w14:paraId="7F666B39">
      <w:pPr>
        <w:spacing w:line="360" w:lineRule="auto"/>
        <w:ind w:firstLine="480"/>
        <w:jc w:val="both"/>
      </w:pPr>
      <w:r>
        <w:rPr>
          <w:rFonts w:ascii="宋体" w:hAnsi="宋体" w:eastAsia="宋体" w:cs="宋体"/>
          <w:sz w:val="24"/>
          <w:szCs w:val="24"/>
        </w:rPr>
        <w:t>在性能优化方面，后端采取了缓存预热、连接池管理和异步处理等多项优化策略。对于高频访问且数据变动不频繁的知识库列表和传承人卡片信息，使用Spring Cache结合Redis进行二级缓存，首次查询后将结果写入Redis缓存，后续相同查询直接从缓存读取，大幅降低了数据库查询负载。数据库连接池采用HikariCP，配置了最小空闲连接数、最大连接数和连接超时时间等参数，确保高并发场景下的连接可用性。对于文件处理、操作日志记录和统计数据更新等耗时操作，通过RabbitMQ消息队列进行异步处理，避免同步执行导致接口响应延迟。此外，系统还实现了接口限流功能，通过自定义@RateLimit注解和AOP切面，对登录、注册等敏感接口进行访问频率控制，防止恶意暴力破解。</w:t>
      </w:r>
    </w:p>
    <w:p w14:paraId="6D58C246">
      <w:pPr>
        <w:spacing w:before="180" w:after="60" w:line="360" w:lineRule="auto"/>
        <w:jc w:val="left"/>
        <w:outlineLvl w:val="1"/>
      </w:pPr>
      <w:bookmarkStart w:id="26" w:name="_Toc19666"/>
      <w:r>
        <w:rPr>
          <w:rFonts w:ascii="宋体" w:hAnsi="宋体" w:eastAsia="宋体" w:cs="宋体"/>
          <w:b/>
          <w:bCs/>
          <w:sz w:val="28"/>
          <w:szCs w:val="28"/>
        </w:rPr>
        <w:t>4.5 数据库设计</w:t>
      </w:r>
      <w:bookmarkEnd w:id="26"/>
    </w:p>
    <w:p w14:paraId="1DC733F6">
      <w:pPr>
        <w:spacing w:line="360" w:lineRule="auto"/>
        <w:ind w:firstLine="480"/>
        <w:jc w:val="both"/>
      </w:pPr>
      <w:r>
        <w:rPr>
          <w:rFonts w:ascii="宋体" w:hAnsi="宋体" w:eastAsia="宋体" w:cs="宋体"/>
          <w:sz w:val="24"/>
          <w:szCs w:val="24"/>
        </w:rPr>
        <w:t>数据库基于MySQL 8.0设计，共创建了14张核心数据表：comments（评论表）用于存储用户对各模块内容的评论与回复，favorites（收藏表）用于管理用户的收藏记录，feedback（反馈表）用于收集和处理用户反馈意见，inheritors（传承人表）存储传承人基本信息与详细资料，knowledge（知识库表）存储药方与疗法的完整内容，operation_log（操作日志表）记录系统操作审计日志，plants（药用植物表）存储药用植物的图鉴信息，plant_game_records（植物游戏记录表）存储用户的游戏记录，qa（问答表）存储问答内容与分类信息，quiz_questions（题目表）存储趣味答题题库，quiz_records（答题记录表）存储用户答题历史，resources（学习资源表）存储可下载的学习素材，users（用户表）存储用户账户与权限信息。各表之间通过外键和联合索引建立了合理的关联关系，为高频查询字段（如name、keywords、category）建立了数据库索引，确保数据查询的高效性。数据库初始化通过dong_medicine.sql脚本自动完成建表与初始数据填充。</w:t>
      </w:r>
    </w:p>
    <w:p w14:paraId="5D67C9CD">
      <w:pPr>
        <w:spacing w:line="360" w:lineRule="auto"/>
        <w:ind w:firstLine="480"/>
        <w:jc w:val="both"/>
      </w:pPr>
      <w:r>
        <w:rPr>
          <w:rFonts w:ascii="宋体" w:hAnsi="宋体" w:eastAsia="宋体" w:cs="宋体"/>
          <w:sz w:val="24"/>
          <w:szCs w:val="24"/>
        </w:rPr>
        <w:t>以药用植物表（plants）为例，其表结构包含中文名称（name_cn）、侗语名称（name_dong）、拉丁学名（scientific_name）、分类类别（category）、使用方式（usage_way）、生长环境（habitat）、功效描述（efficacy）、文化故事（story）、图片资源路径（images）、视频资源路径（videos）、文档资源路径（documents）、地理分布（distribution）、更新日志（update_log）、浏览计数（view_count）、收藏计数（favorite_count）和热度值（popularity）等字段，完整覆盖了任务书中对药用植物图鉴内容展示的全部要求。</w:t>
      </w:r>
    </w:p>
    <w:p w14:paraId="62F2B07E">
      <w:r>
        <w:br w:type="page"/>
      </w:r>
    </w:p>
    <w:p w14:paraId="52163D6E">
      <w:pPr>
        <w:spacing w:before="240" w:after="120" w:line="360" w:lineRule="auto"/>
        <w:jc w:val="left"/>
        <w:outlineLvl w:val="0"/>
      </w:pPr>
      <w:bookmarkStart w:id="27" w:name="_Toc6285"/>
      <w:r>
        <w:rPr>
          <w:rFonts w:ascii="黑体" w:hAnsi="黑体" w:eastAsia="黑体" w:cs="黑体"/>
          <w:b/>
          <w:bCs/>
          <w:sz w:val="30"/>
          <w:szCs w:val="30"/>
        </w:rPr>
        <w:t>5 设计成果</w:t>
      </w:r>
      <w:bookmarkEnd w:id="27"/>
    </w:p>
    <w:p w14:paraId="7D9D17AB">
      <w:pPr>
        <w:spacing w:before="180" w:after="60" w:line="360" w:lineRule="auto"/>
        <w:jc w:val="left"/>
        <w:outlineLvl w:val="1"/>
      </w:pPr>
      <w:bookmarkStart w:id="28" w:name="_Toc9878"/>
      <w:r>
        <w:rPr>
          <w:rFonts w:ascii="宋体" w:hAnsi="宋体" w:eastAsia="宋体" w:cs="宋体"/>
          <w:b/>
          <w:bCs/>
          <w:sz w:val="28"/>
          <w:szCs w:val="28"/>
        </w:rPr>
        <w:t>5.1 平台首页</w:t>
      </w:r>
      <w:bookmarkEnd w:id="28"/>
    </w:p>
    <w:p w14:paraId="1E89EE5D">
      <w:pPr>
        <w:spacing w:line="360" w:lineRule="auto"/>
        <w:ind w:firstLine="480"/>
        <w:jc w:val="both"/>
      </w:pPr>
      <w:r>
        <w:rPr>
          <w:rFonts w:ascii="宋体" w:hAnsi="宋体" w:eastAsia="宋体" w:cs="宋体"/>
          <w:sz w:val="24"/>
          <w:szCs w:val="24"/>
        </w:rPr>
        <w:t>平台首页是用户进入系统的第一个视觉接触点。页面顶部为全宽Banner轮播区域，融合了侗族鼓楼建筑剪影、药田自然景观和侗医药主题标语，营造出浓郁的侗族文化氛围。Banner下方依次展示了四大核心功能模块的快捷入口卡片，以图标加文字的形式引导用户快速导航。中部主体区域展示热门知识推荐、传承人风采速览和特色药材展示三个内容区块，每个区块采用卡片网格布局，呈现核心信息的摘要预览。底部为平台数据统计栏，展示知识条目总数、传承人数量、药材种类等关键数据指标，增强平台的专业可信度。</w:t>
      </w:r>
    </w:p>
    <w:p w14:paraId="4A27A3C3">
      <w:pPr>
        <w:spacing w:before="180" w:after="60" w:line="360" w:lineRule="auto"/>
        <w:jc w:val="left"/>
        <w:outlineLvl w:val="1"/>
      </w:pPr>
      <w:bookmarkStart w:id="29" w:name="_Toc23035"/>
      <w:r>
        <w:rPr>
          <w:rFonts w:ascii="宋体" w:hAnsi="宋体" w:eastAsia="宋体" w:cs="宋体"/>
          <w:b/>
          <w:bCs/>
          <w:sz w:val="28"/>
          <w:szCs w:val="28"/>
        </w:rPr>
        <w:t>5.2 知识库模块</w:t>
      </w:r>
      <w:bookmarkEnd w:id="29"/>
    </w:p>
    <w:p w14:paraId="5EEBC6F6">
      <w:pPr>
        <w:spacing w:line="360" w:lineRule="auto"/>
        <w:ind w:firstLine="480"/>
        <w:jc w:val="both"/>
      </w:pPr>
      <w:r>
        <w:rPr>
          <w:rFonts w:ascii="宋体" w:hAnsi="宋体" w:eastAsia="宋体" w:cs="宋体"/>
          <w:sz w:val="24"/>
          <w:szCs w:val="24"/>
        </w:rPr>
        <w:t>知识库模块实现了三级联动检索功能，用户可以灵活组合疗法分类、病症分类和药材分类条件进行精准筛选。搜索结果以列表形式展示，每条记录显示标题、类型标签、摘要和更新时间。知识详情页采用全宽单栏布局，内容区域按“文字解析→步骤示意图→操作视频→相关药材”的自然阅读顺序组织，每个内容区块配有明确的分隔标题。底部集成了评论区、收藏按钮和分享按钮，为用户提供便利的互动入口。</w:t>
      </w:r>
    </w:p>
    <w:p w14:paraId="7F533460">
      <w:pPr>
        <w:spacing w:before="180" w:after="60" w:line="360" w:lineRule="auto"/>
        <w:jc w:val="left"/>
        <w:outlineLvl w:val="1"/>
      </w:pPr>
      <w:bookmarkStart w:id="30" w:name="_Toc21436"/>
      <w:r>
        <w:rPr>
          <w:rFonts w:ascii="宋体" w:hAnsi="宋体" w:eastAsia="宋体" w:cs="宋体"/>
          <w:b/>
          <w:bCs/>
          <w:sz w:val="28"/>
          <w:szCs w:val="28"/>
        </w:rPr>
        <w:t>5.3 传承人风采模块</w:t>
      </w:r>
      <w:bookmarkEnd w:id="30"/>
    </w:p>
    <w:p w14:paraId="75E2A12B">
      <w:pPr>
        <w:spacing w:line="360" w:lineRule="auto"/>
        <w:ind w:firstLine="480"/>
        <w:jc w:val="both"/>
      </w:pPr>
      <w:r>
        <w:rPr>
          <w:rFonts w:ascii="宋体" w:hAnsi="宋体" w:eastAsia="宋体" w:cs="宋体"/>
          <w:sz w:val="24"/>
          <w:szCs w:val="24"/>
        </w:rPr>
        <w:t>传承人风采模块以“国家级/自治区级/县级”三级分类标签页切换展示，每个标签页下以卡片网格布局呈现该级别的传承人列表。传承人卡片采用头像居上、信息居下的垂直布局，清晰展示传承人姓名、级别徽章、核心技艺和从业年限。点击卡片进入详情页，页面采用左右分栏布局，左侧为传承人大尺寸头像与基本信息面板，右侧以标签页形式切换展示从业履历、技艺特色、代表案例、荣誉资质等内容，访谈视频嵌入在页面中部区域。</w:t>
      </w:r>
    </w:p>
    <w:p w14:paraId="0DF26E02">
      <w:pPr>
        <w:spacing w:before="180" w:after="60" w:line="360" w:lineRule="auto"/>
        <w:jc w:val="left"/>
        <w:outlineLvl w:val="1"/>
      </w:pPr>
      <w:bookmarkStart w:id="31" w:name="_Toc25947"/>
      <w:r>
        <w:rPr>
          <w:rFonts w:ascii="宋体" w:hAnsi="宋体" w:eastAsia="宋体" w:cs="宋体"/>
          <w:b/>
          <w:bCs/>
          <w:sz w:val="28"/>
          <w:szCs w:val="28"/>
        </w:rPr>
        <w:t>5.4 药用资源图鉴模块</w:t>
      </w:r>
      <w:bookmarkEnd w:id="31"/>
    </w:p>
    <w:p w14:paraId="4F860FAF">
      <w:pPr>
        <w:spacing w:line="360" w:lineRule="auto"/>
        <w:ind w:firstLine="480"/>
        <w:jc w:val="both"/>
      </w:pPr>
      <w:r>
        <w:rPr>
          <w:rFonts w:ascii="宋体" w:hAnsi="宋体" w:eastAsia="宋体" w:cs="宋体"/>
          <w:sz w:val="24"/>
          <w:szCs w:val="24"/>
        </w:rPr>
        <w:t>药用资源图鉴模块顶部为双维度筛选栏，下拉选择器分别对应植物类型（草本/木本）和使用方式（外用/内服），筛选条件实时生效。下方为图鉴卡片网格，每张卡片展示药材的高清实拍图、中文名称、侗语名称和核心功效标签。点击卡片进入图鉴详情页，页面采用图文联动布局，左侧为可放大的图片轮播区，右侧为包含学名、生长环境、药用价值、药用故事等信息的面板区域。浏览过程中支持左右滑动切换相邻图鉴条目，提升了内容的可探索性。</w:t>
      </w:r>
    </w:p>
    <w:p w14:paraId="5DC4A803">
      <w:pPr>
        <w:spacing w:before="180" w:after="60" w:line="360" w:lineRule="auto"/>
        <w:jc w:val="left"/>
        <w:outlineLvl w:val="1"/>
      </w:pPr>
      <w:bookmarkStart w:id="32" w:name="_Toc17349"/>
      <w:r>
        <w:rPr>
          <w:rFonts w:ascii="宋体" w:hAnsi="宋体" w:eastAsia="宋体" w:cs="宋体"/>
          <w:b/>
          <w:bCs/>
          <w:sz w:val="28"/>
          <w:szCs w:val="28"/>
        </w:rPr>
        <w:t>5.5 非遗问答模块</w:t>
      </w:r>
      <w:bookmarkEnd w:id="32"/>
    </w:p>
    <w:p w14:paraId="3B07CAEA">
      <w:pPr>
        <w:spacing w:line="360" w:lineRule="auto"/>
        <w:ind w:firstLine="480"/>
        <w:jc w:val="both"/>
      </w:pPr>
      <w:r>
        <w:rPr>
          <w:rFonts w:ascii="宋体" w:hAnsi="宋体" w:eastAsia="宋体" w:cs="宋体"/>
          <w:sz w:val="24"/>
          <w:szCs w:val="24"/>
        </w:rPr>
        <w:t>非遗问答模块按三大分类组织问答内容，每个分类下展示该类别的高频问题列表。搜索栏支持输入关键词进行模糊匹配搜索，搜索结果按匹配度排序。页面底部设有“我要提问”按钮，点击后弹出反馈表单，用户可选择问题分类并填写问题描述后提交。同时设置了“已解答问题”公示区域，定期更新用户提出的新问题及官方回复。</w:t>
      </w:r>
    </w:p>
    <w:p w14:paraId="5BDBF44C">
      <w:pPr>
        <w:spacing w:before="180" w:after="60" w:line="360" w:lineRule="auto"/>
        <w:jc w:val="left"/>
        <w:outlineLvl w:val="1"/>
      </w:pPr>
      <w:bookmarkStart w:id="33" w:name="_Toc32483"/>
      <w:r>
        <w:rPr>
          <w:rFonts w:ascii="宋体" w:hAnsi="宋体" w:eastAsia="宋体" w:cs="宋体"/>
          <w:b/>
          <w:bCs/>
          <w:sz w:val="28"/>
          <w:szCs w:val="28"/>
        </w:rPr>
        <w:t>5.6 文化互动模块</w:t>
      </w:r>
      <w:bookmarkEnd w:id="33"/>
    </w:p>
    <w:p w14:paraId="05FD9272">
      <w:pPr>
        <w:spacing w:line="360" w:lineRule="auto"/>
        <w:ind w:firstLine="480"/>
        <w:jc w:val="both"/>
      </w:pPr>
      <w:r>
        <w:rPr>
          <w:rFonts w:ascii="宋体" w:hAnsi="宋体" w:eastAsia="宋体" w:cs="宋体"/>
          <w:sz w:val="24"/>
          <w:szCs w:val="24"/>
        </w:rPr>
        <w:t>文化互动模块包含趣味答题和植物识别游戏两个子功能。趣味答题页面以卡片形式逐题呈现，每道题包含题目描述和4个备选选项，用户选择后即时判断正误并给出解析。答完一轮10题后显示总分和每题的正误详情。植物识别游戏以轮次形式展开，每轮展示一张药材特征图，用户从4个选项中选择正确答案，完成所有轮次后显示得分并颁发对应级别的电子勋章。</w:t>
      </w:r>
    </w:p>
    <w:p w14:paraId="738C1D9A">
      <w:pPr>
        <w:spacing w:before="180" w:after="60" w:line="360" w:lineRule="auto"/>
        <w:jc w:val="left"/>
        <w:outlineLvl w:val="1"/>
      </w:pPr>
      <w:bookmarkStart w:id="34" w:name="_Toc23010"/>
      <w:r>
        <w:rPr>
          <w:rFonts w:ascii="宋体" w:hAnsi="宋体" w:eastAsia="宋体" w:cs="宋体"/>
          <w:b/>
          <w:bCs/>
          <w:sz w:val="28"/>
          <w:szCs w:val="28"/>
        </w:rPr>
        <w:t>5.7 学习资源模块</w:t>
      </w:r>
      <w:bookmarkEnd w:id="34"/>
    </w:p>
    <w:p w14:paraId="5E3C359F">
      <w:pPr>
        <w:spacing w:line="360" w:lineRule="auto"/>
        <w:ind w:firstLine="480"/>
        <w:jc w:val="both"/>
      </w:pPr>
      <w:r>
        <w:rPr>
          <w:rFonts w:ascii="宋体" w:hAnsi="宋体" w:eastAsia="宋体" w:cs="宋体"/>
          <w:sz w:val="24"/>
          <w:szCs w:val="24"/>
        </w:rPr>
        <w:t>学习资源模块按入门/进阶/专业三级分类标签页展示，每个分类下以列表形式呈现资源条目，显示资源名称、分类标签、文件大小、下载量等信息。资源详情页支持PDF格式文件的在线预览（前3页），预览区域下方提供下载按钮。同时设置资源搜索功能和热门资源推荐侧边栏。</w:t>
      </w:r>
    </w:p>
    <w:p w14:paraId="47426110">
      <w:pPr>
        <w:spacing w:before="180" w:after="60" w:line="360" w:lineRule="auto"/>
        <w:jc w:val="left"/>
        <w:outlineLvl w:val="1"/>
      </w:pPr>
      <w:bookmarkStart w:id="35" w:name="_Toc13708"/>
      <w:r>
        <w:rPr>
          <w:rFonts w:ascii="宋体" w:hAnsi="宋体" w:eastAsia="宋体" w:cs="宋体"/>
          <w:b/>
          <w:bCs/>
          <w:sz w:val="28"/>
          <w:szCs w:val="28"/>
        </w:rPr>
        <w:t>5.8 数据可视化模块</w:t>
      </w:r>
      <w:bookmarkEnd w:id="35"/>
    </w:p>
    <w:p w14:paraId="111474BE">
      <w:pPr>
        <w:spacing w:line="360" w:lineRule="auto"/>
        <w:ind w:firstLine="480"/>
        <w:jc w:val="both"/>
      </w:pPr>
      <w:r>
        <w:rPr>
          <w:rFonts w:ascii="宋体" w:hAnsi="宋体" w:eastAsia="宋体" w:cs="宋体"/>
          <w:sz w:val="24"/>
          <w:szCs w:val="24"/>
        </w:rPr>
        <w:t>数据可视化模块以双列布局呈现两个核心图表：左侧为植物地域分布热力图，以三江侗族自治县地图为底图，使用渐变色块标识不同区域的植物分布密度；右侧为药方使用频次柱状图，横轴为药方名称，纵轴为使用频次，支持年度/季度筛选和图表类型切换。图表均基于ECharts 5实现，具有流畅的动画效果和丰富的交互功能（悬停提示、点击钻取等）。</w:t>
      </w:r>
    </w:p>
    <w:p w14:paraId="206BBFA7">
      <w:r>
        <w:br w:type="page"/>
      </w:r>
    </w:p>
    <w:p w14:paraId="6D4E9F52">
      <w:pPr>
        <w:spacing w:before="240" w:after="120" w:line="360" w:lineRule="auto"/>
        <w:jc w:val="left"/>
        <w:outlineLvl w:val="0"/>
      </w:pPr>
      <w:bookmarkStart w:id="36" w:name="_Toc26508"/>
      <w:r>
        <w:rPr>
          <w:rFonts w:ascii="黑体" w:hAnsi="黑体" w:eastAsia="黑体" w:cs="黑体"/>
          <w:b/>
          <w:bCs/>
          <w:sz w:val="30"/>
          <w:szCs w:val="30"/>
        </w:rPr>
        <w:t>6 设计总结</w:t>
      </w:r>
      <w:bookmarkEnd w:id="36"/>
    </w:p>
    <w:p w14:paraId="07EC9CDA">
      <w:pPr>
        <w:spacing w:before="180" w:after="60" w:line="360" w:lineRule="auto"/>
        <w:jc w:val="left"/>
        <w:outlineLvl w:val="1"/>
      </w:pPr>
      <w:bookmarkStart w:id="37" w:name="_Toc8643"/>
      <w:r>
        <w:rPr>
          <w:rFonts w:ascii="宋体" w:hAnsi="宋体" w:eastAsia="宋体" w:cs="宋体"/>
          <w:b/>
          <w:bCs/>
          <w:sz w:val="28"/>
          <w:szCs w:val="28"/>
        </w:rPr>
        <w:t>6.1 设计与研究过程总结</w:t>
      </w:r>
      <w:bookmarkEnd w:id="37"/>
    </w:p>
    <w:p w14:paraId="672B76FF">
      <w:pPr>
        <w:spacing w:line="360" w:lineRule="auto"/>
        <w:ind w:firstLine="480"/>
        <w:jc w:val="both"/>
      </w:pPr>
      <w:r>
        <w:rPr>
          <w:rFonts w:ascii="宋体" w:hAnsi="宋体" w:eastAsia="宋体" w:cs="宋体"/>
          <w:sz w:val="24"/>
          <w:szCs w:val="24"/>
        </w:rPr>
        <w:t>本课题从非遗保护的视角出发，以数字媒体技术为手段，完整经历了“需求分析→系统设计→前后端开发→测试优化→文档撰写”五个阶段的软件工程全流程。在需求分析阶段，通过文献调研、数据调研、竞品调研和用户调研四个维度，全面把握了侗乡医药非遗数字化的核心需求与行业现状，明确了平台的功能定位与技术路线。在系统设计阶段，完成了前后端分离架构设计、四大核心模块与三大拓展模块的精细化功能设计、融入侗族非遗元素的界面视觉设计以及基于MySQL 8.0的数据库结构设计。在开发阶段，严格按照设计文档推进前端页面搭建、后端接口开发与数据库部署，完成了前后端功能联调与集成测试。</w:t>
      </w:r>
    </w:p>
    <w:p w14:paraId="1177D397">
      <w:pPr>
        <w:spacing w:before="180" w:after="60" w:line="360" w:lineRule="auto"/>
        <w:jc w:val="left"/>
        <w:outlineLvl w:val="1"/>
      </w:pPr>
      <w:bookmarkStart w:id="38" w:name="_Toc25835"/>
      <w:r>
        <w:rPr>
          <w:rFonts w:ascii="宋体" w:hAnsi="宋体" w:eastAsia="宋体" w:cs="宋体"/>
          <w:b/>
          <w:bCs/>
          <w:sz w:val="28"/>
          <w:szCs w:val="28"/>
        </w:rPr>
        <w:t>6.2 平台功能与特点</w:t>
      </w:r>
      <w:bookmarkEnd w:id="38"/>
    </w:p>
    <w:p w14:paraId="493CEF3E">
      <w:pPr>
        <w:spacing w:line="360" w:lineRule="auto"/>
        <w:ind w:firstLine="480"/>
        <w:jc w:val="both"/>
      </w:pPr>
      <w:r>
        <w:rPr>
          <w:rFonts w:ascii="宋体" w:hAnsi="宋体" w:eastAsia="宋体" w:cs="宋体"/>
          <w:sz w:val="24"/>
          <w:szCs w:val="24"/>
        </w:rPr>
        <w:t>最终完成的侗乡医药数字展示平台具有以下核心功能：非遗医药知识库实现了12项经典药方和6类核心疗法的结构化存储、三级联动检索与多媒体化展示，每条知识条目配备详细的文字解析、步骤示意图、操作视频及相关药材关联信息；传承人风采模块实现了8名代表性传承人的分级展示与详细信息呈现，包含从业履历、技艺特色、代表案例和访谈视频等内容；药用资源图鉴模块实现了15种常用药用植物的图文联动展示与双维度分类筛选，每种植物配备学名、侗语名、生长环境和药用故事等信息；非遗问答模块实现了三大类别问答内容的分类展示与关键词模糊搜索；文化互动专区实现了趣味答题（70道题库）和植物识别小游戏两大互动功能；学习资源下载模块实现了30余份学习素材的分类管理与PDF下载服务；数据可视化模块实现了基于ECharts的植物分布和药方频次数据图表展示。</w:t>
      </w:r>
    </w:p>
    <w:p w14:paraId="44A13D22">
      <w:pPr>
        <w:spacing w:line="360" w:lineRule="auto"/>
        <w:ind w:firstLine="480"/>
        <w:jc w:val="both"/>
      </w:pPr>
      <w:r>
        <w:rPr>
          <w:rFonts w:ascii="宋体" w:hAnsi="宋体" w:eastAsia="宋体" w:cs="宋体"/>
          <w:sz w:val="24"/>
          <w:szCs w:val="24"/>
        </w:rPr>
        <w:t>平台的创新特点主要体现在三个方面：一是聚焦小众非遗的精准化设计。不同于面向全国性非遗的综合性平台，本平台专注于侗乡医药这一区域性小众非遗，在内容深度和文化解读上做到了精细化呈现，避免了信息过载与同质化。二是侗族文化元素的系统化融入。从色彩体系、图案纹样到图标设计，侗族非遗元素贯穿于平台视觉设计的各个层面，形成了强烈的文化辨识度和品牌一致性。三是轻量化架构下的功能完整性。在剔除复杂中间件和冗余功能的前提下，平台依然实现了知识检索、分类筛选、收藏分享、互动答题、资源下载和数据可视化等全部预设功能，体现了“小而美”的设计理念。</w:t>
      </w:r>
    </w:p>
    <w:p w14:paraId="22E56A4E">
      <w:pPr>
        <w:spacing w:before="180" w:after="60" w:line="360" w:lineRule="auto"/>
        <w:jc w:val="left"/>
        <w:outlineLvl w:val="1"/>
      </w:pPr>
      <w:bookmarkStart w:id="39" w:name="_Toc24247"/>
      <w:r>
        <w:rPr>
          <w:rFonts w:ascii="宋体" w:hAnsi="宋体" w:eastAsia="宋体" w:cs="宋体"/>
          <w:b/>
          <w:bCs/>
          <w:sz w:val="28"/>
          <w:szCs w:val="28"/>
        </w:rPr>
        <w:t>6.3 收获与不足</w:t>
      </w:r>
      <w:bookmarkEnd w:id="39"/>
    </w:p>
    <w:p w14:paraId="02D74FCD">
      <w:pPr>
        <w:spacing w:line="360" w:lineRule="auto"/>
        <w:ind w:firstLine="480"/>
        <w:jc w:val="both"/>
      </w:pPr>
      <w:r>
        <w:rPr>
          <w:rFonts w:ascii="宋体" w:hAnsi="宋体" w:eastAsia="宋体" w:cs="宋体"/>
          <w:sz w:val="24"/>
          <w:szCs w:val="24"/>
        </w:rPr>
        <w:t>通过本课题的完整实践，笔者在多个维度获得了显著的成长。在技术层面，系统掌握了Vue 3组合式API开发范式、Element Plus组件库的工程化应用、Spring Boot 3的分层架构设计以及MyBatis-Plus的数据持久化方案，切实提升了Web全栈开发能力。在工程素养方面，通过严格遵循软件工程流程完成全生命周期开发，深刻理解了需求分析、系统设计、测试优化各阶段的价值与规范。在文化认知方面，通过对侗乡医药非遗的深入调研与数据整理，增进了对少数民族传统医药文化的理解与尊重，强化了运用专业技术服务文化保护的社会责任感。</w:t>
      </w:r>
    </w:p>
    <w:p w14:paraId="10FE6CB6">
      <w:pPr>
        <w:spacing w:line="360" w:lineRule="auto"/>
        <w:ind w:firstLine="480"/>
        <w:jc w:val="both"/>
      </w:pPr>
      <w:r>
        <w:rPr>
          <w:rFonts w:ascii="宋体" w:hAnsi="宋体" w:eastAsia="宋体" w:cs="宋体"/>
          <w:sz w:val="24"/>
          <w:szCs w:val="24"/>
        </w:rPr>
        <w:t>同时，本课题也存在以下不足，需要在后续版本中持续改进：一是部分功能模块的内容丰富度有待提升，如传承人访谈视频和药材实拍图的素材数量与质量可进一步扩充优化；二是搜索功能的精准度和智能性仍有提升空间，未来可引入Elasticsearch等专业的全文检索引擎替代当前的SQL模糊匹配方案；三是系统的自动化测试覆盖率不够全面，部分边界场景和异常路径的测试用例有待补充。这些不足将成为后续版本迭代的重要优化方向。</w:t>
      </w:r>
    </w:p>
    <w:p w14:paraId="56AE4454">
      <w:pPr>
        <w:spacing w:before="180" w:after="60" w:line="360" w:lineRule="auto"/>
        <w:jc w:val="left"/>
        <w:outlineLvl w:val="1"/>
      </w:pPr>
      <w:bookmarkStart w:id="40" w:name="_Toc7541"/>
      <w:r>
        <w:rPr>
          <w:rFonts w:ascii="宋体" w:hAnsi="宋体" w:eastAsia="宋体" w:cs="宋体"/>
          <w:b/>
          <w:bCs/>
          <w:sz w:val="28"/>
          <w:szCs w:val="28"/>
        </w:rPr>
        <w:t>6.4 项目管理实践</w:t>
      </w:r>
      <w:bookmarkEnd w:id="40"/>
    </w:p>
    <w:p w14:paraId="1F3EBCE0">
      <w:pPr>
        <w:spacing w:line="360" w:lineRule="auto"/>
        <w:ind w:firstLine="480"/>
        <w:jc w:val="both"/>
      </w:pPr>
      <w:r>
        <w:rPr>
          <w:rFonts w:ascii="宋体" w:hAnsi="宋体" w:eastAsia="宋体" w:cs="宋体"/>
          <w:sz w:val="24"/>
          <w:szCs w:val="24"/>
        </w:rPr>
        <w:t>在项目管理方面，本课题的实践使笔者深刻体会到了软件工程方法论在实际项目中的指导价值。在时间管理上，按照开题阶段制定的16周实施计划严格推进，每个阶段均有明确的任务目标和交付产物，有效避免了项目拖延。在版本管理上，采用Git进行源代码的版本控制，遵循约定式提交（Conventional Commits）规范编写提交信息，保持代码历史的清晰可追溯。在文档管理上，从初期的开题报告和任务书，到中期的设计文档和接口规范，再到后期的测试报告和用户手册，形成了完整的项目文档体系。在沟通管理上，定期与指导教师进行项目进展汇报和技术方案讨论，确保课题研究方向不偏离预定目标。这些工程管理实践极大地提升了笔者的项目执行能力和专业素养。</w:t>
      </w:r>
    </w:p>
    <w:p w14:paraId="163F4A19">
      <w:r>
        <w:br w:type="page"/>
      </w:r>
    </w:p>
    <w:p w14:paraId="652B8BA0">
      <w:pPr>
        <w:spacing w:before="240" w:after="120" w:line="360" w:lineRule="auto"/>
        <w:jc w:val="left"/>
        <w:outlineLvl w:val="0"/>
      </w:pPr>
      <w:bookmarkStart w:id="41" w:name="_Toc15111"/>
      <w:r>
        <w:rPr>
          <w:rFonts w:ascii="黑体" w:hAnsi="黑体" w:eastAsia="黑体" w:cs="黑体"/>
          <w:b/>
          <w:bCs/>
          <w:sz w:val="30"/>
          <w:szCs w:val="30"/>
        </w:rPr>
        <w:t>7 设计展望</w:t>
      </w:r>
      <w:bookmarkEnd w:id="41"/>
    </w:p>
    <w:p w14:paraId="1B76190D">
      <w:pPr>
        <w:spacing w:before="180" w:after="60" w:line="360" w:lineRule="auto"/>
        <w:jc w:val="left"/>
        <w:outlineLvl w:val="1"/>
      </w:pPr>
      <w:bookmarkStart w:id="42" w:name="_Toc31328"/>
      <w:r>
        <w:rPr>
          <w:rFonts w:ascii="宋体" w:hAnsi="宋体" w:eastAsia="宋体" w:cs="宋体"/>
          <w:b/>
          <w:bCs/>
          <w:sz w:val="28"/>
          <w:szCs w:val="28"/>
        </w:rPr>
        <w:t>7.1 推广应用前景</w:t>
      </w:r>
      <w:bookmarkEnd w:id="42"/>
    </w:p>
    <w:p w14:paraId="45BDB8CA">
      <w:pPr>
        <w:spacing w:line="360" w:lineRule="auto"/>
        <w:ind w:firstLine="480"/>
        <w:jc w:val="both"/>
      </w:pPr>
      <w:r>
        <w:rPr>
          <w:rFonts w:ascii="宋体" w:hAnsi="宋体" w:eastAsia="宋体" w:cs="宋体"/>
          <w:sz w:val="24"/>
          <w:szCs w:val="24"/>
        </w:rPr>
        <w:t>侗乡医药数字展示平台在推广应用方面具有广阔的前景。首先，平台可作为三江侗族自治县文化旅游线上宣传的重要组成部分，嵌入“智游三江”等官方文旅平台或微信小程序，服务于每年数以万计到访三江的游客，帮助游客提前了解侗族医药文化、规划文化体验行程。其次，平台可作为地方中小学和高等院校开展民族传统文化教育的数字化辅助工具，通过知识库的系统化内容和互动答题的寓教于乐形式，提升青少年对非遗文化的认知与兴趣。此外，平台的架构设计和开发经验可迁移应用于其他区域性小众非遗（如壮族绣球制作技艺、苗族银饰锻造技艺等）的数字化保护项目中，形成可复制的技术方案模板。</w:t>
      </w:r>
    </w:p>
    <w:p w14:paraId="1CF860A0">
      <w:pPr>
        <w:spacing w:before="180" w:after="60" w:line="360" w:lineRule="auto"/>
        <w:jc w:val="left"/>
        <w:outlineLvl w:val="1"/>
      </w:pPr>
      <w:bookmarkStart w:id="43" w:name="_Toc17366"/>
      <w:r>
        <w:rPr>
          <w:rFonts w:ascii="宋体" w:hAnsi="宋体" w:eastAsia="宋体" w:cs="宋体"/>
          <w:b/>
          <w:bCs/>
          <w:sz w:val="28"/>
          <w:szCs w:val="28"/>
        </w:rPr>
        <w:t>7.2 未来发展趋势</w:t>
      </w:r>
      <w:bookmarkEnd w:id="43"/>
      <w:bookmarkStart w:id="50" w:name="_GoBack"/>
      <w:bookmarkEnd w:id="50"/>
    </w:p>
    <w:p w14:paraId="29AE54B9">
      <w:pPr>
        <w:spacing w:line="360" w:lineRule="auto"/>
        <w:ind w:firstLine="480"/>
        <w:jc w:val="both"/>
      </w:pPr>
      <w:r>
        <w:rPr>
          <w:rFonts w:ascii="宋体" w:hAnsi="宋体" w:eastAsia="宋体" w:cs="宋体"/>
          <w:sz w:val="24"/>
          <w:szCs w:val="24"/>
        </w:rPr>
        <w:t>展望未来，侗乡医药数字展示平台可在以下方向持续演进：一是引入人工智能技术，通过接入大语言模型（如DeepSeek）构建智能问答助手，为用户提供自然语言交互式的侗医药知识咨询服务，降低普通用户的知识获取门槛。实际上，本平台已预留了DeepSeek API接入配置，具备向AI增强方向演进的技术基础。二是探索虚拟现实（VR）和增强现实（AR）技术的融合应用，让用户通过手机摄像头即可识别身边的中草药植物，或在虚拟空间中沉浸式体验侗族药浴、百草汤烹制等传统疗法场景。三是构建用户贡献生态，允许认证传承人或研究者在平台发布原创内容，形成PGC（专业生产内容）与UGC（用户生成内容）相结合的内容生产模式，增强平台的内容活力与社区属性。</w:t>
      </w:r>
    </w:p>
    <w:p w14:paraId="575D749C">
      <w:pPr>
        <w:spacing w:before="180" w:after="60" w:line="360" w:lineRule="auto"/>
        <w:jc w:val="left"/>
        <w:outlineLvl w:val="1"/>
      </w:pPr>
      <w:bookmarkStart w:id="44" w:name="_Toc8677"/>
      <w:r>
        <w:rPr>
          <w:rFonts w:ascii="宋体" w:hAnsi="宋体" w:eastAsia="宋体" w:cs="宋体"/>
          <w:b/>
          <w:bCs/>
          <w:sz w:val="28"/>
          <w:szCs w:val="28"/>
        </w:rPr>
        <w:t>7.3 可持续性设计</w:t>
      </w:r>
      <w:bookmarkEnd w:id="44"/>
    </w:p>
    <w:p w14:paraId="09EB8B6F">
      <w:pPr>
        <w:spacing w:line="360" w:lineRule="auto"/>
        <w:ind w:firstLine="480"/>
        <w:jc w:val="both"/>
      </w:pPr>
      <w:r>
        <w:rPr>
          <w:rFonts w:ascii="宋体" w:hAnsi="宋体" w:eastAsia="宋体" w:cs="宋体"/>
          <w:sz w:val="24"/>
          <w:szCs w:val="24"/>
        </w:rPr>
        <w:t>在可持续性设计方面，平台充分考虑了长期运营的可行性。技术上，采用Docker容器化部署方案，通过Docker Compose一键编排所有服务组件（MySQL、Redis、后端、前端、Nginx），实现了环境一致性部署与便捷的横向扩展能力。内容上，为传承人信息、知识条目和药用植物数据均预留了动态更新入口与版本管理机制（更新日志字段），确保管理员可在不修改代码的情况下进行内容迭代维护。运营上，平台代码已在GitHub开源，遵循标准的开源协作流程，可持续接收社区贡献的技术优化和内容补充，降低了单一维护主体的负担，为平台的长期可持续发展奠定了制度基础。</w:t>
      </w:r>
    </w:p>
    <w:p w14:paraId="44FD78F1">
      <w:r>
        <w:br w:type="page"/>
      </w:r>
    </w:p>
    <w:p w14:paraId="0143628E">
      <w:pPr>
        <w:spacing w:before="240" w:after="120" w:line="360" w:lineRule="auto"/>
        <w:jc w:val="left"/>
        <w:outlineLvl w:val="0"/>
      </w:pPr>
      <w:bookmarkStart w:id="45" w:name="_Toc9618"/>
      <w:r>
        <w:rPr>
          <w:rFonts w:ascii="黑体" w:hAnsi="黑体" w:eastAsia="黑体" w:cs="黑体"/>
          <w:b/>
          <w:bCs/>
          <w:sz w:val="30"/>
          <w:szCs w:val="30"/>
        </w:rPr>
        <w:t>致    谢</w:t>
      </w:r>
      <w:bookmarkEnd w:id="45"/>
    </w:p>
    <w:p w14:paraId="4CD61145">
      <w:pPr>
        <w:spacing w:line="360" w:lineRule="auto"/>
        <w:ind w:firstLine="480"/>
        <w:jc w:val="both"/>
      </w:pPr>
      <w:r>
        <w:rPr>
          <w:rFonts w:ascii="宋体" w:hAnsi="宋体" w:eastAsia="宋体" w:cs="宋体"/>
          <w:sz w:val="24"/>
          <w:szCs w:val="24"/>
        </w:rPr>
        <w:t>时光荏苒，大学四年的学习生涯即将画上句号。在毕业设计即将完成之际，我谨向所有在课题研究和论文撰写过程中给予我帮助与支持的人们致以最诚挚的谢意。</w:t>
      </w:r>
    </w:p>
    <w:p w14:paraId="0C7B5EA5">
      <w:pPr>
        <w:spacing w:line="360" w:lineRule="auto"/>
        <w:ind w:firstLine="480"/>
        <w:jc w:val="both"/>
      </w:pPr>
      <w:r>
        <w:rPr>
          <w:rFonts w:ascii="宋体" w:hAnsi="宋体" w:eastAsia="宋体" w:cs="宋体"/>
          <w:sz w:val="24"/>
          <w:szCs w:val="24"/>
        </w:rPr>
        <w:t>首先，衷心感谢我的指导教师胡清钟老师。从课题选题、研究方案制定、技术路线确定到论文撰写修改的全过程中，胡老师都给予了我耐心细致的指导和建设性的意见。在开发遇到技术瓶颈时，胡老师帮助我理清思路、分析问题本质；在论文写作阶段，胡老师逐章逐节审阅稿件、指出不足并提出修改建议。胡老师严谨的治学态度、丰富的工程经验和宽厚的为师之道，使我受益匪浅。</w:t>
      </w:r>
    </w:p>
    <w:p w14:paraId="64F96FB5">
      <w:pPr>
        <w:spacing w:line="360" w:lineRule="auto"/>
        <w:ind w:firstLine="480"/>
        <w:jc w:val="both"/>
      </w:pPr>
      <w:r>
        <w:rPr>
          <w:rFonts w:ascii="宋体" w:hAnsi="宋体" w:eastAsia="宋体" w:cs="宋体"/>
          <w:sz w:val="24"/>
          <w:szCs w:val="24"/>
        </w:rPr>
        <w:t>感谢艺术与设计学院数字媒体技术专业的所有授课老师，四年来系统化的课程教学为我完成本课题奠定了扎实的专业基础。前端开发、数据库原理、软件工程等核心课程的知识在毕业设计的实践中得到了充分的运用与深化。</w:t>
      </w:r>
    </w:p>
    <w:p w14:paraId="5436C0DC">
      <w:pPr>
        <w:spacing w:line="360" w:lineRule="auto"/>
        <w:ind w:firstLine="480"/>
        <w:jc w:val="both"/>
      </w:pPr>
      <w:r>
        <w:rPr>
          <w:rFonts w:ascii="宋体" w:hAnsi="宋体" w:eastAsia="宋体" w:cs="宋体"/>
          <w:sz w:val="24"/>
          <w:szCs w:val="24"/>
        </w:rPr>
        <w:t>感谢三江侗族自治县文旅局和县文化馆在数据采集阶段提供的宝贵支持，使平台的内容具备了权威的数据来源和丰富的文化素材。</w:t>
      </w:r>
    </w:p>
    <w:p w14:paraId="380CF485">
      <w:pPr>
        <w:spacing w:line="360" w:lineRule="auto"/>
        <w:ind w:firstLine="480"/>
        <w:jc w:val="both"/>
      </w:pPr>
      <w:r>
        <w:rPr>
          <w:rFonts w:ascii="宋体" w:hAnsi="宋体" w:eastAsia="宋体" w:cs="宋体"/>
          <w:sz w:val="24"/>
          <w:szCs w:val="24"/>
        </w:rPr>
        <w:t>感谢一起奋斗的同学们，在开发过程中相互鼓励、分享经验、交流心得，这段共同成长的日子将成为我大学生活中珍贵的记忆。</w:t>
      </w:r>
    </w:p>
    <w:p w14:paraId="295ACBA8">
      <w:pPr>
        <w:spacing w:line="360" w:lineRule="auto"/>
        <w:ind w:firstLine="480"/>
        <w:jc w:val="both"/>
      </w:pPr>
      <w:r>
        <w:rPr>
          <w:rFonts w:ascii="宋体" w:hAnsi="宋体" w:eastAsia="宋体" w:cs="宋体"/>
          <w:sz w:val="24"/>
          <w:szCs w:val="24"/>
        </w:rPr>
        <w:t>最后，感谢我的家人多年来的无私支持与默默付出，你们的理解与鼓励是我不断前行的最大动力。</w:t>
      </w:r>
    </w:p>
    <w:p w14:paraId="465918F6">
      <w:r>
        <w:br w:type="page"/>
      </w:r>
    </w:p>
    <w:p w14:paraId="2B681B47">
      <w:pPr>
        <w:spacing w:before="240" w:after="120" w:line="360" w:lineRule="auto"/>
        <w:jc w:val="left"/>
        <w:outlineLvl w:val="0"/>
      </w:pPr>
      <w:bookmarkStart w:id="46" w:name="_Toc6507"/>
      <w:r>
        <w:rPr>
          <w:rFonts w:ascii="黑体" w:hAnsi="黑体" w:eastAsia="黑体" w:cs="黑体"/>
          <w:b/>
          <w:bCs/>
          <w:sz w:val="30"/>
          <w:szCs w:val="30"/>
        </w:rPr>
        <w:t>参考文献</w:t>
      </w:r>
      <w:bookmarkEnd w:id="46"/>
    </w:p>
    <w:p w14:paraId="6CB91C11">
      <w:pPr>
        <w:spacing w:line="280" w:lineRule="auto"/>
      </w:pPr>
      <w:r>
        <w:rPr>
          <w:rFonts w:ascii="宋体" w:hAnsi="宋体" w:eastAsia="宋体" w:cs="宋体"/>
          <w:sz w:val="21"/>
          <w:szCs w:val="21"/>
        </w:rPr>
        <w:t>[1] 李倩. 试论中医药非物质文化遗产的传播[J]. 中国报业, 2024, (02): 254-256.</w:t>
      </w:r>
    </w:p>
    <w:p w14:paraId="5D641A2A">
      <w:pPr>
        <w:spacing w:line="280" w:lineRule="auto"/>
      </w:pPr>
      <w:r>
        <w:rPr>
          <w:rFonts w:ascii="宋体" w:hAnsi="宋体" w:eastAsia="宋体" w:cs="宋体"/>
          <w:sz w:val="21"/>
          <w:szCs w:val="21"/>
        </w:rPr>
        <w:t>[2] 毛国强, 孔令彬. 中医药非物质文化遗产保护与传播研究[J]. 新闻战线, 2021, (01): 64-67.</w:t>
      </w:r>
    </w:p>
    <w:p w14:paraId="7E9F3022">
      <w:pPr>
        <w:spacing w:line="280" w:lineRule="auto"/>
      </w:pPr>
      <w:r>
        <w:rPr>
          <w:rFonts w:ascii="宋体" w:hAnsi="宋体" w:eastAsia="宋体" w:cs="宋体"/>
          <w:sz w:val="21"/>
          <w:szCs w:val="21"/>
        </w:rPr>
        <w:t>[3] 林鹏妹, 赵艳. 中医药非物质文化遗产保护现状及问题分析[J]. 中医杂志, 2023, 64(17): 1740-1744+1749.</w:t>
      </w:r>
    </w:p>
    <w:p w14:paraId="4F6627EE">
      <w:pPr>
        <w:spacing w:line="280" w:lineRule="auto"/>
      </w:pPr>
      <w:r>
        <w:rPr>
          <w:rFonts w:ascii="宋体" w:hAnsi="宋体" w:eastAsia="宋体" w:cs="宋体"/>
          <w:sz w:val="21"/>
          <w:szCs w:val="21"/>
        </w:rPr>
        <w:t>[4] 戢浩飞. 非物质文化遗产保护[M]. 北京: 经济科学出版社, 2020.</w:t>
      </w:r>
    </w:p>
    <w:p w14:paraId="04FFACEE">
      <w:pPr>
        <w:spacing w:line="280" w:lineRule="auto"/>
      </w:pPr>
      <w:r>
        <w:rPr>
          <w:rFonts w:ascii="宋体" w:hAnsi="宋体" w:eastAsia="宋体" w:cs="宋体"/>
          <w:sz w:val="21"/>
          <w:szCs w:val="21"/>
        </w:rPr>
        <w:t>[5] Candelise L, Bindi S. Intangible Cultural Heritage and Traditional Medical Knowledge: Safeguarding Healing and Medical Practices in a Globalized World[M]. Taylor &amp; Francis, 2025.</w:t>
      </w:r>
    </w:p>
    <w:p w14:paraId="5F010F30">
      <w:pPr>
        <w:spacing w:line="280" w:lineRule="auto"/>
      </w:pPr>
      <w:r>
        <w:rPr>
          <w:rFonts w:ascii="宋体" w:hAnsi="宋体" w:eastAsia="宋体" w:cs="宋体"/>
          <w:sz w:val="21"/>
          <w:szCs w:val="21"/>
        </w:rPr>
        <w:t>[6] 沈锐. 基于Spring Boot+Vue的图书馆管理系统设计与实现[J]. 现代信息科技, 2025, 9(22): 67-71.</w:t>
      </w:r>
    </w:p>
    <w:p w14:paraId="363612F8">
      <w:pPr>
        <w:spacing w:line="280" w:lineRule="auto"/>
      </w:pPr>
      <w:r>
        <w:rPr>
          <w:rFonts w:ascii="宋体" w:hAnsi="宋体" w:eastAsia="宋体" w:cs="宋体"/>
          <w:sz w:val="21"/>
          <w:szCs w:val="21"/>
        </w:rPr>
        <w:t>[7] Simone C. Vue.js 3 for Beginners: Learn the Essentials of Vue.js 3 and Its Ecosystem to Build Modern Web Applications[M]. Packt Publishing Limited, 2024.</w:t>
      </w:r>
    </w:p>
    <w:p w14:paraId="5994558C">
      <w:pPr>
        <w:spacing w:line="280" w:lineRule="auto"/>
      </w:pPr>
      <w:r>
        <w:rPr>
          <w:rFonts w:ascii="宋体" w:hAnsi="宋体" w:eastAsia="宋体" w:cs="宋体"/>
          <w:sz w:val="21"/>
          <w:szCs w:val="21"/>
        </w:rPr>
        <w:t>[8] 郭凯旋, 于寒, 杨逸秋, 等. 基于B/S架构的海上搜救应急预报平台设计与应用[J]. 海洋预报, 2025, 42(03): 114-122.</w:t>
      </w:r>
    </w:p>
    <w:p w14:paraId="3274650E">
      <w:pPr>
        <w:spacing w:line="280" w:lineRule="auto"/>
      </w:pPr>
      <w:r>
        <w:rPr>
          <w:rFonts w:ascii="宋体" w:hAnsi="宋体" w:eastAsia="宋体" w:cs="宋体"/>
          <w:sz w:val="21"/>
          <w:szCs w:val="21"/>
        </w:rPr>
        <w:t>[9] 林翔. 基于SpringBoot技术的M公司厨电产品质量管理系统的设计与实现[D]. 电子科技大学, 2021.</w:t>
      </w:r>
    </w:p>
    <w:p w14:paraId="068D7A8F">
      <w:pPr>
        <w:spacing w:line="280" w:lineRule="auto"/>
      </w:pPr>
      <w:r>
        <w:rPr>
          <w:rFonts w:ascii="宋体" w:hAnsi="宋体" w:eastAsia="宋体" w:cs="宋体"/>
          <w:sz w:val="21"/>
          <w:szCs w:val="21"/>
        </w:rPr>
        <w:t>[10] 刘雪梅. MySQL数据库复杂多表联合查询的优化策略及性能分析[J]. 软件, 2025, 46(10): 138-140.</w:t>
      </w:r>
    </w:p>
    <w:p w14:paraId="1B47A94F">
      <w:pPr>
        <w:spacing w:line="280" w:lineRule="auto"/>
      </w:pPr>
      <w:r>
        <w:rPr>
          <w:rFonts w:ascii="宋体" w:hAnsi="宋体" w:eastAsia="宋体" w:cs="宋体"/>
          <w:sz w:val="21"/>
          <w:szCs w:val="21"/>
        </w:rPr>
        <w:t>[11] 杨正瑛, 戴红亮. 从语言借用到文化共融：侗族药用植物命名中的汉侗民族交往交流交融[J]. 辽宁民族研究, 2025, 2(03): 64-71.</w:t>
      </w:r>
    </w:p>
    <w:p w14:paraId="56C4B29B">
      <w:pPr>
        <w:spacing w:line="280" w:lineRule="auto"/>
      </w:pPr>
      <w:r>
        <w:rPr>
          <w:rFonts w:ascii="宋体" w:hAnsi="宋体" w:eastAsia="宋体" w:cs="宋体"/>
          <w:sz w:val="21"/>
          <w:szCs w:val="21"/>
        </w:rPr>
        <w:t>[12] 杨正瑛, 戴红亮. 侗语药用植物命名及其反映的民族文化与民族交融[J]. 民族翻译, 2025, (01): 77-85.</w:t>
      </w:r>
    </w:p>
    <w:p w14:paraId="339ACFEE">
      <w:pPr>
        <w:spacing w:line="280" w:lineRule="auto"/>
      </w:pPr>
      <w:r>
        <w:rPr>
          <w:rFonts w:ascii="宋体" w:hAnsi="宋体" w:eastAsia="宋体" w:cs="宋体"/>
          <w:sz w:val="21"/>
          <w:szCs w:val="21"/>
        </w:rPr>
        <w:t>[13] 杨冉. 侗族医药知识科普APP交互设计研究[D]. 沈阳航空航天大学, 2023.</w:t>
      </w:r>
    </w:p>
    <w:p w14:paraId="6B414682">
      <w:r>
        <w:br w:type="page"/>
      </w:r>
    </w:p>
    <w:p w14:paraId="60FF9E21">
      <w:pPr>
        <w:spacing w:before="240" w:after="120" w:line="360" w:lineRule="auto"/>
        <w:jc w:val="left"/>
        <w:outlineLvl w:val="0"/>
      </w:pPr>
      <w:bookmarkStart w:id="47" w:name="_Toc30711"/>
      <w:r>
        <w:rPr>
          <w:rFonts w:ascii="黑体" w:hAnsi="黑体" w:eastAsia="黑体" w:cs="黑体"/>
          <w:b/>
          <w:bCs/>
          <w:sz w:val="30"/>
          <w:szCs w:val="30"/>
        </w:rPr>
        <w:t>附  录</w:t>
      </w:r>
      <w:bookmarkEnd w:id="47"/>
    </w:p>
    <w:p w14:paraId="6049C084">
      <w:pPr>
        <w:spacing w:before="180" w:after="60" w:line="360" w:lineRule="auto"/>
        <w:jc w:val="left"/>
        <w:outlineLvl w:val="0"/>
      </w:pPr>
      <w:bookmarkStart w:id="48" w:name="_Toc18944"/>
      <w:r>
        <w:rPr>
          <w:rFonts w:ascii="宋体" w:hAnsi="宋体" w:eastAsia="宋体" w:cs="宋体"/>
          <w:b/>
          <w:bCs/>
          <w:sz w:val="28"/>
          <w:szCs w:val="28"/>
        </w:rPr>
        <w:t>附录A 平台核心页面截图</w:t>
      </w:r>
      <w:bookmarkEnd w:id="48"/>
    </w:p>
    <w:p w14:paraId="5D5D050F">
      <w:pPr>
        <w:spacing w:line="360" w:lineRule="auto"/>
        <w:ind w:firstLine="480"/>
        <w:jc w:val="both"/>
      </w:pPr>
      <w:r>
        <w:rPr>
          <w:rFonts w:ascii="宋体" w:hAnsi="宋体" w:eastAsia="宋体" w:cs="宋体"/>
          <w:sz w:val="24"/>
          <w:szCs w:val="24"/>
        </w:rPr>
        <w:t>（本附录包含平台首页、知识库详情页、传承人风采页、药用资源图鉴页、非遗问答页、文化互动专区页、学习资源下载页、数据可视化页等核心功能页面的截图，完整展示了平台的功能实现效果与界面设计成果。）</w:t>
      </w:r>
    </w:p>
    <w:p w14:paraId="2F1379C8">
      <w:pPr>
        <w:spacing w:before="180" w:after="60" w:line="360" w:lineRule="auto"/>
        <w:jc w:val="left"/>
        <w:outlineLvl w:val="0"/>
      </w:pPr>
      <w:bookmarkStart w:id="49" w:name="_Toc30477"/>
      <w:r>
        <w:rPr>
          <w:rFonts w:ascii="宋体" w:hAnsi="宋体" w:eastAsia="宋体" w:cs="宋体"/>
          <w:b/>
          <w:bCs/>
          <w:sz w:val="28"/>
          <w:szCs w:val="28"/>
        </w:rPr>
        <w:t>附录B 数据库核心表结构</w:t>
      </w:r>
      <w:bookmarkEnd w:id="49"/>
    </w:p>
    <w:p w14:paraId="75037CD2">
      <w:pPr>
        <w:spacing w:line="360" w:lineRule="auto"/>
        <w:ind w:firstLine="480"/>
        <w:jc w:val="both"/>
      </w:pPr>
      <w:r>
        <w:rPr>
          <w:rFonts w:ascii="宋体" w:hAnsi="宋体" w:eastAsia="宋体" w:cs="宋体"/>
          <w:sz w:val="24"/>
          <w:szCs w:val="24"/>
        </w:rPr>
        <w:t>（本附录包含knowledge（知识库表）、inheritors（传承人表）、plants（药用植物表）、qa（问答表）、quiz_questions（题目表）、resources（学习资源表）等14张核心数据表的完整DDL建表语句，展示数据库设计的详细结构与索引策略。）</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BCFC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94B7B">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E62CEC">
                          <w:pPr>
                            <w:pStyle w:val="10"/>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27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0E62CEC">
                    <w:pPr>
                      <w:pStyle w:val="10"/>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27</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1550F">
    <w:pPr>
      <w:jc w:val="center"/>
    </w:pPr>
    <w:r>
      <w:rPr>
        <w:rFonts w:ascii="宋体" w:hAnsi="宋体" w:eastAsia="宋体" w:cs="宋体"/>
        <w:sz w:val="21"/>
        <w:szCs w:val="21"/>
      </w:rPr>
      <w:t>桂林电子科技大学本科毕业设计报告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useFELayout/>
    <w:compatSetting w:name="compatibilityMode" w:uri="http://schemas.microsoft.com/office/word" w:val="15"/>
  </w:compat>
  <w:rsids>
    <w:rsidRoot w:val="00000000"/>
    <w:rsid w:val="47BD6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3"/>
    <w:semiHidden/>
    <w:unhideWhenUsed/>
    <w:uiPriority w:val="99"/>
    <w:pPr>
      <w:spacing w:after="0" w:line="240" w:lineRule="auto"/>
    </w:pPr>
    <w:rPr>
      <w:rFonts w:ascii="宋体" w:hAnsi="宋体" w:eastAsia="宋体" w:cs="宋体"/>
      <w:sz w:val="20"/>
      <w:szCs w:val="20"/>
    </w:r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iPriority w:val="0"/>
  </w:style>
  <w:style w:type="paragraph" w:styleId="13">
    <w:name w:val="footnote text"/>
    <w:link w:val="22"/>
    <w:semiHidden/>
    <w:unhideWhenUsed/>
    <w:uiPriority w:val="99"/>
    <w:pPr>
      <w:spacing w:after="0" w:line="240" w:lineRule="auto"/>
    </w:pPr>
    <w:rPr>
      <w:rFonts w:ascii="宋体" w:hAnsi="宋体" w:eastAsia="宋体" w:cs="宋体"/>
      <w:sz w:val="20"/>
      <w:szCs w:val="20"/>
    </w:rPr>
  </w:style>
  <w:style w:type="paragraph" w:styleId="14">
    <w:name w:val="toc 2"/>
    <w:basedOn w:val="1"/>
    <w:next w:val="1"/>
    <w:uiPriority w:val="0"/>
    <w:pPr>
      <w:ind w:left="420" w:leftChars="200"/>
    </w:pPr>
  </w:style>
  <w:style w:type="paragraph" w:styleId="15">
    <w:name w:val="Title"/>
    <w:qFormat/>
    <w:uiPriority w:val="0"/>
    <w:rPr>
      <w:rFonts w:ascii="宋体" w:hAnsi="宋体" w:eastAsia="宋体" w:cs="宋体"/>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rPr>
      <w:rFonts w:ascii="宋体" w:hAnsi="宋体" w:eastAsia="宋体" w:cs="宋体"/>
      <w:sz w:val="24"/>
      <w:szCs w:val="24"/>
    </w:rPr>
  </w:style>
  <w:style w:type="character" w:customStyle="1" w:styleId="22">
    <w:name w:val="Footnote Text Char"/>
    <w:link w:val="13"/>
    <w:semiHidden/>
    <w:unhideWhenUsed/>
    <w:uiPriority w:val="99"/>
    <w:rPr>
      <w:sz w:val="20"/>
      <w:szCs w:val="20"/>
    </w:rPr>
  </w:style>
  <w:style w:type="character" w:customStyle="1" w:styleId="23">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14985</Words>
  <Characters>18762</Characters>
  <TotalTime>74</TotalTime>
  <ScaleCrop>false</ScaleCrop>
  <LinksUpToDate>false</LinksUpToDate>
  <CharactersWithSpaces>19471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2026-05-01T06:01:00Z</dcterms:created>
  <dc:creator>Un-named</dc:creator>
  <cp:lastModifiedBy>WPS_1678538097</cp:lastModifiedBy>
  <dcterms:modified xsi:type="dcterms:W3CDTF">2026-05-01T07:35:52Z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eyJoZGlkIjoiODM2MDBmMjE0ZjliYTU3MWIzMzc1MTNkNDc0ZTI4YjciLCJ1c2VySWQiOiIxNDc5NTM3NzcxIn0=</vt:lpwstr>
  </property>
  <property fmtid="{D5CDD505-2E9C-101B-9397-08002B2CF9AE}" pid="3" name="KSOProductBuildVer">
    <vt:lpwstr>2052-12.1.0.25865</vt:lpwstr>
  </property>
  <property fmtid="{D5CDD505-2E9C-101B-9397-08002B2CF9AE}" pid="4" name="ICV">
    <vt:lpwstr>361F26214CA440AAA87D24D77AB5381A_12</vt:lpwstr>
  </property>
</Properties>
</file>