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line="276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YASHAR HEIDARI</w:t>
      </w:r>
    </w:p>
    <w:p>
      <w:pPr>
        <w:spacing w:after="40" w:line="276"/>
        <w:jc w:val="center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Sales &amp; Business Development Specialist</w:t>
      </w:r>
    </w:p>
    <w:p>
      <w:pPr>
        <w:spacing w:after="100" w:line="276"/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Messina, Italy · Open to Remote · +39 351 492 0315 · yashaarheidari@gmail.com · linkedin.com/in/yheidari · github.com/yheidari</w:t>
      </w:r>
    </w:p>
    <w:p>
      <w:pPr>
        <w:pBdr>
          <w:bottom w:val="single" w:color="1F3864" w:sz="6" w:space="1"/>
        </w:pBdr>
        <w:spacing w:after="80" w:before="220" w:line="276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PROFILE</w:t>
      </w:r>
    </w:p>
    <w:p>
      <w:pPr>
        <w:spacing w:after="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Sales &amp; Business Development Specialist with 5 years of experience in B2B SaaS pipeline generation, outbound prospecting, and deal acceleration. Booked 180+ qualified demos per quarter at Jumbula through Apollo + HubSpot workflows, and helped close $1.2M in net-new ARR. Strong in MEDDIC/BANT qualification, CRM hygiene, multi-channel outbound, and partnering with RevOps on forecast accuracy.</w:t>
      </w:r>
    </w:p>
    <w:p>
      <w:pPr>
        <w:pBdr>
          <w:bottom w:val="single" w:color="1F3864" w:sz="6" w:space="1"/>
        </w:pBdr>
        <w:spacing w:after="80" w:before="220" w:line="276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TECH STACK</w:t>
      </w:r>
    </w:p>
    <w:p>
      <w:pPr>
        <w:spacing w:after="40" w:before="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CRM &amp; Sales Tools: </w:t>
      </w:r>
      <w:r>
        <w:rPr>
          <w:rFonts w:ascii="Calibri" w:cs="Calibri" w:eastAsia="Calibri" w:hAnsi="Calibri"/>
          <w:sz w:val="21"/>
          <w:szCs w:val="21"/>
        </w:rPr>
        <w:t xml:space="preserve">HubSpot, Salesforce, Apollo.io, Outreach, Salesloft, Gong, Clari</w:t>
      </w:r>
    </w:p>
    <w:p>
      <w:pPr>
        <w:spacing w:after="40" w:before="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Prospecting &amp; Data: </w:t>
      </w:r>
      <w:r>
        <w:rPr>
          <w:rFonts w:ascii="Calibri" w:cs="Calibri" w:eastAsia="Calibri" w:hAnsi="Calibri"/>
          <w:sz w:val="21"/>
          <w:szCs w:val="21"/>
        </w:rPr>
        <w:t xml:space="preserve">LinkedIn Sales Navigator, ZoomInfo, Clay, Lusha, Hunter.io</w:t>
      </w:r>
    </w:p>
    <w:p>
      <w:pPr>
        <w:spacing w:after="40" w:before="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Outreach &amp; Enablement: </w:t>
      </w:r>
      <w:r>
        <w:rPr>
          <w:rFonts w:ascii="Calibri" w:cs="Calibri" w:eastAsia="Calibri" w:hAnsi="Calibri"/>
          <w:sz w:val="21"/>
          <w:szCs w:val="21"/>
        </w:rPr>
        <w:t xml:space="preserve">HubSpot Sequences, Apollo sequences, Loom, Calendly, Chili Piper</w:t>
      </w:r>
    </w:p>
    <w:p>
      <w:pPr>
        <w:spacing w:after="40" w:before="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Analytics &amp; Reporting: </w:t>
      </w:r>
      <w:r>
        <w:rPr>
          <w:rFonts w:ascii="Calibri" w:cs="Calibri" w:eastAsia="Calibri" w:hAnsi="Calibri"/>
          <w:sz w:val="21"/>
          <w:szCs w:val="21"/>
        </w:rPr>
        <w:t xml:space="preserve">SQL (PostgreSQL), Excel, Power BI, HubSpot Reports</w:t>
      </w:r>
    </w:p>
    <w:p>
      <w:pPr>
        <w:spacing w:after="40" w:before="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Methodologies: </w:t>
      </w:r>
      <w:r>
        <w:rPr>
          <w:rFonts w:ascii="Calibri" w:cs="Calibri" w:eastAsia="Calibri" w:hAnsi="Calibri"/>
          <w:sz w:val="21"/>
          <w:szCs w:val="21"/>
        </w:rPr>
        <w:t xml:space="preserve">MEDDIC, BANT, Challenger Sale, SPIN, consultative selling</w:t>
      </w:r>
    </w:p>
    <w:p>
      <w:pPr>
        <w:pBdr>
          <w:bottom w:val="single" w:color="1F3864" w:sz="6" w:space="1"/>
        </w:pBdr>
        <w:spacing w:after="80" w:before="220" w:line="276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EXPERIENCE</w:t>
      </w:r>
    </w:p>
    <w:p>
      <w:pPr>
        <w:tabs>
          <w:tab w:val="right" w:pos="9026"/>
        </w:tabs>
        <w:spacing w:after="20" w:before="10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Business Development Specialist</w:t>
      </w:r>
      <w:r>
        <w:rPr>
          <w:rFonts w:ascii="Calibri" w:cs="Calibri" w:eastAsia="Calibri" w:hAnsi="Calibri"/>
          <w:sz w:val="21"/>
          <w:szCs w:val="21"/>
        </w:rPr>
        <w:t xml:space="preserve">	2023 – 2025</w:t>
      </w:r>
      <w:r>
        <w:rPr>
          <w:rFonts w:ascii="Calibri" w:cs="Calibri" w:eastAsia="Calibri" w:hAnsi="Calibri"/>
          <w:b/>
          <w:bCs/>
          <w:sz w:val="21"/>
          <w:szCs w:val="21"/>
        </w:rPr>
        <w:br/>
        <w:t xml:space="preserve">Cafe Bazaar — Iran's largest Android app marketplace (40M+ users)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Built a 3-touch outbound sequence targeting app publishers that booked 90 qualified discovery calls per quarter at a 14% reply rate.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Partnered with marketing on 24 co-marketing deals with mid-tier publishers, driving $320K in incremental transaction volume.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Maintained a 600-account territory in CRM with &lt;2% data-quality errors vs. a 10% baseline, through weekly enrichment in Apollo/Clay.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Ran discovery and qualification using MEDDIC, raising demo-to-SQL conversion from 29% to 44%.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Built a weekly pipeline dashboard tracking 8 stages and 14 metrics for a team of 12, cutting forecast variance from 22% to 9%.</w:t>
      </w:r>
    </w:p>
    <w:p>
      <w:pPr>
        <w:tabs>
          <w:tab w:val="right" w:pos="9026"/>
        </w:tabs>
        <w:spacing w:after="20" w:before="10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SDR / Business Development Representative</w:t>
      </w:r>
      <w:r>
        <w:rPr>
          <w:rFonts w:ascii="Calibri" w:cs="Calibri" w:eastAsia="Calibri" w:hAnsi="Calibri"/>
          <w:sz w:val="21"/>
          <w:szCs w:val="21"/>
        </w:rPr>
        <w:t xml:space="preserve">	2020 – 2023</w:t>
      </w:r>
      <w:r>
        <w:rPr>
          <w:rFonts w:ascii="Calibri" w:cs="Calibri" w:eastAsia="Calibri" w:hAnsi="Calibri"/>
          <w:b/>
          <w:bCs/>
          <w:sz w:val="21"/>
          <w:szCs w:val="21"/>
        </w:rPr>
        <w:br/>
        <w:t xml:space="preserve">Jumbula — B2B SaaS for schools (US)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Delivered 180+ qualified demos per quarter via HubSpot and Apollo cadences across email, call, and LinkedIn — 2.1x quota attainment.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Drove $1.2M in net-new ARR closed across 75 accounts during tenure in partnership with 4 AEs.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Ran 12 multi-channel outbound plays on SMB districts, generating a 6.8% meeting-booked rate (industry benchmark: 3–4%).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Qualified 2,400+ inbound leads using a BANT scorecard and routed to the right AE, cutting lead-to-demo time from 5 days to 28 hours.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Ran monthly deal reviews with AEs and RevOps, improving stage hygiene and reducing stalled-deal aging by 37%.</w:t>
      </w:r>
    </w:p>
    <w:p>
      <w:pPr>
        <w:pBdr>
          <w:bottom w:val="single" w:color="1F3864" w:sz="6" w:space="1"/>
        </w:pBdr>
        <w:spacing w:after="80" w:before="220" w:line="276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KEY PROJECTS</w:t>
      </w:r>
    </w:p>
    <w:p>
      <w:pPr>
        <w:spacing w:after="20" w:before="8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Outbound Cadence Playbook — </w:t>
      </w:r>
      <w:r>
        <w:rPr>
          <w:rFonts w:ascii="Calibri" w:cs="Calibri" w:eastAsia="Calibri" w:hAnsi="Calibri"/>
          <w:sz w:val="21"/>
          <w:szCs w:val="21"/>
        </w:rPr>
        <w:t xml:space="preserve">HubSpot, Apollo, Gong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Wrote a 3-sequence playbook (SMB, mid-market, enterprise) adopted by 8 reps — lifted team reply rate from 4% to 9%.</w:t>
      </w:r>
    </w:p>
    <w:p>
      <w:pPr>
        <w:spacing w:after="20" w:before="8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Pipeline Hygiene Audit — </w:t>
      </w:r>
      <w:r>
        <w:rPr>
          <w:rFonts w:ascii="Calibri" w:cs="Calibri" w:eastAsia="Calibri" w:hAnsi="Calibri"/>
          <w:sz w:val="21"/>
          <w:szCs w:val="21"/>
        </w:rPr>
        <w:t xml:space="preserve">Salesforce, SQL, Excel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Audited 2K open opps, flagged 22% as stale, automated cleanup triggers — tightened forecast accuracy to within 9%.</w:t>
      </w:r>
    </w:p>
    <w:p>
      <w:pPr>
        <w:pBdr>
          <w:bottom w:val="single" w:color="1F3864" w:sz="6" w:space="1"/>
        </w:pBdr>
        <w:spacing w:after="80" w:before="220" w:line="276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HubSpot Sales Software Certified — HubSpot Academy, 2024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Salesforce Certified Associate — Salesforce Trailhead, 2024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MEDDIC Core Certification — MEDDIC Academy, 2024</w:t>
      </w:r>
    </w:p>
    <w:p>
      <w:pPr>
        <w:pBdr>
          <w:bottom w:val="single" w:color="1F3864" w:sz="6" w:space="1"/>
        </w:pBdr>
        <w:spacing w:after="80" w:before="220" w:line="276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EDUCATION</w:t>
      </w:r>
    </w:p>
    <w:p>
      <w:pPr>
        <w:spacing w:after="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BSc Computer Science (Data Analysis) · University of Messina, Italy · Expected 2027 (In Progress)</w:t>
      </w:r>
    </w:p>
    <w:p>
      <w:pPr>
        <w:pBdr>
          <w:bottom w:val="single" w:color="1F3864" w:sz="6" w:space="1"/>
        </w:pBdr>
        <w:spacing w:after="80" w:before="220" w:line="276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LANGUAGES</w:t>
      </w:r>
    </w:p>
    <w:p>
      <w:pPr>
        <w:spacing w:after="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English — Professional working proficiency (C1) · Turkish — Native · Azerbaijani — Native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YASHAR HEIDARI — Sales &amp; Business Development Specialist</dc:title>
  <dc:creator>YASHAR HEIDARI</dc:creator>
  <cp:lastModifiedBy>Un-named</cp:lastModifiedBy>
  <cp:revision>1</cp:revision>
  <dcterms:created xsi:type="dcterms:W3CDTF">2026-04-16T23:51:43.620Z</dcterms:created>
  <dcterms:modified xsi:type="dcterms:W3CDTF">2026-04-16T23:51:43.620Z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