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rPr>
          <w:rFonts w:ascii="Times New Roman" w:hAnsi="Times New Roman"/>
        </w:rPr>
      </w:pPr>
      <w:bookmarkStart w:id="0" w:name="_Toc74838523"/>
      <w:r>
        <w:rPr>
          <w:rFonts w:ascii="Times New Roman" w:hAnsi="Times New Roman"/>
        </w:rPr>
        <w:t>研究内容和技术方案</w:t>
      </w:r>
      <w:bookmarkEnd w:id="0"/>
    </w:p>
    <w:p>
      <w:pPr>
        <w:pStyle w:val="10"/>
      </w:pPr>
      <w:bookmarkStart w:id="1" w:name="_Toc74838524"/>
      <w:r>
        <w:t>任务书规定的总体技术方案及实施过程、实现效果</w:t>
      </w:r>
      <w:bookmarkEnd w:id="1"/>
    </w:p>
    <w:p>
      <w:pPr>
        <w:pStyle w:val="3"/>
      </w:pPr>
      <w:bookmarkStart w:id="2" w:name="_Toc74838525"/>
      <w:r>
        <w:rPr>
          <w:rFonts w:hint="eastAsia"/>
          <w:lang w:eastAsia="zh-CN"/>
        </w:rPr>
        <w:t>1.1</w:t>
      </w:r>
      <w:r>
        <w:t>.1总体技术方案</w:t>
      </w:r>
      <w:bookmarkEnd w:id="2"/>
    </w:p>
    <w:p>
      <w:pPr>
        <w:pStyle w:val="11"/>
      </w:pPr>
      <w:r>
        <w:t>本项目以天基、空基、地基三类遥感数据作为支撑。</w:t>
      </w:r>
    </w:p>
    <w:p>
      <w:pPr>
        <w:pStyle w:val="11"/>
      </w:pPr>
      <w:r>
        <w:t>天基数据主要是指卫星遥感数据，国内的遥感卫星主要有高分系列、资源一号、三号系列、环境系列、风云系列及高景星座等；国外的遥感卫星主要为MODIS、LANDSAT系列、Worldview系列、葵花系列、哨兵系列、QuickBird等。应用上述国内外遥感卫星所获取的研究区域高空间分辨率、高光谱分辨率遥感数据。</w:t>
      </w:r>
    </w:p>
    <w:p>
      <w:pPr>
        <w:pStyle w:val="11"/>
      </w:pPr>
      <w:r>
        <w:t xml:space="preserve">空基数据主要通过航空遥感平台获取，如低空无人机遥感途径所采集的调查样地地表影像数据，机载光谱仪所获取的地面光谱信息。 </w:t>
      </w:r>
    </w:p>
    <w:p>
      <w:pPr>
        <w:pStyle w:val="11"/>
      </w:pPr>
      <w:r>
        <w:t>地基数据在本项目具体实施中将会根据实际条件选择使用，包括实验样地内生物量统计数据、各层土壤含水量记录、通过手持光谱仪采集的地物光谱等，还包括一些气象站点实测的地表温度、降雨、雪量等数据，牧场工作人员统计的牛羊数量信息，牧草高度的测量或估测数据等。</w:t>
      </w:r>
    </w:p>
    <w:p>
      <w:pPr>
        <w:pStyle w:val="11"/>
      </w:pPr>
      <w:r>
        <w:t>在天基、空基、地基三类遥感数据的支撑下，完成积雪分布信息提取、雪灾风险评估、地表温度反演、土壤含水量反演、草原干旱评估、土地利用分类、植被覆盖度反演、荒漠化评估、生物量估算、生态健康评估、草原火灾风险评估等多个模型的研究，并将模型集成为系统，结合青海省实测数据进行实地应用。</w:t>
      </w:r>
    </w:p>
    <w:p>
      <w:pPr>
        <w:pStyle w:val="11"/>
        <w:ind w:firstLine="0" w:firstLineChars="0"/>
      </w:pPr>
      <w:r>
        <w:drawing>
          <wp:inline distT="0" distB="0" distL="0" distR="0">
            <wp:extent cx="5274310" cy="2047240"/>
            <wp:effectExtent l="0" t="0" r="2540" b="1016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274310" cy="2047240"/>
                    </a:xfrm>
                    <a:prstGeom prst="rect">
                      <a:avLst/>
                    </a:prstGeom>
                    <a:noFill/>
                    <a:ln>
                      <a:noFill/>
                    </a:ln>
                  </pic:spPr>
                </pic:pic>
              </a:graphicData>
            </a:graphic>
          </wp:inline>
        </w:drawing>
      </w:r>
    </w:p>
    <w:p>
      <w:pPr>
        <w:pStyle w:val="5"/>
        <w:numPr>
          <w:ilvl w:val="0"/>
          <w:numId w:val="2"/>
        </w:numPr>
        <w:autoSpaceDE w:val="0"/>
        <w:autoSpaceDN w:val="0"/>
        <w:spacing w:after="0" w:line="360" w:lineRule="auto"/>
        <w:jc w:val="center"/>
      </w:pPr>
      <w:r>
        <w:t>项目总体技术路线</w:t>
      </w:r>
    </w:p>
    <w:p>
      <w:pPr>
        <w:pStyle w:val="3"/>
      </w:pPr>
      <w:bookmarkStart w:id="3" w:name="_Toc74838526"/>
      <w:r>
        <w:rPr>
          <w:rFonts w:hint="eastAsia"/>
          <w:lang w:eastAsia="zh-CN"/>
        </w:rPr>
        <w:t>1.1</w:t>
      </w:r>
      <w:r>
        <w:t>.2 总体架构设计</w:t>
      </w:r>
      <w:bookmarkEnd w:id="3"/>
    </w:p>
    <w:p>
      <w:pPr>
        <w:pStyle w:val="11"/>
      </w:pPr>
      <w:r>
        <w:t>高寒草地生态畜牧业大数据管理系统构建，针对高寒草地畜牧业的特点，应用GF-4结合GF-1、GF-2、GF-3、大数据存储与管理、云计算、物联网等新一代信息技术，建立以大数据为支撑的生态畜牧业管理决策支撑体系，并派生出产品，面向对政府需求及州县畜牧业进行产品分发。</w:t>
      </w:r>
    </w:p>
    <w:p>
      <w:pPr>
        <w:pStyle w:val="11"/>
      </w:pPr>
      <w:r>
        <w:t>总体技术方案如下图所示。</w:t>
      </w:r>
    </w:p>
    <w:p>
      <w:pPr>
        <w:pStyle w:val="11"/>
        <w:ind w:firstLine="420"/>
      </w:pPr>
      <w:r>
        <w:drawing>
          <wp:inline distT="0" distB="0" distL="0" distR="0">
            <wp:extent cx="5274310" cy="6821170"/>
            <wp:effectExtent l="0" t="0" r="2540" b="1778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6821335"/>
                    </a:xfrm>
                    <a:prstGeom prst="rect">
                      <a:avLst/>
                    </a:prstGeom>
                  </pic:spPr>
                </pic:pic>
              </a:graphicData>
            </a:graphic>
          </wp:inline>
        </w:drawing>
      </w:r>
    </w:p>
    <w:p>
      <w:pPr>
        <w:pStyle w:val="5"/>
        <w:numPr>
          <w:ilvl w:val="0"/>
          <w:numId w:val="2"/>
        </w:numPr>
        <w:autoSpaceDE w:val="0"/>
        <w:autoSpaceDN w:val="0"/>
        <w:spacing w:after="0" w:line="360" w:lineRule="auto"/>
        <w:jc w:val="center"/>
      </w:pPr>
      <w:r>
        <w:t>高分生态畜牧业大数据监管平台总体技术路线图</w:t>
      </w:r>
    </w:p>
    <w:p>
      <w:pPr>
        <w:pStyle w:val="11"/>
      </w:pPr>
      <w:r>
        <w:t>（1）生态畜牧业大数据的获取。生态畜牧业大数据的数据来源主要包括基础地理信息（地形图、高分系列遥感影像、土地利用数据、在线公共地图资源等）、畜牧业行业数据、草场专题数据、牲畜位置数据以及通过各种硬件设备野外采集的监测数据等。</w:t>
      </w:r>
    </w:p>
    <w:p>
      <w:pPr>
        <w:pStyle w:val="11"/>
      </w:pPr>
      <w:r>
        <w:t>（2）生态畜牧业大数据的处理与融合。对于各种不同来源的空间数据，在建立数据库之前需要进行处理与融合，需要完成位置基准、空间关系、几何尺度、数据格式的一致性处理和语义属性的融合处理等。需要完成高分系列遥感影像的区域网平差、正射校正、影像镶嵌等。对于野外采集硬件设备获取的监测数据还要进行协议的解析。</w:t>
      </w:r>
    </w:p>
    <w:p>
      <w:pPr>
        <w:pStyle w:val="11"/>
      </w:pPr>
      <w:r>
        <w:t>（3）生态畜牧业大数据云存储与管理。需要完成畜牧业大数据库的初始化、入库、管理、高效访问与更新。大数据存储与管理，首先需要完成高效地从海量空间数据中抽取符合条件的数据，需要建立畜牧业大数据的索引机制，利用R-tree、Voronoi 图等索引技术原理，实现相应的索引算法，减少查询中分组、统计和排序时间，加快数据的检索速度，提高系统的性能和响应时间。</w:t>
      </w:r>
    </w:p>
    <w:p>
      <w:pPr>
        <w:pStyle w:val="11"/>
      </w:pPr>
      <w:r>
        <w:t>（4）生态畜牧业大数据访问与分析。从数据库中提取的相关数据需要在计算机的内存中按照一定数据结构进行组织，以方便计算、统计和分析，因此，需要设计适应云计算框架的空间数据访问引擎来支持底图、草场、畜牧业专题地图访问与叠加、可视化、通用空间分析以及养殖模式、草畜耦合、游牧路线规划、草地生态保护等决策支持模型的计算与分析。</w:t>
      </w:r>
    </w:p>
    <w:p>
      <w:pPr>
        <w:pStyle w:val="11"/>
      </w:pPr>
      <w:r>
        <w:t>（5）基于畜牧业大数据的决策支持与服务。通过查询、统计分析报告和各种专题地图的可视化等方式相结合来多角度展示大数据挖掘与知识发现的成果。通过网络共享与消息推送服务，使得各级政府、科研机构、学术单位、畜牧企业、农户等及时了解相关信息，为制定畜牧业发展政策、生产管理、灾害预防、市场预测和生态保护等提供辅助决策支持服务。</w:t>
      </w:r>
    </w:p>
    <w:p>
      <w:pPr>
        <w:pStyle w:val="3"/>
      </w:pPr>
      <w:bookmarkStart w:id="4" w:name="_Toc74838527"/>
      <w:r>
        <w:rPr>
          <w:rFonts w:hint="eastAsia"/>
          <w:lang w:eastAsia="zh-CN"/>
        </w:rPr>
        <w:t>1.1</w:t>
      </w:r>
      <w:r>
        <w:t>.3各子系统技术处理方案</w:t>
      </w:r>
      <w:bookmarkEnd w:id="4"/>
    </w:p>
    <w:p>
      <w:pPr>
        <w:pStyle w:val="4"/>
      </w:pPr>
      <w:r>
        <w:rPr>
          <w:rFonts w:hint="eastAsia"/>
          <w:lang w:eastAsia="zh-CN"/>
        </w:rPr>
        <w:t>1.1</w:t>
      </w:r>
      <w:r>
        <w:t>.3.1生态监测与高寒草地共性遥感信息处理系统</w:t>
      </w:r>
    </w:p>
    <w:p>
      <w:pPr>
        <w:pStyle w:val="11"/>
      </w:pPr>
      <w:r>
        <w:t>设计标准化的遥感处理流程，主要包括辐射定标、大气纠正、几何纠正、投影转换、影像镶嵌以及格式转换等步骤，确保不同来源的遥感数据(GF-4及GF-1、GF-2、GF-3）具有统一的空间范围、投影参数以及数据存储格式等；根据各类遥感数据的存储格式特征（HDF、TIFF格式等），以及IDL、Matlab、ArcGIS Engine、MRT Swath等软件系统的技术特点，选择适合的处理平台开展相关软件功能的设计，将遥感处理的主要技术流程模块化、软件化；为了满足大范围海量数据批量处理的要求，在软件研发过程中，设计面向云端的并行化软硬件架构，通过Open MPI标准并行库开展并行程序开发；最后，利用强大的云计算技术，将网络中的计算资源和存储资源进行整合，通过对网络资源的智能调度，实现海量遥感信息数据的快速批量处理。</w:t>
      </w:r>
    </w:p>
    <w:p>
      <w:pPr>
        <w:pStyle w:val="11"/>
      </w:pPr>
      <w:r>
        <w:t>在标准化遥感影像资料的基础上，结合草地调查、地物光谱等地面监测资料以及专家知识系统，实现对三江源区草地资源空间分布数据的遥感解译；基于多期草地分布数据，通过逐像元自动匹配的方法，掌握不同时期的草地退化态势；基于标准化处理后的MODIS和AVHRR NDVI遥感数据，利用像元二元模型理论完成三江源区植被覆盖度的遥感反演。</w:t>
      </w:r>
    </w:p>
    <w:p>
      <w:pPr>
        <w:pStyle w:val="5"/>
        <w:spacing w:line="360" w:lineRule="auto"/>
        <w:jc w:val="center"/>
      </w:pPr>
      <w:r>
        <w:rPr>
          <w:sz w:val="20"/>
        </w:rPr>
        <w:drawing>
          <wp:inline distT="0" distB="0" distL="0" distR="0">
            <wp:extent cx="5054600" cy="5311140"/>
            <wp:effectExtent l="0" t="0" r="12700" b="381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6" cstate="print"/>
                    <a:stretch>
                      <a:fillRect/>
                    </a:stretch>
                  </pic:blipFill>
                  <pic:spPr>
                    <a:xfrm>
                      <a:off x="0" y="0"/>
                      <a:ext cx="5054633" cy="5311140"/>
                    </a:xfrm>
                    <a:prstGeom prst="rect">
                      <a:avLst/>
                    </a:prstGeom>
                  </pic:spPr>
                </pic:pic>
              </a:graphicData>
            </a:graphic>
          </wp:inline>
        </w:drawing>
      </w:r>
    </w:p>
    <w:p>
      <w:pPr>
        <w:pStyle w:val="5"/>
        <w:numPr>
          <w:ilvl w:val="0"/>
          <w:numId w:val="2"/>
        </w:numPr>
        <w:autoSpaceDE w:val="0"/>
        <w:autoSpaceDN w:val="0"/>
        <w:spacing w:after="0" w:line="360" w:lineRule="auto"/>
        <w:jc w:val="center"/>
      </w:pPr>
      <w:r>
        <w:t>生态监测与高寒草地共性遥感信息处理系统图</w:t>
      </w:r>
    </w:p>
    <w:p>
      <w:pPr>
        <w:pStyle w:val="11"/>
      </w:pPr>
      <w:r>
        <w:t>通过数据库集成来实现全省高分遥感数据与草地生态环境数据的统一管理。数据库包括遥感影像数据库、基础地理信息数据库、基础生态环境数据库、行业资料数据库、遥感数据产品数据库和生态环境专题产品数据库。遥感影像数据库主要存储各级各类的遥感影像产品，主要包括高分四号、高分一号、高分二号卫星数据、MODIS、Landsat资源系列卫星数据的各级遥感影像；基础地理信息数据库包括多级行政区划、地名、交通、地形地貌、地质地貌等全省基础地理信息数据；基础生态环境数据库包括地形气象观测数据、植被数据、土壤数据、河流与水文水系数据、高寒草地数据、以及光谱数据和解译标志数据等各类草地生态环境相关数据；遥感数据产品库包括直接利用高分卫星遥感及其它多源遥感数据生成的遥感数据产品，例如光谱反射率数据、植被指数、土壤指数、水体指数、地表温度、净辐射、气溶胶光学厚、土地利用/覆盖分类数据等；草地生态专题产品数据库则包括基于遥感数据产品和行业数据生产的高级草地生态环境要素数据，包括草地资源数据、湖泊与湿地数据、人工草地与种植结构、植被覆盖度、叶面积指数、生物量、土壤水分、蒸散发、沙漠化等等的生态环境要素数据。为用户提供入库、查询、更新和月除等常用功能，解决生态畜牧业相关数据信息的智能化管理。</w:t>
      </w:r>
    </w:p>
    <w:p>
      <w:pPr>
        <w:pStyle w:val="11"/>
      </w:pPr>
      <w:r>
        <w:t>（1）辐射定标</w:t>
      </w:r>
    </w:p>
    <w:p>
      <w:pPr>
        <w:pStyle w:val="11"/>
      </w:pPr>
      <w:r>
        <w:t>为了消除高分传感器本身的误差，确定传感器入口处的准确辐射值，需要将图像的亮度灰度值转换为绝对辐射亮度，将传感器记录的原始DN值转换为辐射亮度值的过程就是辐射定标。</w:t>
      </w:r>
    </w:p>
    <w:p>
      <w:pPr>
        <w:pStyle w:val="11"/>
      </w:pPr>
      <w:r>
        <w:t>本系统设置的辐射定标功能用以帮助实现此过程。辐射定标功能针对GF-1、GF-2、GF-4、GF-5、GF-6、GF-7卫星多光谱影像，其中GF-5的参数可以在头文件中主动获取，其他GF卫星参数获取则需要用户输入相应的信息。</w:t>
      </w:r>
    </w:p>
    <w:p>
      <w:pPr>
        <w:pStyle w:val="11"/>
      </w:pPr>
      <w:r>
        <w:t>具体过程为：输入遥感数据，选择卫星、传感器与成像年份，输出辐射定标后的数据。</w:t>
      </w:r>
    </w:p>
    <w:p>
      <w:pPr>
        <w:pStyle w:val="5"/>
        <w:spacing w:line="360" w:lineRule="auto"/>
        <w:jc w:val="center"/>
      </w:pPr>
      <w:r>
        <w:drawing>
          <wp:inline distT="0" distB="0" distL="0" distR="0">
            <wp:extent cx="4467225" cy="3119755"/>
            <wp:effectExtent l="0" t="0" r="9525"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4501303" cy="3144078"/>
                    </a:xfrm>
                    <a:prstGeom prst="rect">
                      <a:avLst/>
                    </a:prstGeom>
                  </pic:spPr>
                </pic:pic>
              </a:graphicData>
            </a:graphic>
          </wp:inline>
        </w:drawing>
      </w:r>
    </w:p>
    <w:p>
      <w:pPr>
        <w:pStyle w:val="5"/>
        <w:numPr>
          <w:ilvl w:val="0"/>
          <w:numId w:val="2"/>
        </w:numPr>
        <w:autoSpaceDE w:val="0"/>
        <w:autoSpaceDN w:val="0"/>
        <w:spacing w:after="0" w:line="360" w:lineRule="auto"/>
        <w:jc w:val="center"/>
      </w:pPr>
      <w:r>
        <w:t>辐射定标功能界面</w:t>
      </w:r>
    </w:p>
    <w:p>
      <w:pPr>
        <w:pStyle w:val="11"/>
      </w:pPr>
      <w:r>
        <w:t>（2）大气校正</w:t>
      </w:r>
    </w:p>
    <w:p>
      <w:pPr>
        <w:pStyle w:val="11"/>
      </w:pPr>
      <w:r>
        <w:t>大气校正是指传感器最终测得的地面目标的总辐射亮度并不是地表真实反射率的反映，其中包含了由大气吸收，尤其是散射作用造成的辐射量误差。大气校正就是消除这些由大气影响所造成的辐射误差，反演地物真实的表面反射率的过程。</w:t>
      </w:r>
    </w:p>
    <w:p>
      <w:pPr>
        <w:pStyle w:val="11"/>
      </w:pPr>
      <w:r>
        <w:t>本系统设置的大气校正功能用以实现此过程。大气校正功能针对GF-1、GF-2影像，调用py6s接口，自动读取影像头文件信息，对遥感影像进行大气校正批处理。</w:t>
      </w:r>
    </w:p>
    <w:p>
      <w:pPr>
        <w:jc w:val="center"/>
      </w:pPr>
      <w:r>
        <w:drawing>
          <wp:inline distT="0" distB="0" distL="0" distR="0">
            <wp:extent cx="3216275" cy="5237480"/>
            <wp:effectExtent l="0" t="0" r="3175" b="1270"/>
            <wp:docPr id="5" name="图片 5" descr="C:\Users\Administrator\AppData\Local\Temp\WeChat Files\c1c8c8388bc06bee909aeef591a64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Administrator\AppData\Local\Temp\WeChat Files\c1c8c8388bc06bee909aeef591a647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221762" cy="5246084"/>
                    </a:xfrm>
                    <a:prstGeom prst="rect">
                      <a:avLst/>
                    </a:prstGeom>
                    <a:noFill/>
                    <a:ln>
                      <a:noFill/>
                    </a:ln>
                  </pic:spPr>
                </pic:pic>
              </a:graphicData>
            </a:graphic>
          </wp:inline>
        </w:drawing>
      </w:r>
    </w:p>
    <w:p>
      <w:pPr>
        <w:pStyle w:val="5"/>
        <w:numPr>
          <w:ilvl w:val="0"/>
          <w:numId w:val="2"/>
        </w:numPr>
        <w:autoSpaceDE w:val="0"/>
        <w:autoSpaceDN w:val="0"/>
        <w:spacing w:after="0" w:line="360" w:lineRule="auto"/>
        <w:jc w:val="center"/>
      </w:pPr>
      <w:r>
        <w:rPr>
          <w:color w:val="000000" w:themeColor="text1"/>
          <w14:textFill>
            <w14:solidFill>
              <w14:schemeClr w14:val="tx1"/>
            </w14:solidFill>
          </w14:textFill>
        </w:rPr>
        <w:t>大气校正</w:t>
      </w:r>
      <w:r>
        <w:t>功能界面</w:t>
      </w:r>
    </w:p>
    <w:p>
      <w:pPr>
        <w:pStyle w:val="11"/>
      </w:pPr>
      <w:r>
        <w:t>（3）植被覆盖度</w:t>
      </w:r>
    </w:p>
    <w:p>
      <w:pPr>
        <w:pStyle w:val="11"/>
        <w:rPr>
          <w:color w:val="000000" w:themeColor="text1"/>
          <w14:textFill>
            <w14:solidFill>
              <w14:schemeClr w14:val="tx1"/>
            </w14:solidFill>
          </w14:textFill>
        </w:rPr>
      </w:pPr>
      <w:r>
        <w:rPr>
          <w:color w:val="000000" w:themeColor="text1"/>
          <w14:textFill>
            <w14:solidFill>
              <w14:schemeClr w14:val="tx1"/>
            </w14:solidFill>
          </w14:textFill>
        </w:rPr>
        <w:t>植被覆盖率指某一地域植物</w:t>
      </w:r>
      <w:r>
        <w:fldChar w:fldCharType="begin"/>
      </w:r>
      <w:r>
        <w:instrText xml:space="preserve"> HYPERLINK "https://baike.baidu.com/item/%E5%9E%82%E7%9B%B4%E6%8A%95%E5%BD%B1%E9%9D%A2%E7%A7%AF/1587057" \t "_blank" </w:instrText>
      </w:r>
      <w:r>
        <w:fldChar w:fldCharType="separate"/>
      </w:r>
      <w:r>
        <w:rPr>
          <w:color w:val="000000" w:themeColor="text1"/>
          <w14:textFill>
            <w14:solidFill>
              <w14:schemeClr w14:val="tx1"/>
            </w14:solidFill>
          </w14:textFill>
        </w:rPr>
        <w:t>垂直投影面积</w:t>
      </w:r>
      <w:r>
        <w:rPr>
          <w:color w:val="000000" w:themeColor="text1"/>
          <w14:textFill>
            <w14:solidFill>
              <w14:schemeClr w14:val="tx1"/>
            </w14:solidFill>
          </w14:textFill>
        </w:rPr>
        <w:fldChar w:fldCharType="end"/>
      </w:r>
      <w:r>
        <w:rPr>
          <w:color w:val="000000" w:themeColor="text1"/>
          <w14:textFill>
            <w14:solidFill>
              <w14:schemeClr w14:val="tx1"/>
            </w14:solidFill>
          </w14:textFill>
        </w:rPr>
        <w:t>与该地域面积之比，用百分数表示。</w:t>
      </w:r>
    </w:p>
    <w:p>
      <w:pPr>
        <w:pStyle w:val="11"/>
        <w:rPr>
          <w:snapToGrid w:val="0"/>
        </w:rPr>
      </w:pPr>
      <w:r>
        <w:rPr>
          <w:snapToGrid w:val="0"/>
        </w:rPr>
        <w:t>植被覆盖度反演的具体功能是对牧区草原植被覆盖度进行遥感测算，由于各种植被指数和反演系统在不同情况下的结果具有差异性，通过对各植被指数和反演系统的结果进行对比分析，从各个处理结果中选取结果最为准确的植被指数和反演系统作为通用处理系统，利用此系统建立最适合青海草原植被覆盖度的遥感监测系统，最终得到研究区的植被覆盖度分布图。</w:t>
      </w:r>
    </w:p>
    <w:p>
      <w:pPr>
        <w:pStyle w:val="11"/>
        <w:rPr>
          <w:snapToGrid w:val="0"/>
        </w:rPr>
      </w:pPr>
      <w:r>
        <w:rPr>
          <w:snapToGrid w:val="0"/>
        </w:rPr>
        <w:t>利用各地区的植被覆盖度分布图可以指导牧民进行科学合理的放牧，帮助牧民规划放牧路线，更大限度的利用资源，防止过度放牧。</w:t>
      </w:r>
    </w:p>
    <w:p>
      <w:pPr>
        <w:pStyle w:val="5"/>
        <w:spacing w:line="360" w:lineRule="auto"/>
        <w:jc w:val="center"/>
      </w:pPr>
      <w:r>
        <w:rPr>
          <w:rFonts w:eastAsia="微软雅黑"/>
          <w:sz w:val="22"/>
        </w:rPr>
        <w:drawing>
          <wp:inline distT="0" distB="0" distL="0" distR="0">
            <wp:extent cx="1010285" cy="4086225"/>
            <wp:effectExtent l="0" t="0" r="18415" b="9525"/>
            <wp:docPr id="1037" name="图片 30"/>
            <wp:cNvGraphicFramePr/>
            <a:graphic xmlns:a="http://schemas.openxmlformats.org/drawingml/2006/main">
              <a:graphicData uri="http://schemas.openxmlformats.org/drawingml/2006/picture">
                <pic:pic xmlns:pic="http://schemas.openxmlformats.org/drawingml/2006/picture">
                  <pic:nvPicPr>
                    <pic:cNvPr id="1037" name="图片 30"/>
                    <pic:cNvPicPr/>
                  </pic:nvPicPr>
                  <pic:blipFill>
                    <a:blip r:embed="rId9" cstate="print"/>
                    <a:srcRect/>
                    <a:stretch>
                      <a:fillRect/>
                    </a:stretch>
                  </pic:blipFill>
                  <pic:spPr>
                    <a:xfrm>
                      <a:off x="0" y="0"/>
                      <a:ext cx="1021368" cy="4128936"/>
                    </a:xfrm>
                    <a:prstGeom prst="rect">
                      <a:avLst/>
                    </a:prstGeom>
                  </pic:spPr>
                </pic:pic>
              </a:graphicData>
            </a:graphic>
          </wp:inline>
        </w:drawing>
      </w:r>
    </w:p>
    <w:p>
      <w:pPr>
        <w:pStyle w:val="5"/>
        <w:numPr>
          <w:ilvl w:val="0"/>
          <w:numId w:val="2"/>
        </w:numPr>
        <w:autoSpaceDE w:val="0"/>
        <w:autoSpaceDN w:val="0"/>
        <w:spacing w:after="0" w:line="360" w:lineRule="auto"/>
        <w:jc w:val="center"/>
        <w:rPr>
          <w:color w:val="000000" w:themeColor="text1"/>
          <w14:textFill>
            <w14:solidFill>
              <w14:schemeClr w14:val="tx1"/>
            </w14:solidFill>
          </w14:textFill>
        </w:rPr>
      </w:pPr>
      <w:r>
        <w:rPr>
          <w:color w:val="000000" w:themeColor="text1"/>
          <w14:textFill>
            <w14:solidFill>
              <w14:schemeClr w14:val="tx1"/>
            </w14:solidFill>
          </w14:textFill>
        </w:rPr>
        <w:t>功能实现流程</w:t>
      </w:r>
    </w:p>
    <w:p>
      <w:pPr>
        <w:pStyle w:val="11"/>
        <w:rPr>
          <w:snapToGrid w:val="0"/>
        </w:rPr>
      </w:pPr>
      <w:r>
        <w:rPr>
          <w:rFonts w:hint="eastAsia" w:ascii="宋体" w:hAnsi="宋体" w:eastAsia="宋体" w:cs="宋体"/>
          <w:snapToGrid w:val="0"/>
        </w:rPr>
        <w:t>①</w:t>
      </w:r>
      <w:r>
        <w:rPr>
          <w:snapToGrid w:val="0"/>
        </w:rPr>
        <w:t>原始高分遥感影像：本系统建议选择多光谱数据</w:t>
      </w:r>
    </w:p>
    <w:p>
      <w:pPr>
        <w:pStyle w:val="11"/>
        <w:rPr>
          <w:snapToGrid w:val="0"/>
        </w:rPr>
      </w:pPr>
      <w:r>
        <w:rPr>
          <w:rFonts w:hint="eastAsia" w:ascii="宋体" w:hAnsi="宋体" w:eastAsia="宋体" w:cs="宋体"/>
          <w:snapToGrid w:val="0"/>
        </w:rPr>
        <w:t>②</w:t>
      </w:r>
      <w:r>
        <w:rPr>
          <w:snapToGrid w:val="0"/>
        </w:rPr>
        <w:t>数据预处理：对遥感影像进行辐射定标、辐射校正、大气校正、几何精校正处理。</w:t>
      </w:r>
    </w:p>
    <w:p>
      <w:pPr>
        <w:pStyle w:val="11"/>
        <w:rPr>
          <w:snapToGrid w:val="0"/>
        </w:rPr>
      </w:pPr>
      <w:r>
        <w:rPr>
          <w:rFonts w:hint="eastAsia" w:ascii="宋体" w:hAnsi="宋体" w:eastAsia="宋体" w:cs="宋体"/>
          <w:snapToGrid w:val="0"/>
        </w:rPr>
        <w:t>③</w:t>
      </w:r>
      <w:r>
        <w:rPr>
          <w:snapToGrid w:val="0"/>
        </w:rPr>
        <w:t>植被覆盖度反演系统：基于植被覆盖度反演算法实现，根据影像数据计算遥感影像的NDVI值，利用遥感影像的NDVI值通过算法估算地区植被覆盖度。</w:t>
      </w:r>
    </w:p>
    <w:p>
      <w:pPr>
        <w:pStyle w:val="5"/>
        <w:spacing w:line="360" w:lineRule="auto"/>
        <w:jc w:val="center"/>
        <w:rPr>
          <w:rFonts w:eastAsia="微软雅黑"/>
          <w:sz w:val="22"/>
        </w:rPr>
      </w:pPr>
      <w:bookmarkStart w:id="5" w:name="_Hlk51234449"/>
      <w:r>
        <w:rPr>
          <w:rFonts w:eastAsia="微软雅黑"/>
          <w:sz w:val="22"/>
        </w:rPr>
        <w:drawing>
          <wp:inline distT="0" distB="0" distL="0" distR="0">
            <wp:extent cx="2800350" cy="1466850"/>
            <wp:effectExtent l="0" t="0" r="0" b="0"/>
            <wp:docPr id="1038" name="图片 31"/>
            <wp:cNvGraphicFramePr/>
            <a:graphic xmlns:a="http://schemas.openxmlformats.org/drawingml/2006/main">
              <a:graphicData uri="http://schemas.openxmlformats.org/drawingml/2006/picture">
                <pic:pic xmlns:pic="http://schemas.openxmlformats.org/drawingml/2006/picture">
                  <pic:nvPicPr>
                    <pic:cNvPr id="1038" name="图片 31"/>
                    <pic:cNvPicPr/>
                  </pic:nvPicPr>
                  <pic:blipFill>
                    <a:blip r:embed="rId10" cstate="print"/>
                    <a:srcRect/>
                    <a:stretch>
                      <a:fillRect/>
                    </a:stretch>
                  </pic:blipFill>
                  <pic:spPr>
                    <a:xfrm>
                      <a:off x="0" y="0"/>
                      <a:ext cx="2800350" cy="1466850"/>
                    </a:xfrm>
                    <a:prstGeom prst="rect">
                      <a:avLst/>
                    </a:prstGeom>
                  </pic:spPr>
                </pic:pic>
              </a:graphicData>
            </a:graphic>
          </wp:inline>
        </w:drawing>
      </w:r>
    </w:p>
    <w:p>
      <w:pPr>
        <w:pStyle w:val="5"/>
        <w:numPr>
          <w:ilvl w:val="0"/>
          <w:numId w:val="2"/>
        </w:numPr>
        <w:autoSpaceDE w:val="0"/>
        <w:autoSpaceDN w:val="0"/>
        <w:spacing w:after="0" w:line="360" w:lineRule="auto"/>
        <w:jc w:val="center"/>
        <w:rPr>
          <w:color w:val="000000" w:themeColor="text1"/>
          <w14:textFill>
            <w14:solidFill>
              <w14:schemeClr w14:val="tx1"/>
            </w14:solidFill>
          </w14:textFill>
        </w:rPr>
      </w:pPr>
      <w:r>
        <w:rPr>
          <w:color w:val="000000" w:themeColor="text1"/>
          <w14:textFill>
            <w14:solidFill>
              <w14:schemeClr w14:val="tx1"/>
            </w14:solidFill>
          </w14:textFill>
        </w:rPr>
        <w:t>植被覆盖度反演功能输入接口图</w:t>
      </w:r>
    </w:p>
    <w:p>
      <w:pPr>
        <w:pStyle w:val="5"/>
        <w:autoSpaceDE w:val="0"/>
        <w:autoSpaceDN w:val="0"/>
        <w:spacing w:after="0" w:line="360" w:lineRule="auto"/>
        <w:jc w:val="center"/>
        <w:rPr>
          <w:color w:val="000000" w:themeColor="text1"/>
          <w14:textFill>
            <w14:solidFill>
              <w14:schemeClr w14:val="tx1"/>
            </w14:solidFill>
          </w14:textFill>
        </w:rPr>
      </w:pPr>
    </w:p>
    <w:p>
      <w:pPr>
        <w:pStyle w:val="5"/>
        <w:autoSpaceDE w:val="0"/>
        <w:autoSpaceDN w:val="0"/>
        <w:spacing w:after="0" w:line="360" w:lineRule="auto"/>
        <w:jc w:val="center"/>
        <w:rPr>
          <w:color w:val="000000" w:themeColor="text1"/>
          <w14:textFill>
            <w14:solidFill>
              <w14:schemeClr w14:val="tx1"/>
            </w14:solidFill>
          </w14:textFill>
        </w:rPr>
      </w:pPr>
    </w:p>
    <w:p>
      <w:pPr>
        <w:pStyle w:val="5"/>
        <w:autoSpaceDE w:val="0"/>
        <w:autoSpaceDN w:val="0"/>
        <w:spacing w:after="0" w:line="360" w:lineRule="auto"/>
        <w:jc w:val="center"/>
        <w:rPr>
          <w:color w:val="000000" w:themeColor="text1"/>
          <w14:textFill>
            <w14:solidFill>
              <w14:schemeClr w14:val="tx1"/>
            </w14:solidFill>
          </w14:textFill>
        </w:rPr>
      </w:pPr>
    </w:p>
    <w:p>
      <w:pPr>
        <w:pStyle w:val="5"/>
        <w:autoSpaceDE w:val="0"/>
        <w:autoSpaceDN w:val="0"/>
        <w:spacing w:after="0" w:line="360" w:lineRule="auto"/>
        <w:jc w:val="center"/>
        <w:rPr>
          <w:color w:val="000000" w:themeColor="text1"/>
          <w14:textFill>
            <w14:solidFill>
              <w14:schemeClr w14:val="tx1"/>
            </w14:solidFill>
          </w14:textFill>
        </w:rPr>
      </w:pPr>
    </w:p>
    <w:p>
      <w:pPr>
        <w:pStyle w:val="5"/>
        <w:numPr>
          <w:ilvl w:val="0"/>
          <w:numId w:val="3"/>
        </w:numPr>
        <w:autoSpaceDE w:val="0"/>
        <w:autoSpaceDN w:val="0"/>
        <w:spacing w:after="0" w:line="360" w:lineRule="auto"/>
        <w:jc w:val="center"/>
      </w:pPr>
      <w:r>
        <w:t>植被覆盖度反演功能输入接口表</w:t>
      </w:r>
    </w:p>
    <w:tbl>
      <w:tblPr>
        <w:tblStyle w:val="6"/>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40" w:type="dxa"/>
          <w:bottom w:w="0" w:type="dxa"/>
          <w:right w:w="40" w:type="dxa"/>
        </w:tblCellMar>
      </w:tblPr>
      <w:tblGrid>
        <w:gridCol w:w="2765"/>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40" w:type="dxa"/>
            <w:bottom w:w="0" w:type="dxa"/>
            <w:right w:w="40" w:type="dxa"/>
          </w:tblCellMar>
        </w:tblPrEx>
        <w:trPr>
          <w:cantSplit/>
          <w:trHeight w:val="113" w:hRule="atLeast"/>
          <w:tblHeader/>
          <w:jc w:val="center"/>
        </w:trPr>
        <w:tc>
          <w:tcPr>
            <w:tcW w:w="2765" w:type="dxa"/>
            <w:shd w:val="clear" w:color="auto" w:fill="auto"/>
            <w:vAlign w:val="center"/>
          </w:tcPr>
          <w:p>
            <w:pPr>
              <w:pStyle w:val="5"/>
              <w:spacing w:after="0"/>
              <w:jc w:val="center"/>
              <w:rPr>
                <w:rFonts w:eastAsia="仿宋_GB2312"/>
                <w:b/>
                <w:snapToGrid w:val="0"/>
              </w:rPr>
            </w:pPr>
            <w:r>
              <w:rPr>
                <w:rFonts w:eastAsia="仿宋_GB2312"/>
                <w:b/>
                <w:snapToGrid w:val="0"/>
              </w:rPr>
              <w:t>接口关系</w:t>
            </w:r>
          </w:p>
        </w:tc>
        <w:tc>
          <w:tcPr>
            <w:tcW w:w="2765" w:type="dxa"/>
          </w:tcPr>
          <w:p>
            <w:pPr>
              <w:pStyle w:val="5"/>
              <w:spacing w:after="0"/>
              <w:jc w:val="center"/>
              <w:rPr>
                <w:rFonts w:eastAsia="仿宋_GB2312"/>
                <w:b/>
                <w:snapToGrid w:val="0"/>
              </w:rPr>
            </w:pPr>
            <w:r>
              <w:rPr>
                <w:rFonts w:eastAsia="仿宋_GB2312"/>
                <w:b/>
                <w:snapToGrid w:val="0"/>
              </w:rPr>
              <w:t>信息类别</w:t>
            </w:r>
          </w:p>
        </w:tc>
        <w:tc>
          <w:tcPr>
            <w:tcW w:w="2766" w:type="dxa"/>
            <w:shd w:val="clear" w:color="auto" w:fill="auto"/>
            <w:vAlign w:val="center"/>
          </w:tcPr>
          <w:p>
            <w:pPr>
              <w:pStyle w:val="5"/>
              <w:spacing w:after="0"/>
              <w:jc w:val="center"/>
              <w:rPr>
                <w:rFonts w:eastAsia="仿宋_GB2312"/>
                <w:b/>
                <w:snapToGrid w:val="0"/>
              </w:rPr>
            </w:pPr>
            <w:r>
              <w:rPr>
                <w:rFonts w:eastAsia="仿宋_GB2312"/>
                <w:b/>
                <w:snapToGrid w:val="0"/>
              </w:rPr>
              <w:t>接口内容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40" w:type="dxa"/>
            <w:bottom w:w="0" w:type="dxa"/>
            <w:right w:w="40" w:type="dxa"/>
          </w:tblCellMar>
        </w:tblPrEx>
        <w:trPr>
          <w:cantSplit/>
          <w:trHeight w:val="113" w:hRule="atLeast"/>
          <w:jc w:val="center"/>
        </w:trPr>
        <w:tc>
          <w:tcPr>
            <w:tcW w:w="2765" w:type="dxa"/>
            <w:shd w:val="clear" w:color="auto" w:fill="auto"/>
            <w:vAlign w:val="center"/>
          </w:tcPr>
          <w:p>
            <w:pPr>
              <w:pStyle w:val="5"/>
              <w:spacing w:after="0"/>
              <w:jc w:val="center"/>
              <w:rPr>
                <w:rFonts w:eastAsia="仿宋_GB2312"/>
                <w:bCs/>
                <w:snapToGrid w:val="0"/>
              </w:rPr>
            </w:pPr>
            <w:r>
              <w:rPr>
                <w:rFonts w:eastAsia="仿宋_GB2312"/>
                <w:bCs/>
                <w:snapToGrid w:val="0"/>
              </w:rPr>
              <w:t>IT01</w:t>
            </w:r>
          </w:p>
        </w:tc>
        <w:tc>
          <w:tcPr>
            <w:tcW w:w="2765" w:type="dxa"/>
          </w:tcPr>
          <w:p>
            <w:pPr>
              <w:pStyle w:val="5"/>
              <w:spacing w:after="0"/>
              <w:jc w:val="center"/>
              <w:rPr>
                <w:rFonts w:eastAsia="仿宋_GB2312"/>
                <w:bCs/>
                <w:snapToGrid w:val="0"/>
              </w:rPr>
            </w:pPr>
            <w:r>
              <w:rPr>
                <w:rFonts w:eastAsia="仿宋_GB2312"/>
                <w:bCs/>
                <w:snapToGrid w:val="0"/>
              </w:rPr>
              <w:t>数据流</w:t>
            </w:r>
          </w:p>
        </w:tc>
        <w:tc>
          <w:tcPr>
            <w:tcW w:w="2766" w:type="dxa"/>
            <w:shd w:val="clear" w:color="auto" w:fill="auto"/>
            <w:vAlign w:val="center"/>
          </w:tcPr>
          <w:p>
            <w:pPr>
              <w:pStyle w:val="5"/>
              <w:spacing w:after="0"/>
              <w:jc w:val="center"/>
              <w:rPr>
                <w:rFonts w:eastAsia="仿宋_GB2312"/>
                <w:bCs/>
                <w:snapToGrid w:val="0"/>
              </w:rPr>
            </w:pPr>
            <w:r>
              <w:rPr>
                <w:rFonts w:eastAsia="仿宋_GB2312"/>
                <w:bCs/>
                <w:snapToGrid w:val="0"/>
              </w:rPr>
              <w:t>遥感影像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40" w:type="dxa"/>
            <w:bottom w:w="0" w:type="dxa"/>
            <w:right w:w="40" w:type="dxa"/>
          </w:tblCellMar>
        </w:tblPrEx>
        <w:trPr>
          <w:cantSplit/>
          <w:trHeight w:val="113" w:hRule="atLeast"/>
          <w:jc w:val="center"/>
        </w:trPr>
        <w:tc>
          <w:tcPr>
            <w:tcW w:w="2765" w:type="dxa"/>
            <w:shd w:val="clear" w:color="auto" w:fill="auto"/>
            <w:vAlign w:val="center"/>
          </w:tcPr>
          <w:p>
            <w:pPr>
              <w:pStyle w:val="5"/>
              <w:spacing w:after="0"/>
              <w:jc w:val="center"/>
              <w:rPr>
                <w:rFonts w:eastAsia="仿宋_GB2312"/>
                <w:bCs/>
                <w:snapToGrid w:val="0"/>
              </w:rPr>
            </w:pPr>
            <w:r>
              <w:rPr>
                <w:rFonts w:eastAsia="仿宋_GB2312"/>
                <w:bCs/>
                <w:snapToGrid w:val="0"/>
              </w:rPr>
              <w:t>IT16</w:t>
            </w:r>
          </w:p>
        </w:tc>
        <w:tc>
          <w:tcPr>
            <w:tcW w:w="2765" w:type="dxa"/>
          </w:tcPr>
          <w:p>
            <w:pPr>
              <w:pStyle w:val="5"/>
              <w:spacing w:after="0"/>
              <w:jc w:val="center"/>
              <w:rPr>
                <w:rFonts w:eastAsia="仿宋_GB2312"/>
                <w:bCs/>
                <w:snapToGrid w:val="0"/>
              </w:rPr>
            </w:pPr>
            <w:r>
              <w:rPr>
                <w:rFonts w:eastAsia="仿宋_GB2312"/>
                <w:bCs/>
                <w:snapToGrid w:val="0"/>
              </w:rPr>
              <w:t>数据流</w:t>
            </w:r>
          </w:p>
        </w:tc>
        <w:tc>
          <w:tcPr>
            <w:tcW w:w="2766" w:type="dxa"/>
            <w:shd w:val="clear" w:color="auto" w:fill="auto"/>
            <w:vAlign w:val="center"/>
          </w:tcPr>
          <w:p>
            <w:pPr>
              <w:pStyle w:val="5"/>
              <w:spacing w:after="0"/>
              <w:jc w:val="center"/>
              <w:rPr>
                <w:rFonts w:eastAsia="仿宋_GB2312"/>
                <w:bCs/>
                <w:snapToGrid w:val="0"/>
              </w:rPr>
            </w:pPr>
            <w:r>
              <w:rPr>
                <w:rFonts w:eastAsia="仿宋_GB2312"/>
                <w:bCs/>
                <w:snapToGrid w:val="0"/>
              </w:rPr>
              <w:t>采样点GPS数据</w:t>
            </w:r>
          </w:p>
        </w:tc>
      </w:tr>
      <w:bookmarkEnd w:id="5"/>
    </w:tbl>
    <w:p>
      <w:pPr>
        <w:pStyle w:val="5"/>
        <w:spacing w:line="360" w:lineRule="auto"/>
        <w:ind w:firstLine="440" w:firstLineChars="200"/>
        <w:jc w:val="center"/>
        <w:rPr>
          <w:rFonts w:eastAsia="微软雅黑"/>
          <w:sz w:val="22"/>
        </w:rPr>
      </w:pPr>
      <w:r>
        <w:rPr>
          <w:rFonts w:eastAsia="微软雅黑"/>
          <w:sz w:val="22"/>
        </w:rPr>
        <w:drawing>
          <wp:inline distT="0" distB="0" distL="0" distR="0">
            <wp:extent cx="3171825" cy="1466850"/>
            <wp:effectExtent l="0" t="0" r="9525" b="0"/>
            <wp:docPr id="1039" name="图片 32"/>
            <wp:cNvGraphicFramePr/>
            <a:graphic xmlns:a="http://schemas.openxmlformats.org/drawingml/2006/main">
              <a:graphicData uri="http://schemas.openxmlformats.org/drawingml/2006/picture">
                <pic:pic xmlns:pic="http://schemas.openxmlformats.org/drawingml/2006/picture">
                  <pic:nvPicPr>
                    <pic:cNvPr id="1039" name="图片 32"/>
                    <pic:cNvPicPr/>
                  </pic:nvPicPr>
                  <pic:blipFill>
                    <a:blip r:embed="rId11" cstate="print"/>
                    <a:srcRect/>
                    <a:stretch>
                      <a:fillRect/>
                    </a:stretch>
                  </pic:blipFill>
                  <pic:spPr>
                    <a:xfrm>
                      <a:off x="0" y="0"/>
                      <a:ext cx="3171825" cy="1466850"/>
                    </a:xfrm>
                    <a:prstGeom prst="rect">
                      <a:avLst/>
                    </a:prstGeom>
                  </pic:spPr>
                </pic:pic>
              </a:graphicData>
            </a:graphic>
          </wp:inline>
        </w:drawing>
      </w:r>
    </w:p>
    <w:p>
      <w:pPr>
        <w:pStyle w:val="5"/>
        <w:numPr>
          <w:ilvl w:val="0"/>
          <w:numId w:val="2"/>
        </w:numPr>
        <w:autoSpaceDE w:val="0"/>
        <w:autoSpaceDN w:val="0"/>
        <w:spacing w:after="0" w:line="360" w:lineRule="auto"/>
        <w:jc w:val="center"/>
        <w:rPr>
          <w:color w:val="000000" w:themeColor="text1"/>
          <w14:textFill>
            <w14:solidFill>
              <w14:schemeClr w14:val="tx1"/>
            </w14:solidFill>
          </w14:textFill>
        </w:rPr>
      </w:pPr>
      <w:r>
        <w:rPr>
          <w:color w:val="000000" w:themeColor="text1"/>
          <w14:textFill>
            <w14:solidFill>
              <w14:schemeClr w14:val="tx1"/>
            </w14:solidFill>
          </w14:textFill>
        </w:rPr>
        <w:t>植被覆盖度反演功能输出接口图</w:t>
      </w:r>
    </w:p>
    <w:p>
      <w:pPr>
        <w:pStyle w:val="5"/>
        <w:numPr>
          <w:ilvl w:val="0"/>
          <w:numId w:val="3"/>
        </w:numPr>
        <w:autoSpaceDE w:val="0"/>
        <w:autoSpaceDN w:val="0"/>
        <w:spacing w:after="0" w:line="360" w:lineRule="auto"/>
        <w:jc w:val="center"/>
      </w:pPr>
      <w:r>
        <w:t>植被覆盖度反演功能输出接口表</w:t>
      </w:r>
    </w:p>
    <w:tbl>
      <w:tblPr>
        <w:tblStyle w:val="6"/>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40" w:type="dxa"/>
          <w:bottom w:w="0" w:type="dxa"/>
          <w:right w:w="40" w:type="dxa"/>
        </w:tblCellMar>
      </w:tblPr>
      <w:tblGrid>
        <w:gridCol w:w="2765"/>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40" w:type="dxa"/>
            <w:bottom w:w="0" w:type="dxa"/>
            <w:right w:w="40" w:type="dxa"/>
          </w:tblCellMar>
        </w:tblPrEx>
        <w:trPr>
          <w:cantSplit/>
          <w:trHeight w:val="113" w:hRule="atLeast"/>
          <w:tblHeader/>
          <w:jc w:val="center"/>
        </w:trPr>
        <w:tc>
          <w:tcPr>
            <w:tcW w:w="2765" w:type="dxa"/>
            <w:shd w:val="clear" w:color="auto" w:fill="auto"/>
            <w:vAlign w:val="center"/>
          </w:tcPr>
          <w:p>
            <w:pPr>
              <w:pStyle w:val="5"/>
              <w:spacing w:after="0"/>
              <w:jc w:val="center"/>
              <w:rPr>
                <w:b/>
                <w:snapToGrid w:val="0"/>
              </w:rPr>
            </w:pPr>
            <w:r>
              <w:rPr>
                <w:b/>
                <w:snapToGrid w:val="0"/>
              </w:rPr>
              <w:t>接口关系</w:t>
            </w:r>
          </w:p>
        </w:tc>
        <w:tc>
          <w:tcPr>
            <w:tcW w:w="2765" w:type="dxa"/>
          </w:tcPr>
          <w:p>
            <w:pPr>
              <w:pStyle w:val="5"/>
              <w:spacing w:after="0"/>
              <w:jc w:val="center"/>
              <w:rPr>
                <w:b/>
                <w:snapToGrid w:val="0"/>
              </w:rPr>
            </w:pPr>
            <w:r>
              <w:rPr>
                <w:b/>
                <w:snapToGrid w:val="0"/>
              </w:rPr>
              <w:t>信息类别</w:t>
            </w:r>
          </w:p>
        </w:tc>
        <w:tc>
          <w:tcPr>
            <w:tcW w:w="2766" w:type="dxa"/>
            <w:shd w:val="clear" w:color="auto" w:fill="auto"/>
            <w:vAlign w:val="center"/>
          </w:tcPr>
          <w:p>
            <w:pPr>
              <w:pStyle w:val="5"/>
              <w:spacing w:after="0"/>
              <w:jc w:val="center"/>
              <w:rPr>
                <w:b/>
                <w:snapToGrid w:val="0"/>
              </w:rPr>
            </w:pPr>
            <w:r>
              <w:rPr>
                <w:b/>
                <w:snapToGrid w:val="0"/>
              </w:rPr>
              <w:t>接口内容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40" w:type="dxa"/>
            <w:bottom w:w="0" w:type="dxa"/>
            <w:right w:w="40" w:type="dxa"/>
          </w:tblCellMar>
        </w:tblPrEx>
        <w:trPr>
          <w:cantSplit/>
          <w:trHeight w:val="113" w:hRule="atLeast"/>
          <w:jc w:val="center"/>
        </w:trPr>
        <w:tc>
          <w:tcPr>
            <w:tcW w:w="2765" w:type="dxa"/>
            <w:shd w:val="clear" w:color="auto" w:fill="auto"/>
            <w:vAlign w:val="center"/>
          </w:tcPr>
          <w:p>
            <w:pPr>
              <w:pStyle w:val="5"/>
              <w:spacing w:after="0"/>
              <w:jc w:val="center"/>
              <w:rPr>
                <w:bCs/>
                <w:snapToGrid w:val="0"/>
              </w:rPr>
            </w:pPr>
            <w:r>
              <w:rPr>
                <w:bCs/>
                <w:snapToGrid w:val="0"/>
              </w:rPr>
              <w:t>IT010</w:t>
            </w:r>
          </w:p>
        </w:tc>
        <w:tc>
          <w:tcPr>
            <w:tcW w:w="2765" w:type="dxa"/>
          </w:tcPr>
          <w:p>
            <w:pPr>
              <w:pStyle w:val="5"/>
              <w:spacing w:after="0"/>
              <w:jc w:val="center"/>
              <w:rPr>
                <w:bCs/>
                <w:snapToGrid w:val="0"/>
              </w:rPr>
            </w:pPr>
            <w:r>
              <w:rPr>
                <w:bCs/>
                <w:snapToGrid w:val="0"/>
              </w:rPr>
              <w:t>数据流</w:t>
            </w:r>
          </w:p>
        </w:tc>
        <w:tc>
          <w:tcPr>
            <w:tcW w:w="2766" w:type="dxa"/>
            <w:shd w:val="clear" w:color="auto" w:fill="auto"/>
            <w:vAlign w:val="center"/>
          </w:tcPr>
          <w:p>
            <w:pPr>
              <w:pStyle w:val="5"/>
              <w:spacing w:after="0"/>
              <w:jc w:val="center"/>
              <w:rPr>
                <w:bCs/>
                <w:snapToGrid w:val="0"/>
              </w:rPr>
            </w:pPr>
            <w:r>
              <w:rPr>
                <w:bCs/>
                <w:snapToGrid w:val="0"/>
              </w:rPr>
              <w:t>植被指数值图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40" w:type="dxa"/>
            <w:bottom w:w="0" w:type="dxa"/>
            <w:right w:w="40" w:type="dxa"/>
          </w:tblCellMar>
        </w:tblPrEx>
        <w:trPr>
          <w:cantSplit/>
          <w:trHeight w:val="113" w:hRule="atLeast"/>
          <w:jc w:val="center"/>
        </w:trPr>
        <w:tc>
          <w:tcPr>
            <w:tcW w:w="2765" w:type="dxa"/>
            <w:shd w:val="clear" w:color="auto" w:fill="auto"/>
            <w:vAlign w:val="center"/>
          </w:tcPr>
          <w:p>
            <w:pPr>
              <w:pStyle w:val="5"/>
              <w:spacing w:after="0"/>
              <w:jc w:val="center"/>
              <w:rPr>
                <w:bCs/>
                <w:snapToGrid w:val="0"/>
              </w:rPr>
            </w:pPr>
            <w:r>
              <w:rPr>
                <w:bCs/>
                <w:snapToGrid w:val="0"/>
              </w:rPr>
              <w:t>IT011</w:t>
            </w:r>
          </w:p>
        </w:tc>
        <w:tc>
          <w:tcPr>
            <w:tcW w:w="2765" w:type="dxa"/>
          </w:tcPr>
          <w:p>
            <w:pPr>
              <w:pStyle w:val="5"/>
              <w:spacing w:after="0"/>
              <w:jc w:val="center"/>
              <w:rPr>
                <w:bCs/>
                <w:snapToGrid w:val="0"/>
              </w:rPr>
            </w:pPr>
            <w:r>
              <w:rPr>
                <w:bCs/>
                <w:snapToGrid w:val="0"/>
              </w:rPr>
              <w:t>数据流</w:t>
            </w:r>
          </w:p>
        </w:tc>
        <w:tc>
          <w:tcPr>
            <w:tcW w:w="2766" w:type="dxa"/>
            <w:shd w:val="clear" w:color="auto" w:fill="auto"/>
            <w:vAlign w:val="center"/>
          </w:tcPr>
          <w:p>
            <w:pPr>
              <w:pStyle w:val="5"/>
              <w:spacing w:after="0"/>
              <w:jc w:val="center"/>
              <w:rPr>
                <w:bCs/>
                <w:snapToGrid w:val="0"/>
              </w:rPr>
            </w:pPr>
            <w:r>
              <w:rPr>
                <w:bCs/>
                <w:snapToGrid w:val="0"/>
              </w:rPr>
              <w:t>植被覆盖度图</w:t>
            </w:r>
          </w:p>
        </w:tc>
      </w:tr>
    </w:tbl>
    <w:p>
      <w:pPr>
        <w:pStyle w:val="5"/>
        <w:spacing w:line="360" w:lineRule="auto"/>
        <w:jc w:val="center"/>
      </w:pPr>
      <w:r>
        <w:drawing>
          <wp:inline distT="0" distB="0" distL="0" distR="0">
            <wp:extent cx="3995420" cy="3385820"/>
            <wp:effectExtent l="0" t="0" r="5080" b="5080"/>
            <wp:docPr id="1266" name="图片 74"/>
            <wp:cNvGraphicFramePr/>
            <a:graphic xmlns:a="http://schemas.openxmlformats.org/drawingml/2006/main">
              <a:graphicData uri="http://schemas.openxmlformats.org/drawingml/2006/picture">
                <pic:pic xmlns:pic="http://schemas.openxmlformats.org/drawingml/2006/picture">
                  <pic:nvPicPr>
                    <pic:cNvPr id="1266" name="图片 74"/>
                    <pic:cNvPicPr/>
                  </pic:nvPicPr>
                  <pic:blipFill>
                    <a:blip r:embed="rId12" cstate="print"/>
                    <a:srcRect b="1445"/>
                    <a:stretch>
                      <a:fillRect/>
                    </a:stretch>
                  </pic:blipFill>
                  <pic:spPr>
                    <a:xfrm>
                      <a:off x="0" y="0"/>
                      <a:ext cx="4005669" cy="3394554"/>
                    </a:xfrm>
                    <a:prstGeom prst="rect">
                      <a:avLst/>
                    </a:prstGeom>
                    <a:ln>
                      <a:noFill/>
                    </a:ln>
                  </pic:spPr>
                </pic:pic>
              </a:graphicData>
            </a:graphic>
          </wp:inline>
        </w:drawing>
      </w:r>
    </w:p>
    <w:p>
      <w:pPr>
        <w:pStyle w:val="5"/>
        <w:numPr>
          <w:ilvl w:val="0"/>
          <w:numId w:val="2"/>
        </w:numPr>
        <w:autoSpaceDE w:val="0"/>
        <w:autoSpaceDN w:val="0"/>
        <w:spacing w:after="0" w:line="360" w:lineRule="auto"/>
        <w:jc w:val="center"/>
      </w:pPr>
      <w:r>
        <w:rPr>
          <w:color w:val="000000" w:themeColor="text1"/>
          <w14:textFill>
            <w14:solidFill>
              <w14:schemeClr w14:val="tx1"/>
            </w14:solidFill>
          </w14:textFill>
        </w:rPr>
        <w:t>指标覆盖度</w:t>
      </w:r>
      <w:r>
        <w:t>功能界面</w:t>
      </w:r>
    </w:p>
    <w:p>
      <w:pPr>
        <w:pStyle w:val="11"/>
      </w:pPr>
      <w:r>
        <w:t>（4）地表温度</w:t>
      </w:r>
    </w:p>
    <w:p>
      <w:pPr>
        <w:pStyle w:val="11"/>
        <w:rPr>
          <w:bCs/>
          <w:snapToGrid w:val="0"/>
        </w:rPr>
      </w:pPr>
      <w:r>
        <w:rPr>
          <w:bCs/>
          <w:snapToGrid w:val="0"/>
        </w:rPr>
        <w:t>地表温度，就是地面的温度。太阳的热能被辐射到达地面后，一部分被反射，一部分被地面</w:t>
      </w:r>
      <w:r>
        <w:fldChar w:fldCharType="begin"/>
      </w:r>
      <w:r>
        <w:instrText xml:space="preserve"> HYPERLINK "https://baike.baidu.com/item/%E5%90%B8%E6%94%B6/5629743" \t "_blank" </w:instrText>
      </w:r>
      <w:r>
        <w:fldChar w:fldCharType="separate"/>
      </w:r>
      <w:r>
        <w:rPr>
          <w:bCs/>
          <w:snapToGrid w:val="0"/>
        </w:rPr>
        <w:t>吸收</w:t>
      </w:r>
      <w:r>
        <w:rPr>
          <w:bCs/>
          <w:snapToGrid w:val="0"/>
        </w:rPr>
        <w:fldChar w:fldCharType="end"/>
      </w:r>
      <w:r>
        <w:rPr>
          <w:bCs/>
          <w:snapToGrid w:val="0"/>
        </w:rPr>
        <w:t>，使地面增热，对地面的温度进行测量后得到的温度就是地表温度。</w:t>
      </w:r>
    </w:p>
    <w:p>
      <w:pPr>
        <w:pStyle w:val="11"/>
      </w:pPr>
      <w:r>
        <w:rPr>
          <w:snapToGrid w:val="0"/>
        </w:rPr>
        <w:t>该系统可以获得该地区的地表比辐射率，采用单通道算法对该地区地表温度进行反演，最终获得目标区域的温度分布图。</w:t>
      </w:r>
    </w:p>
    <w:p>
      <w:pPr>
        <w:jc w:val="center"/>
      </w:pPr>
      <w:r>
        <w:object>
          <v:shape id="_x0000_i1025" o:spt="75" type="#_x0000_t75" style="height:259.7pt;width:279.7pt;" o:ole="t" filled="f" o:preferrelative="t" stroked="f" coordsize="21600,21600">
            <v:path/>
            <v:fill on="f" focussize="0,0"/>
            <v:stroke on="f" joinstyle="miter"/>
            <v:imagedata r:id="rId14" embosscolor="#FFFFFF" o:title=""/>
            <o:lock v:ext="edit" aspectratio="t"/>
            <w10:wrap type="none"/>
            <w10:anchorlock/>
          </v:shape>
          <o:OLEObject Type="Embed" ProgID="Visio.Drawing.11" ShapeID="_x0000_i1025" DrawAspect="Content" ObjectID="_1468075725" r:id="rId13">
            <o:LockedField>false</o:LockedField>
          </o:OLEObject>
        </w:object>
      </w:r>
    </w:p>
    <w:p>
      <w:pPr>
        <w:pStyle w:val="5"/>
        <w:numPr>
          <w:ilvl w:val="0"/>
          <w:numId w:val="2"/>
        </w:numPr>
        <w:autoSpaceDE w:val="0"/>
        <w:autoSpaceDN w:val="0"/>
        <w:spacing w:after="0" w:line="360" w:lineRule="auto"/>
        <w:jc w:val="center"/>
        <w:rPr>
          <w:color w:val="000000" w:themeColor="text1"/>
          <w14:textFill>
            <w14:solidFill>
              <w14:schemeClr w14:val="tx1"/>
            </w14:solidFill>
          </w14:textFill>
        </w:rPr>
      </w:pPr>
      <w:r>
        <w:rPr>
          <w:color w:val="000000" w:themeColor="text1"/>
          <w14:textFill>
            <w14:solidFill>
              <w14:schemeClr w14:val="tx1"/>
            </w14:solidFill>
          </w14:textFill>
        </w:rPr>
        <w:t>地表温度反演功能工作流程图</w:t>
      </w:r>
    </w:p>
    <w:p>
      <w:pPr>
        <w:jc w:val="center"/>
      </w:pPr>
      <w:r>
        <w:object>
          <v:shape id="_x0000_i1026" o:spt="75" type="#_x0000_t75" style="height:86.55pt;width:342.95pt;" o:ole="t" filled="f" o:preferrelative="t" stroked="f" coordsize="21600,21600">
            <v:path/>
            <v:fill on="f" focussize="0,0"/>
            <v:stroke on="f" joinstyle="miter"/>
            <v:imagedata r:id="rId16" embosscolor="#FFFFFF" o:title=""/>
            <o:lock v:ext="edit" aspectratio="t"/>
            <w10:wrap type="none"/>
            <w10:anchorlock/>
          </v:shape>
          <o:OLEObject Type="Embed" ProgID="Visio.Drawing.11" ShapeID="_x0000_i1026" DrawAspect="Content" ObjectID="_1468075726" r:id="rId15">
            <o:LockedField>false</o:LockedField>
          </o:OLEObject>
        </w:object>
      </w:r>
    </w:p>
    <w:p>
      <w:pPr>
        <w:pStyle w:val="5"/>
        <w:numPr>
          <w:ilvl w:val="0"/>
          <w:numId w:val="2"/>
        </w:numPr>
        <w:autoSpaceDE w:val="0"/>
        <w:autoSpaceDN w:val="0"/>
        <w:spacing w:after="0" w:line="360" w:lineRule="auto"/>
        <w:jc w:val="center"/>
        <w:rPr>
          <w:color w:val="000000" w:themeColor="text1"/>
          <w14:textFill>
            <w14:solidFill>
              <w14:schemeClr w14:val="tx1"/>
            </w14:solidFill>
          </w14:textFill>
        </w:rPr>
      </w:pPr>
      <w:r>
        <w:rPr>
          <w:color w:val="000000" w:themeColor="text1"/>
          <w14:textFill>
            <w14:solidFill>
              <w14:schemeClr w14:val="tx1"/>
            </w14:solidFill>
          </w14:textFill>
        </w:rPr>
        <w:t>地表温度反演功能输入接口图</w:t>
      </w:r>
    </w:p>
    <w:p>
      <w:pPr>
        <w:pStyle w:val="5"/>
        <w:numPr>
          <w:ilvl w:val="0"/>
          <w:numId w:val="3"/>
        </w:numPr>
        <w:autoSpaceDE w:val="0"/>
        <w:autoSpaceDN w:val="0"/>
        <w:spacing w:after="0" w:line="360" w:lineRule="auto"/>
        <w:jc w:val="center"/>
      </w:pPr>
      <w:r>
        <w:t>地表温度反演功能输入接口表</w:t>
      </w:r>
    </w:p>
    <w:tbl>
      <w:tblPr>
        <w:tblStyle w:val="6"/>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40" w:type="dxa"/>
          <w:bottom w:w="0" w:type="dxa"/>
          <w:right w:w="40" w:type="dxa"/>
        </w:tblCellMar>
      </w:tblPr>
      <w:tblGrid>
        <w:gridCol w:w="2765"/>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40" w:type="dxa"/>
            <w:bottom w:w="0" w:type="dxa"/>
            <w:right w:w="40" w:type="dxa"/>
          </w:tblCellMar>
        </w:tblPrEx>
        <w:trPr>
          <w:cantSplit/>
          <w:trHeight w:val="273" w:hRule="atLeast"/>
          <w:tblHeader/>
          <w:jc w:val="center"/>
        </w:trPr>
        <w:tc>
          <w:tcPr>
            <w:tcW w:w="2765" w:type="dxa"/>
            <w:shd w:val="clear" w:color="auto" w:fill="auto"/>
            <w:vAlign w:val="center"/>
          </w:tcPr>
          <w:p>
            <w:pPr>
              <w:pStyle w:val="5"/>
              <w:spacing w:after="0"/>
              <w:jc w:val="center"/>
              <w:rPr>
                <w:rFonts w:eastAsia="仿宋_GB2312"/>
                <w:b/>
                <w:snapToGrid w:val="0"/>
              </w:rPr>
            </w:pPr>
            <w:r>
              <w:rPr>
                <w:rFonts w:eastAsia="仿宋_GB2312"/>
                <w:b/>
                <w:snapToGrid w:val="0"/>
              </w:rPr>
              <w:t>接口关系</w:t>
            </w:r>
          </w:p>
        </w:tc>
        <w:tc>
          <w:tcPr>
            <w:tcW w:w="2765" w:type="dxa"/>
          </w:tcPr>
          <w:p>
            <w:pPr>
              <w:pStyle w:val="5"/>
              <w:spacing w:after="0"/>
              <w:jc w:val="center"/>
              <w:rPr>
                <w:rFonts w:eastAsia="仿宋_GB2312"/>
                <w:b/>
                <w:snapToGrid w:val="0"/>
              </w:rPr>
            </w:pPr>
            <w:r>
              <w:rPr>
                <w:rFonts w:eastAsia="仿宋_GB2312"/>
                <w:b/>
                <w:snapToGrid w:val="0"/>
              </w:rPr>
              <w:t>信息类别</w:t>
            </w:r>
          </w:p>
        </w:tc>
        <w:tc>
          <w:tcPr>
            <w:tcW w:w="2766" w:type="dxa"/>
            <w:shd w:val="clear" w:color="auto" w:fill="auto"/>
            <w:vAlign w:val="center"/>
          </w:tcPr>
          <w:p>
            <w:pPr>
              <w:pStyle w:val="5"/>
              <w:spacing w:after="0"/>
              <w:jc w:val="center"/>
              <w:rPr>
                <w:rFonts w:eastAsia="仿宋_GB2312"/>
                <w:b/>
                <w:snapToGrid w:val="0"/>
              </w:rPr>
            </w:pPr>
            <w:r>
              <w:rPr>
                <w:rFonts w:eastAsia="仿宋_GB2312"/>
                <w:b/>
                <w:snapToGrid w:val="0"/>
              </w:rPr>
              <w:t>接口内容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40" w:type="dxa"/>
            <w:bottom w:w="0" w:type="dxa"/>
            <w:right w:w="40" w:type="dxa"/>
          </w:tblCellMar>
        </w:tblPrEx>
        <w:trPr>
          <w:cantSplit/>
          <w:trHeight w:val="20" w:hRule="atLeast"/>
          <w:jc w:val="center"/>
        </w:trPr>
        <w:tc>
          <w:tcPr>
            <w:tcW w:w="2765" w:type="dxa"/>
            <w:shd w:val="clear" w:color="auto" w:fill="auto"/>
            <w:vAlign w:val="center"/>
          </w:tcPr>
          <w:p>
            <w:pPr>
              <w:pStyle w:val="5"/>
              <w:spacing w:after="0"/>
              <w:jc w:val="center"/>
              <w:rPr>
                <w:rFonts w:eastAsia="仿宋_GB2312"/>
                <w:bCs/>
                <w:snapToGrid w:val="0"/>
              </w:rPr>
            </w:pPr>
            <w:r>
              <w:rPr>
                <w:rFonts w:eastAsia="仿宋_GB2312"/>
                <w:bCs/>
                <w:snapToGrid w:val="0"/>
              </w:rPr>
              <w:t>IT01</w:t>
            </w:r>
          </w:p>
        </w:tc>
        <w:tc>
          <w:tcPr>
            <w:tcW w:w="2765" w:type="dxa"/>
          </w:tcPr>
          <w:p>
            <w:pPr>
              <w:pStyle w:val="5"/>
              <w:spacing w:after="0"/>
              <w:jc w:val="center"/>
              <w:rPr>
                <w:rFonts w:eastAsia="仿宋_GB2312"/>
                <w:bCs/>
                <w:snapToGrid w:val="0"/>
              </w:rPr>
            </w:pPr>
            <w:r>
              <w:rPr>
                <w:rFonts w:eastAsia="仿宋_GB2312"/>
                <w:bCs/>
                <w:snapToGrid w:val="0"/>
              </w:rPr>
              <w:t>数据流</w:t>
            </w:r>
          </w:p>
        </w:tc>
        <w:tc>
          <w:tcPr>
            <w:tcW w:w="2766" w:type="dxa"/>
            <w:shd w:val="clear" w:color="auto" w:fill="auto"/>
            <w:vAlign w:val="center"/>
          </w:tcPr>
          <w:p>
            <w:pPr>
              <w:pStyle w:val="5"/>
              <w:spacing w:after="0"/>
              <w:jc w:val="center"/>
              <w:rPr>
                <w:rFonts w:eastAsia="仿宋_GB2312"/>
                <w:bCs/>
                <w:snapToGrid w:val="0"/>
              </w:rPr>
            </w:pPr>
            <w:r>
              <w:rPr>
                <w:rFonts w:eastAsia="仿宋_GB2312"/>
                <w:bCs/>
                <w:snapToGrid w:val="0"/>
              </w:rPr>
              <w:t>遥感影像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40" w:type="dxa"/>
            <w:bottom w:w="0" w:type="dxa"/>
            <w:right w:w="40" w:type="dxa"/>
          </w:tblCellMar>
        </w:tblPrEx>
        <w:trPr>
          <w:cantSplit/>
          <w:trHeight w:val="20" w:hRule="atLeast"/>
          <w:jc w:val="center"/>
        </w:trPr>
        <w:tc>
          <w:tcPr>
            <w:tcW w:w="2765" w:type="dxa"/>
            <w:shd w:val="clear" w:color="auto" w:fill="auto"/>
            <w:vAlign w:val="center"/>
          </w:tcPr>
          <w:p>
            <w:pPr>
              <w:pStyle w:val="5"/>
              <w:spacing w:after="0"/>
              <w:jc w:val="center"/>
              <w:rPr>
                <w:rFonts w:eastAsia="仿宋_GB2312"/>
                <w:bCs/>
                <w:snapToGrid w:val="0"/>
              </w:rPr>
            </w:pPr>
            <w:r>
              <w:rPr>
                <w:rFonts w:eastAsia="仿宋_GB2312"/>
                <w:bCs/>
                <w:snapToGrid w:val="0"/>
              </w:rPr>
              <w:t>IT10</w:t>
            </w:r>
          </w:p>
        </w:tc>
        <w:tc>
          <w:tcPr>
            <w:tcW w:w="2765" w:type="dxa"/>
          </w:tcPr>
          <w:p>
            <w:pPr>
              <w:pStyle w:val="5"/>
              <w:spacing w:after="0"/>
              <w:jc w:val="center"/>
              <w:rPr>
                <w:rFonts w:eastAsia="仿宋_GB2312"/>
                <w:bCs/>
                <w:snapToGrid w:val="0"/>
              </w:rPr>
            </w:pPr>
            <w:r>
              <w:rPr>
                <w:rFonts w:eastAsia="仿宋_GB2312"/>
                <w:bCs/>
                <w:snapToGrid w:val="0"/>
              </w:rPr>
              <w:t>数据流</w:t>
            </w:r>
          </w:p>
        </w:tc>
        <w:tc>
          <w:tcPr>
            <w:tcW w:w="2766" w:type="dxa"/>
            <w:shd w:val="clear" w:color="auto" w:fill="auto"/>
            <w:vAlign w:val="center"/>
          </w:tcPr>
          <w:p>
            <w:pPr>
              <w:pStyle w:val="5"/>
              <w:spacing w:after="0"/>
              <w:jc w:val="center"/>
              <w:rPr>
                <w:rFonts w:eastAsia="仿宋_GB2312"/>
                <w:bCs/>
                <w:snapToGrid w:val="0"/>
              </w:rPr>
            </w:pPr>
            <w:r>
              <w:rPr>
                <w:rFonts w:eastAsia="仿宋_GB2312"/>
                <w:bCs/>
                <w:snapToGrid w:val="0"/>
              </w:rPr>
              <w:t>植被指数值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40" w:type="dxa"/>
            <w:bottom w:w="0" w:type="dxa"/>
            <w:right w:w="40" w:type="dxa"/>
          </w:tblCellMar>
        </w:tblPrEx>
        <w:trPr>
          <w:cantSplit/>
          <w:trHeight w:val="20" w:hRule="atLeast"/>
          <w:jc w:val="center"/>
        </w:trPr>
        <w:tc>
          <w:tcPr>
            <w:tcW w:w="2765" w:type="dxa"/>
            <w:shd w:val="clear" w:color="auto" w:fill="auto"/>
            <w:vAlign w:val="center"/>
          </w:tcPr>
          <w:p>
            <w:pPr>
              <w:pStyle w:val="5"/>
              <w:spacing w:after="0"/>
              <w:jc w:val="center"/>
              <w:rPr>
                <w:rFonts w:eastAsia="仿宋_GB2312"/>
                <w:bCs/>
                <w:snapToGrid w:val="0"/>
              </w:rPr>
            </w:pPr>
            <w:r>
              <w:rPr>
                <w:rFonts w:eastAsia="仿宋_GB2312"/>
                <w:bCs/>
                <w:snapToGrid w:val="0"/>
              </w:rPr>
              <w:t>IT11</w:t>
            </w:r>
          </w:p>
        </w:tc>
        <w:tc>
          <w:tcPr>
            <w:tcW w:w="2765" w:type="dxa"/>
          </w:tcPr>
          <w:p>
            <w:pPr>
              <w:pStyle w:val="5"/>
              <w:spacing w:after="0"/>
              <w:jc w:val="center"/>
              <w:rPr>
                <w:rFonts w:eastAsia="仿宋_GB2312"/>
                <w:bCs/>
                <w:snapToGrid w:val="0"/>
              </w:rPr>
            </w:pPr>
            <w:r>
              <w:rPr>
                <w:rFonts w:eastAsia="仿宋_GB2312"/>
                <w:bCs/>
                <w:snapToGrid w:val="0"/>
              </w:rPr>
              <w:t>数据流</w:t>
            </w:r>
          </w:p>
        </w:tc>
        <w:tc>
          <w:tcPr>
            <w:tcW w:w="2766" w:type="dxa"/>
            <w:shd w:val="clear" w:color="auto" w:fill="auto"/>
            <w:vAlign w:val="center"/>
          </w:tcPr>
          <w:p>
            <w:pPr>
              <w:pStyle w:val="5"/>
              <w:spacing w:after="0"/>
              <w:jc w:val="center"/>
              <w:rPr>
                <w:rFonts w:eastAsia="仿宋_GB2312"/>
                <w:bCs/>
                <w:snapToGrid w:val="0"/>
              </w:rPr>
            </w:pPr>
            <w:r>
              <w:rPr>
                <w:rFonts w:eastAsia="仿宋_GB2312"/>
                <w:bCs/>
                <w:snapToGrid w:val="0"/>
              </w:rPr>
              <w:t>植被覆盖度影像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40" w:type="dxa"/>
            <w:bottom w:w="0" w:type="dxa"/>
            <w:right w:w="40" w:type="dxa"/>
          </w:tblCellMar>
        </w:tblPrEx>
        <w:trPr>
          <w:cantSplit/>
          <w:trHeight w:val="20" w:hRule="atLeast"/>
          <w:jc w:val="center"/>
        </w:trPr>
        <w:tc>
          <w:tcPr>
            <w:tcW w:w="2765" w:type="dxa"/>
            <w:shd w:val="clear" w:color="auto" w:fill="auto"/>
            <w:vAlign w:val="center"/>
          </w:tcPr>
          <w:p>
            <w:pPr>
              <w:pStyle w:val="5"/>
              <w:spacing w:after="0"/>
              <w:jc w:val="center"/>
              <w:rPr>
                <w:rFonts w:eastAsia="仿宋_GB2312"/>
                <w:bCs/>
                <w:snapToGrid w:val="0"/>
              </w:rPr>
            </w:pPr>
            <w:r>
              <w:rPr>
                <w:rFonts w:eastAsia="仿宋_GB2312"/>
                <w:bCs/>
                <w:snapToGrid w:val="0"/>
              </w:rPr>
              <w:t>IT12</w:t>
            </w:r>
          </w:p>
        </w:tc>
        <w:tc>
          <w:tcPr>
            <w:tcW w:w="2765" w:type="dxa"/>
          </w:tcPr>
          <w:p>
            <w:pPr>
              <w:pStyle w:val="5"/>
              <w:spacing w:after="0"/>
              <w:jc w:val="center"/>
              <w:rPr>
                <w:rFonts w:eastAsia="仿宋_GB2312"/>
                <w:bCs/>
                <w:snapToGrid w:val="0"/>
              </w:rPr>
            </w:pPr>
            <w:r>
              <w:rPr>
                <w:rFonts w:eastAsia="仿宋_GB2312"/>
                <w:bCs/>
                <w:snapToGrid w:val="0"/>
              </w:rPr>
              <w:t>数据流</w:t>
            </w:r>
          </w:p>
        </w:tc>
        <w:tc>
          <w:tcPr>
            <w:tcW w:w="2766" w:type="dxa"/>
            <w:shd w:val="clear" w:color="auto" w:fill="auto"/>
            <w:vAlign w:val="center"/>
          </w:tcPr>
          <w:p>
            <w:pPr>
              <w:pStyle w:val="5"/>
              <w:spacing w:after="0"/>
              <w:jc w:val="center"/>
              <w:rPr>
                <w:rFonts w:eastAsia="仿宋_GB2312"/>
                <w:bCs/>
                <w:snapToGrid w:val="0"/>
              </w:rPr>
            </w:pPr>
            <w:r>
              <w:rPr>
                <w:rFonts w:eastAsia="仿宋_GB2312"/>
                <w:bCs/>
                <w:snapToGrid w:val="0"/>
              </w:rPr>
              <w:t>大气校正参数</w:t>
            </w:r>
          </w:p>
        </w:tc>
      </w:tr>
    </w:tbl>
    <w:p>
      <w:pPr>
        <w:jc w:val="center"/>
      </w:pPr>
      <w:bookmarkStart w:id="6" w:name="_Hlk51232060"/>
      <w:r>
        <w:object>
          <v:shape id="_x0000_i1027" o:spt="75" type="#_x0000_t75" style="height:145.65pt;width:84.9pt;" o:ole="t" filled="f" o:preferrelative="t" stroked="f" coordsize="21600,21600">
            <v:path/>
            <v:fill on="f" focussize="0,0"/>
            <v:stroke on="f" joinstyle="miter"/>
            <v:imagedata r:id="rId18" cropright="10970f" embosscolor="#FFFFFF" o:title=""/>
            <o:lock v:ext="edit" aspectratio="t"/>
            <w10:wrap type="none"/>
            <w10:anchorlock/>
          </v:shape>
          <o:OLEObject Type="Embed" ProgID="Visio.Drawing.11" ShapeID="_x0000_i1027" DrawAspect="Content" ObjectID="_1468075727" r:id="rId17">
            <o:LockedField>false</o:LockedField>
          </o:OLEObject>
        </w:object>
      </w:r>
    </w:p>
    <w:p>
      <w:pPr>
        <w:pStyle w:val="5"/>
        <w:numPr>
          <w:ilvl w:val="0"/>
          <w:numId w:val="2"/>
        </w:numPr>
        <w:autoSpaceDE w:val="0"/>
        <w:autoSpaceDN w:val="0"/>
        <w:spacing w:after="0" w:line="360" w:lineRule="auto"/>
        <w:jc w:val="center"/>
        <w:rPr>
          <w:color w:val="000000" w:themeColor="text1"/>
          <w14:textFill>
            <w14:solidFill>
              <w14:schemeClr w14:val="tx1"/>
            </w14:solidFill>
          </w14:textFill>
        </w:rPr>
      </w:pPr>
      <w:r>
        <w:rPr>
          <w:color w:val="000000" w:themeColor="text1"/>
          <w14:textFill>
            <w14:solidFill>
              <w14:schemeClr w14:val="tx1"/>
            </w14:solidFill>
          </w14:textFill>
        </w:rPr>
        <w:t>地表温度反演功能输出接口图</w:t>
      </w:r>
    </w:p>
    <w:p>
      <w:pPr>
        <w:pStyle w:val="5"/>
        <w:numPr>
          <w:ilvl w:val="0"/>
          <w:numId w:val="3"/>
        </w:numPr>
        <w:autoSpaceDE w:val="0"/>
        <w:autoSpaceDN w:val="0"/>
        <w:spacing w:after="0" w:line="360" w:lineRule="auto"/>
        <w:jc w:val="center"/>
      </w:pPr>
      <w:r>
        <w:t>地表温度反演功能输出接口表</w:t>
      </w:r>
    </w:p>
    <w:tbl>
      <w:tblPr>
        <w:tblStyle w:val="6"/>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40" w:type="dxa"/>
          <w:bottom w:w="0" w:type="dxa"/>
          <w:right w:w="40" w:type="dxa"/>
        </w:tblCellMar>
      </w:tblPr>
      <w:tblGrid>
        <w:gridCol w:w="2281"/>
        <w:gridCol w:w="2281"/>
        <w:gridCol w:w="38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40" w:type="dxa"/>
            <w:bottom w:w="0" w:type="dxa"/>
            <w:right w:w="40" w:type="dxa"/>
          </w:tblCellMar>
        </w:tblPrEx>
        <w:trPr>
          <w:cantSplit/>
          <w:trHeight w:val="113" w:hRule="atLeast"/>
          <w:tblHeader/>
          <w:jc w:val="center"/>
        </w:trPr>
        <w:tc>
          <w:tcPr>
            <w:tcW w:w="1360" w:type="pct"/>
            <w:shd w:val="clear" w:color="auto" w:fill="auto"/>
            <w:vAlign w:val="center"/>
          </w:tcPr>
          <w:p>
            <w:pPr>
              <w:pStyle w:val="5"/>
              <w:spacing w:after="0"/>
              <w:jc w:val="center"/>
              <w:rPr>
                <w:b/>
                <w:snapToGrid w:val="0"/>
              </w:rPr>
            </w:pPr>
            <w:bookmarkStart w:id="7" w:name="_Hlk51231446"/>
            <w:r>
              <w:rPr>
                <w:b/>
                <w:snapToGrid w:val="0"/>
              </w:rPr>
              <w:t>接口关系</w:t>
            </w:r>
          </w:p>
        </w:tc>
        <w:tc>
          <w:tcPr>
            <w:tcW w:w="1360" w:type="pct"/>
          </w:tcPr>
          <w:p>
            <w:pPr>
              <w:pStyle w:val="5"/>
              <w:spacing w:after="0"/>
              <w:jc w:val="center"/>
              <w:rPr>
                <w:b/>
                <w:snapToGrid w:val="0"/>
              </w:rPr>
            </w:pPr>
            <w:r>
              <w:rPr>
                <w:b/>
                <w:snapToGrid w:val="0"/>
              </w:rPr>
              <w:t>信息类别</w:t>
            </w:r>
          </w:p>
        </w:tc>
        <w:tc>
          <w:tcPr>
            <w:tcW w:w="2281" w:type="pct"/>
            <w:shd w:val="clear" w:color="auto" w:fill="auto"/>
            <w:vAlign w:val="center"/>
          </w:tcPr>
          <w:p>
            <w:pPr>
              <w:pStyle w:val="5"/>
              <w:spacing w:after="0"/>
              <w:jc w:val="center"/>
              <w:rPr>
                <w:b/>
                <w:snapToGrid w:val="0"/>
              </w:rPr>
            </w:pPr>
            <w:r>
              <w:rPr>
                <w:b/>
                <w:snapToGrid w:val="0"/>
              </w:rPr>
              <w:t>接口内容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40" w:type="dxa"/>
            <w:bottom w:w="0" w:type="dxa"/>
            <w:right w:w="40" w:type="dxa"/>
          </w:tblCellMar>
        </w:tblPrEx>
        <w:trPr>
          <w:cantSplit/>
          <w:trHeight w:val="113" w:hRule="atLeast"/>
          <w:jc w:val="center"/>
        </w:trPr>
        <w:tc>
          <w:tcPr>
            <w:tcW w:w="1360" w:type="pct"/>
            <w:shd w:val="clear" w:color="auto" w:fill="auto"/>
            <w:vAlign w:val="center"/>
          </w:tcPr>
          <w:p>
            <w:pPr>
              <w:pStyle w:val="5"/>
              <w:spacing w:after="0"/>
              <w:jc w:val="center"/>
              <w:rPr>
                <w:bCs/>
                <w:snapToGrid w:val="0"/>
              </w:rPr>
            </w:pPr>
            <w:r>
              <w:rPr>
                <w:bCs/>
                <w:snapToGrid w:val="0"/>
              </w:rPr>
              <w:t>IT003</w:t>
            </w:r>
          </w:p>
        </w:tc>
        <w:tc>
          <w:tcPr>
            <w:tcW w:w="1360" w:type="pct"/>
          </w:tcPr>
          <w:p>
            <w:pPr>
              <w:pStyle w:val="5"/>
              <w:spacing w:after="0"/>
              <w:jc w:val="center"/>
              <w:rPr>
                <w:bCs/>
                <w:snapToGrid w:val="0"/>
              </w:rPr>
            </w:pPr>
            <w:r>
              <w:rPr>
                <w:bCs/>
                <w:snapToGrid w:val="0"/>
              </w:rPr>
              <w:t>数据流</w:t>
            </w:r>
          </w:p>
        </w:tc>
        <w:tc>
          <w:tcPr>
            <w:tcW w:w="2281" w:type="pct"/>
            <w:shd w:val="clear" w:color="auto" w:fill="auto"/>
            <w:vAlign w:val="center"/>
          </w:tcPr>
          <w:p>
            <w:pPr>
              <w:pStyle w:val="5"/>
              <w:spacing w:after="0"/>
              <w:jc w:val="center"/>
              <w:rPr>
                <w:bCs/>
                <w:snapToGrid w:val="0"/>
              </w:rPr>
            </w:pPr>
            <w:r>
              <w:rPr>
                <w:bCs/>
                <w:snapToGrid w:val="0"/>
              </w:rPr>
              <w:t>地表温度分布图</w:t>
            </w:r>
          </w:p>
        </w:tc>
      </w:tr>
      <w:bookmarkEnd w:id="6"/>
      <w:bookmarkEnd w:id="7"/>
    </w:tbl>
    <w:p>
      <w:pPr>
        <w:jc w:val="center"/>
      </w:pPr>
      <w:r>
        <w:drawing>
          <wp:inline distT="0" distB="0" distL="0" distR="0">
            <wp:extent cx="3162300" cy="4019550"/>
            <wp:effectExtent l="0" t="0" r="0" b="0"/>
            <wp:docPr id="1262" name="图片 37"/>
            <wp:cNvGraphicFramePr/>
            <a:graphic xmlns:a="http://schemas.openxmlformats.org/drawingml/2006/main">
              <a:graphicData uri="http://schemas.openxmlformats.org/drawingml/2006/picture">
                <pic:pic xmlns:pic="http://schemas.openxmlformats.org/drawingml/2006/picture">
                  <pic:nvPicPr>
                    <pic:cNvPr id="1262" name="图片 37"/>
                    <pic:cNvPicPr/>
                  </pic:nvPicPr>
                  <pic:blipFill>
                    <a:blip r:embed="rId19" cstate="print"/>
                    <a:srcRect/>
                    <a:stretch>
                      <a:fillRect/>
                    </a:stretch>
                  </pic:blipFill>
                  <pic:spPr>
                    <a:xfrm>
                      <a:off x="0" y="0"/>
                      <a:ext cx="3175258" cy="4036021"/>
                    </a:xfrm>
                    <a:prstGeom prst="rect">
                      <a:avLst/>
                    </a:prstGeom>
                  </pic:spPr>
                </pic:pic>
              </a:graphicData>
            </a:graphic>
          </wp:inline>
        </w:drawing>
      </w:r>
    </w:p>
    <w:p>
      <w:pPr>
        <w:pStyle w:val="5"/>
        <w:numPr>
          <w:ilvl w:val="0"/>
          <w:numId w:val="2"/>
        </w:numPr>
        <w:autoSpaceDE w:val="0"/>
        <w:autoSpaceDN w:val="0"/>
        <w:spacing w:after="0" w:line="360" w:lineRule="auto"/>
        <w:jc w:val="center"/>
      </w:pPr>
      <w:r>
        <w:rPr>
          <w:color w:val="000000" w:themeColor="text1"/>
          <w14:textFill>
            <w14:solidFill>
              <w14:schemeClr w14:val="tx1"/>
            </w14:solidFill>
          </w14:textFill>
        </w:rPr>
        <w:t>地表温度</w:t>
      </w:r>
      <w:r>
        <w:t>功能界面</w:t>
      </w:r>
    </w:p>
    <w:p>
      <w:pPr>
        <w:pStyle w:val="4"/>
      </w:pPr>
      <w:bookmarkStart w:id="8" w:name="_Toc72705932"/>
      <w:r>
        <w:rPr>
          <w:rFonts w:hint="eastAsia"/>
          <w:lang w:eastAsia="zh-CN"/>
        </w:rPr>
        <w:t>1.1</w:t>
      </w:r>
      <w:r>
        <w:t>.3.2草情实时监控与诊断系统</w:t>
      </w:r>
      <w:bookmarkEnd w:id="8"/>
    </w:p>
    <w:p>
      <w:pPr>
        <w:pStyle w:val="11"/>
      </w:pPr>
      <w:r>
        <w:t>草情遥感监测系统：以高分四号卫星数据为主，辅助以GF-2、GF-3中空间分辨率的数据定点标定，实现遥感影像定期与实时相结合的获取、处理与监测，应用低分辨率影像向高分辨率影像转化的降尺度关键技术，解决独立的中、中高空间分辨率影像预测能力不强、准确率不高的难题。利用GF-2、MODIS、和HJ等图像，分别提取三江源、环湖和农牧交错带典型区草地植被指数(NDVI)、植被覆盖度、地表湿度指数(NDMI)、地表温度(LST)、地表蒸散发(ET)，利用中分辨率MODIS NDVI数据、FPAR和气候数据等采用GLO-PEM模型计算净初级成生产力(NPP)。根据多源遥感影像的空间异质性和时间演变规律，研究不同影像之间的空间/时间尺度效应，应用降尺度方法和影像融合技术，寻找植被指数与NPP的相关关系，建立时空尺度转换模型的数学表达，实现多源遥感数据在不同时间、空间、光谱和角度的信息合，获取更高时间和空间分辨率的NPP等遥感监测数据。</w:t>
      </w:r>
    </w:p>
    <w:p>
      <w:pPr>
        <w:pStyle w:val="11"/>
      </w:pPr>
      <w:r>
        <w:t>实时摄像摄影监控系统：根据草场面积以及数字相机取景范围的大小，开展草场实时摄像摄影监控系统的空间部署，监控系统由数字相机、远程控制系统、存储卡以及无线网络组成，系统根据设定的频次，定时拍摄并回传草原实景至草地资源与畜牧业基础数据库：后台利用MATLAB软件完成图像数据的自动处理，当回传图片的质量较低，无法满足应用需要时，用户发送指令至远程控制系统，调整摄像角度及范围，并随时补拍并回传现场影像。</w:t>
      </w:r>
    </w:p>
    <w:p>
      <w:pPr>
        <w:pStyle w:val="11"/>
      </w:pPr>
      <w:r>
        <w:t>草情诊断系统：基于草地遥感监测系统和草场实时影像监控系统获取的不同时段数据，分析草原质量变化特征，定性分析草原的质量等级，包括优、良好、一般、差等级别。</w:t>
      </w:r>
    </w:p>
    <w:p>
      <w:pPr>
        <w:pStyle w:val="11"/>
      </w:pPr>
      <w:r>
        <w:t>（1）草地利用分类</w:t>
      </w:r>
    </w:p>
    <w:p>
      <w:pPr>
        <w:pStyle w:val="11"/>
        <w:rPr>
          <w:snapToGrid w:val="0"/>
        </w:rPr>
      </w:pPr>
      <w:r>
        <w:rPr>
          <w:snapToGrid w:val="0"/>
        </w:rPr>
        <w:t>草地利用类型划分可以明确草地的利用现状，有利于因地制宜、合理地组织草地利用和布局生产。本系统是根据草地利用分类算法进行设计实现的，通过该系统能够实现对草地利用遥感解译业务化，结果为分类精度表以及草地利用类型图。</w:t>
      </w:r>
    </w:p>
    <w:p>
      <w:pPr>
        <w:pStyle w:val="11"/>
        <w:rPr>
          <w:snapToGrid w:val="0"/>
        </w:rPr>
      </w:pPr>
      <w:r>
        <w:rPr>
          <w:snapToGrid w:val="0"/>
        </w:rPr>
        <w:t>考虑到常见分类算法的优缺点，本系统采用随机森林、Keras、网格搜索（GridSearch）三种算法设计了不同的实现界面。利用研究区域的几期本底数据，从中选取有代表性的训练场地作为样本，根据已知训练区提供的样本，通过选择特征参数（如像素亮度均值、方差等），建立判别函数，据此对样本像元进行分类，依据样本类别的特征来识别试验区非样本像元的归属类别，以此完成对试验区草地利用类型的划分。</w:t>
      </w:r>
    </w:p>
    <w:p>
      <w:pPr>
        <w:jc w:val="center"/>
        <w:rPr>
          <w:rFonts w:eastAsia="微软雅黑"/>
          <w:kern w:val="0"/>
          <w:sz w:val="22"/>
        </w:rPr>
      </w:pPr>
      <w:r>
        <w:rPr>
          <w:rFonts w:eastAsia="微软雅黑"/>
          <w:kern w:val="0"/>
          <w:sz w:val="22"/>
        </w:rPr>
        <w:object>
          <v:shape id="_x0000_i1028" o:spt="75" type="#_x0000_t75" style="height:367.1pt;width:114.05pt;" o:ole="t" filled="f" o:preferrelative="t" stroked="f" coordsize="21600,21600">
            <v:path/>
            <v:fill on="f" focussize="0,0"/>
            <v:stroke on="f" joinstyle="miter"/>
            <v:imagedata r:id="rId21" embosscolor="#FFFFFF" o:title=""/>
            <o:lock v:ext="edit" aspectratio="t"/>
            <w10:wrap type="none"/>
            <w10:anchorlock/>
          </v:shape>
          <o:OLEObject Type="Embed" ProgID="Visio.Drawing.11" ShapeID="_x0000_i1028" DrawAspect="Content" ObjectID="_1468075728" r:id="rId20">
            <o:LockedField>false</o:LockedField>
          </o:OLEObject>
        </w:object>
      </w:r>
    </w:p>
    <w:p>
      <w:pPr>
        <w:pStyle w:val="5"/>
        <w:numPr>
          <w:ilvl w:val="0"/>
          <w:numId w:val="2"/>
        </w:numPr>
        <w:autoSpaceDE w:val="0"/>
        <w:autoSpaceDN w:val="0"/>
        <w:spacing w:after="0" w:line="360" w:lineRule="auto"/>
        <w:jc w:val="center"/>
        <w:rPr>
          <w:color w:val="000000" w:themeColor="text1"/>
          <w14:textFill>
            <w14:solidFill>
              <w14:schemeClr w14:val="tx1"/>
            </w14:solidFill>
          </w14:textFill>
        </w:rPr>
      </w:pPr>
      <w:r>
        <w:rPr>
          <w:color w:val="000000" w:themeColor="text1"/>
          <w14:textFill>
            <w14:solidFill>
              <w14:schemeClr w14:val="tx1"/>
            </w14:solidFill>
          </w14:textFill>
        </w:rPr>
        <w:t>草地利用分类功能工作流程图</w:t>
      </w:r>
    </w:p>
    <w:p>
      <w:pPr>
        <w:pStyle w:val="11"/>
      </w:pPr>
      <w:bookmarkStart w:id="9" w:name="_Hlk51343442"/>
      <w:r>
        <w:rPr>
          <w:rFonts w:hint="eastAsia" w:ascii="宋体" w:hAnsi="宋体" w:eastAsia="宋体" w:cs="宋体"/>
        </w:rPr>
        <w:t>①</w:t>
      </w:r>
      <w:r>
        <w:t>原始高分遥感影像：建议选择多光谱数据。</w:t>
      </w:r>
    </w:p>
    <w:p>
      <w:pPr>
        <w:pStyle w:val="11"/>
      </w:pPr>
      <w:r>
        <w:rPr>
          <w:rFonts w:hint="eastAsia" w:ascii="宋体" w:hAnsi="宋体" w:eastAsia="宋体" w:cs="宋体"/>
        </w:rPr>
        <w:t>②</w:t>
      </w:r>
      <w:r>
        <w:t>数据预处理：对遥感影像进行辐射定标、辐射校正、大气校正、几何精校正处理。</w:t>
      </w:r>
    </w:p>
    <w:p>
      <w:pPr>
        <w:pStyle w:val="11"/>
      </w:pPr>
      <w:r>
        <w:rPr>
          <w:rFonts w:hint="eastAsia" w:ascii="宋体" w:hAnsi="宋体" w:eastAsia="宋体" w:cs="宋体"/>
        </w:rPr>
        <w:t>③</w:t>
      </w:r>
      <w:r>
        <w:t>草地利用分类功能：基于草地利用分类算法得到，采用随机森林分类算法，利用研究区域的几期本底数据，从中选取有代表性的训练场地作为样本，根据已知训练区提供的样本，通过选择特征参数（如像素亮度均值、方差等），建立判别函数，据此对样本像元进行分类，依据样本类别的特征来识别试验区非样本像元的归属类别，以此完成对试验区草地覆盖类型的划分</w:t>
      </w:r>
      <w:bookmarkEnd w:id="9"/>
      <w:r>
        <w:t>。</w:t>
      </w:r>
    </w:p>
    <w:p>
      <w:pPr>
        <w:jc w:val="center"/>
      </w:pPr>
      <w:r>
        <w:drawing>
          <wp:inline distT="0" distB="0" distL="0" distR="0">
            <wp:extent cx="4648200" cy="1614170"/>
            <wp:effectExtent l="0" t="0" r="0" b="5080"/>
            <wp:docPr id="1265" name="图片 73" descr="C:\Users\Administrator\AppData\Local\Temp\WeChat Files\cacf97d3a885fc93f6e7d67afda307c.png"/>
            <wp:cNvGraphicFramePr/>
            <a:graphic xmlns:a="http://schemas.openxmlformats.org/drawingml/2006/main">
              <a:graphicData uri="http://schemas.openxmlformats.org/drawingml/2006/picture">
                <pic:pic xmlns:pic="http://schemas.openxmlformats.org/drawingml/2006/picture">
                  <pic:nvPicPr>
                    <pic:cNvPr id="1265" name="图片 73" descr="C:\Users\Administrator\AppData\Local\Temp\WeChat Files\cacf97d3a885fc93f6e7d67afda307c.png"/>
                    <pic:cNvPicPr/>
                  </pic:nvPicPr>
                  <pic:blipFill>
                    <a:blip r:embed="rId22" cstate="print"/>
                    <a:srcRect/>
                    <a:stretch>
                      <a:fillRect/>
                    </a:stretch>
                  </pic:blipFill>
                  <pic:spPr>
                    <a:xfrm>
                      <a:off x="0" y="0"/>
                      <a:ext cx="4660700" cy="1618829"/>
                    </a:xfrm>
                    <a:prstGeom prst="rect">
                      <a:avLst/>
                    </a:prstGeom>
                    <a:ln>
                      <a:noFill/>
                    </a:ln>
                  </pic:spPr>
                </pic:pic>
              </a:graphicData>
            </a:graphic>
          </wp:inline>
        </w:drawing>
      </w:r>
    </w:p>
    <w:p>
      <w:pPr>
        <w:pStyle w:val="5"/>
        <w:numPr>
          <w:ilvl w:val="0"/>
          <w:numId w:val="2"/>
        </w:numPr>
        <w:autoSpaceDE w:val="0"/>
        <w:autoSpaceDN w:val="0"/>
        <w:spacing w:after="0" w:line="360" w:lineRule="auto"/>
        <w:jc w:val="center"/>
      </w:pPr>
      <w:r>
        <w:rPr>
          <w:color w:val="000000" w:themeColor="text1"/>
          <w14:textFill>
            <w14:solidFill>
              <w14:schemeClr w14:val="tx1"/>
            </w14:solidFill>
          </w14:textFill>
        </w:rPr>
        <w:t>草地利用分类</w:t>
      </w:r>
      <w:r>
        <w:t>功能界面</w:t>
      </w:r>
    </w:p>
    <w:p>
      <w:pPr>
        <w:pStyle w:val="11"/>
      </w:pPr>
      <w:r>
        <w:t>（2）土壤含水量反演模块</w:t>
      </w:r>
    </w:p>
    <w:p>
      <w:pPr>
        <w:pStyle w:val="11"/>
      </w:pPr>
      <w:r>
        <w:t>通过该功能合理估计单位像元范围土壤水分的代表值，并分别基于站点观测土壤水分数据对关系系统的反演精度进行评估，最终得到草原土壤含水量分布图。</w:t>
      </w:r>
    </w:p>
    <w:p>
      <w:pPr>
        <w:jc w:val="center"/>
        <w:rPr>
          <w:rFonts w:eastAsia="微软雅黑"/>
          <w:kern w:val="0"/>
          <w:sz w:val="22"/>
        </w:rPr>
      </w:pPr>
      <w:r>
        <w:rPr>
          <w:rFonts w:eastAsia="微软雅黑"/>
          <w:kern w:val="0"/>
          <w:sz w:val="22"/>
        </w:rPr>
        <w:object>
          <v:shape id="_x0000_i1029" o:spt="75" type="#_x0000_t75" style="height:255.95pt;width:208.5pt;" o:ole="t" filled="f" o:preferrelative="t" stroked="f" coordsize="21600,21600">
            <v:path/>
            <v:fill on="f" focussize="0,0"/>
            <v:stroke on="f" joinstyle="miter"/>
            <v:imagedata r:id="rId24" embosscolor="#FFFFFF" o:title=""/>
            <o:lock v:ext="edit" aspectratio="t"/>
            <w10:wrap type="none"/>
            <w10:anchorlock/>
          </v:shape>
          <o:OLEObject Type="Embed" ProgID="Visio.Drawing.11" ShapeID="_x0000_i1029" DrawAspect="Content" ObjectID="_1468075729" r:id="rId23">
            <o:LockedField>false</o:LockedField>
          </o:OLEObject>
        </w:object>
      </w:r>
    </w:p>
    <w:p>
      <w:pPr>
        <w:pStyle w:val="5"/>
        <w:numPr>
          <w:ilvl w:val="0"/>
          <w:numId w:val="2"/>
        </w:numPr>
        <w:autoSpaceDE w:val="0"/>
        <w:autoSpaceDN w:val="0"/>
        <w:spacing w:after="0" w:line="360" w:lineRule="auto"/>
        <w:jc w:val="center"/>
        <w:rPr>
          <w:color w:val="000000" w:themeColor="text1"/>
          <w14:textFill>
            <w14:solidFill>
              <w14:schemeClr w14:val="tx1"/>
            </w14:solidFill>
          </w14:textFill>
        </w:rPr>
      </w:pPr>
      <w:r>
        <w:t>土壤含水量反演功能</w:t>
      </w:r>
      <w:r>
        <w:rPr>
          <w:color w:val="000000" w:themeColor="text1"/>
          <w14:textFill>
            <w14:solidFill>
              <w14:schemeClr w14:val="tx1"/>
            </w14:solidFill>
          </w14:textFill>
        </w:rPr>
        <w:t>工作流程图</w:t>
      </w:r>
    </w:p>
    <w:p>
      <w:pPr>
        <w:pStyle w:val="11"/>
      </w:pPr>
      <w:bookmarkStart w:id="10" w:name="_Hlk51343140"/>
      <w:r>
        <w:rPr>
          <w:rFonts w:hint="eastAsia" w:ascii="宋体" w:hAnsi="宋体" w:eastAsia="宋体" w:cs="宋体"/>
        </w:rPr>
        <w:t>①</w:t>
      </w:r>
      <w:r>
        <w:t>输入数据：归一化植被指数、地表温度。</w:t>
      </w:r>
    </w:p>
    <w:p>
      <w:pPr>
        <w:pStyle w:val="11"/>
      </w:pPr>
      <w:r>
        <w:rPr>
          <w:rFonts w:hint="eastAsia" w:ascii="宋体" w:hAnsi="宋体" w:eastAsia="宋体" w:cs="宋体"/>
        </w:rPr>
        <w:t>②</w:t>
      </w:r>
      <w:r>
        <w:t>数据预处理：对遥感影像进行辐射校正、大气校正、几何精校正处理。</w:t>
      </w:r>
    </w:p>
    <w:p>
      <w:pPr>
        <w:pStyle w:val="11"/>
      </w:pPr>
      <w:r>
        <w:rPr>
          <w:rFonts w:hint="eastAsia" w:ascii="宋体" w:hAnsi="宋体" w:eastAsia="宋体" w:cs="宋体"/>
        </w:rPr>
        <w:t>③</w:t>
      </w:r>
      <w:r>
        <w:t>土壤含水量反演功能：基于土壤含水量反演算法得到，基于植被指数（VI）和地表温度（Ts）的二维特征空间获取温度植被干旱指数（TVDI），综合了两个参数特有的生理生态意义，通过地面土壤墒情监测站的实测数据，建立温度植被干旱指数与土壤含水量的线性回归关系，最终得到精度误差允许范围内的土壤墒情反演公式。</w:t>
      </w:r>
    </w:p>
    <w:bookmarkEnd w:id="10"/>
    <w:p>
      <w:pPr>
        <w:pStyle w:val="11"/>
      </w:pPr>
      <w:r>
        <w:t>精度验证：采用剩余点的反演值与实测值比较。</w:t>
      </w:r>
    </w:p>
    <w:p>
      <w:pPr>
        <w:jc w:val="center"/>
        <w:rPr>
          <w:rFonts w:eastAsia="微软雅黑"/>
          <w:kern w:val="0"/>
          <w:sz w:val="22"/>
        </w:rPr>
      </w:pPr>
      <w:r>
        <w:rPr>
          <w:rFonts w:eastAsia="微软雅黑"/>
          <w:kern w:val="0"/>
          <w:sz w:val="22"/>
        </w:rPr>
        <w:object>
          <v:shape id="_x0000_i1030" o:spt="75" type="#_x0000_t75" style="height:89.5pt;width:272.2pt;" o:ole="t" filled="f" o:preferrelative="t" stroked="f" coordsize="21600,21600">
            <v:path/>
            <v:fill on="f" focussize="0,0"/>
            <v:stroke on="f" joinstyle="miter"/>
            <v:imagedata r:id="rId26" embosscolor="#FFFFFF" o:title=""/>
            <o:lock v:ext="edit" aspectratio="t"/>
            <w10:wrap type="none"/>
            <w10:anchorlock/>
          </v:shape>
          <o:OLEObject Type="Embed" ProgID="Visio.Drawing.11" ShapeID="_x0000_i1030" DrawAspect="Content" ObjectID="_1468075730" r:id="rId25">
            <o:LockedField>false</o:LockedField>
          </o:OLEObject>
        </w:object>
      </w:r>
    </w:p>
    <w:p>
      <w:pPr>
        <w:pStyle w:val="5"/>
        <w:numPr>
          <w:ilvl w:val="0"/>
          <w:numId w:val="2"/>
        </w:numPr>
        <w:autoSpaceDE w:val="0"/>
        <w:autoSpaceDN w:val="0"/>
        <w:spacing w:after="0" w:line="360" w:lineRule="auto"/>
        <w:jc w:val="center"/>
        <w:rPr>
          <w:color w:val="000000" w:themeColor="text1"/>
          <w14:textFill>
            <w14:solidFill>
              <w14:schemeClr w14:val="tx1"/>
            </w14:solidFill>
          </w14:textFill>
        </w:rPr>
      </w:pPr>
      <w:r>
        <w:rPr>
          <w:color w:val="000000" w:themeColor="text1"/>
          <w14:textFill>
            <w14:solidFill>
              <w14:schemeClr w14:val="tx1"/>
            </w14:solidFill>
          </w14:textFill>
        </w:rPr>
        <w:t>土壤含水量反演功能输入接口图</w:t>
      </w:r>
    </w:p>
    <w:p>
      <w:pPr>
        <w:pStyle w:val="5"/>
        <w:autoSpaceDE w:val="0"/>
        <w:autoSpaceDN w:val="0"/>
        <w:spacing w:after="0" w:line="360" w:lineRule="auto"/>
        <w:jc w:val="center"/>
        <w:rPr>
          <w:color w:val="000000" w:themeColor="text1"/>
          <w14:textFill>
            <w14:solidFill>
              <w14:schemeClr w14:val="tx1"/>
            </w14:solidFill>
          </w14:textFill>
        </w:rPr>
      </w:pPr>
    </w:p>
    <w:p>
      <w:pPr>
        <w:pStyle w:val="5"/>
        <w:autoSpaceDE w:val="0"/>
        <w:autoSpaceDN w:val="0"/>
        <w:spacing w:after="0" w:line="360" w:lineRule="auto"/>
        <w:jc w:val="center"/>
        <w:rPr>
          <w:color w:val="000000" w:themeColor="text1"/>
          <w14:textFill>
            <w14:solidFill>
              <w14:schemeClr w14:val="tx1"/>
            </w14:solidFill>
          </w14:textFill>
        </w:rPr>
      </w:pPr>
    </w:p>
    <w:p>
      <w:pPr>
        <w:pStyle w:val="5"/>
        <w:numPr>
          <w:ilvl w:val="0"/>
          <w:numId w:val="3"/>
        </w:numPr>
        <w:autoSpaceDE w:val="0"/>
        <w:autoSpaceDN w:val="0"/>
        <w:spacing w:after="0" w:line="360" w:lineRule="auto"/>
        <w:jc w:val="center"/>
      </w:pPr>
      <w:r>
        <w:t>土壤含水量反演功能输入接口表</w:t>
      </w:r>
    </w:p>
    <w:tbl>
      <w:tblPr>
        <w:tblStyle w:val="6"/>
        <w:tblW w:w="855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40" w:type="dxa"/>
          <w:bottom w:w="0" w:type="dxa"/>
          <w:right w:w="40" w:type="dxa"/>
        </w:tblCellMar>
      </w:tblPr>
      <w:tblGrid>
        <w:gridCol w:w="2851"/>
        <w:gridCol w:w="2852"/>
        <w:gridCol w:w="28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40" w:type="dxa"/>
            <w:bottom w:w="0" w:type="dxa"/>
            <w:right w:w="40" w:type="dxa"/>
          </w:tblCellMar>
        </w:tblPrEx>
        <w:trPr>
          <w:cantSplit/>
          <w:trHeight w:val="113" w:hRule="atLeast"/>
          <w:tblHeader/>
          <w:jc w:val="center"/>
        </w:trPr>
        <w:tc>
          <w:tcPr>
            <w:tcW w:w="2851" w:type="dxa"/>
            <w:shd w:val="clear" w:color="auto" w:fill="auto"/>
            <w:vAlign w:val="center"/>
          </w:tcPr>
          <w:p>
            <w:pPr>
              <w:pStyle w:val="5"/>
              <w:spacing w:after="0"/>
              <w:jc w:val="center"/>
              <w:rPr>
                <w:rFonts w:eastAsia="仿宋_GB2312"/>
                <w:b/>
                <w:snapToGrid w:val="0"/>
              </w:rPr>
            </w:pPr>
            <w:r>
              <w:rPr>
                <w:rFonts w:eastAsia="仿宋_GB2312"/>
                <w:b/>
                <w:snapToGrid w:val="0"/>
              </w:rPr>
              <w:t>接口关系</w:t>
            </w:r>
          </w:p>
        </w:tc>
        <w:tc>
          <w:tcPr>
            <w:tcW w:w="2852" w:type="dxa"/>
          </w:tcPr>
          <w:p>
            <w:pPr>
              <w:pStyle w:val="5"/>
              <w:spacing w:after="0"/>
              <w:jc w:val="center"/>
              <w:rPr>
                <w:rFonts w:eastAsia="仿宋_GB2312"/>
                <w:b/>
                <w:snapToGrid w:val="0"/>
              </w:rPr>
            </w:pPr>
            <w:r>
              <w:rPr>
                <w:rFonts w:eastAsia="仿宋_GB2312"/>
                <w:b/>
                <w:snapToGrid w:val="0"/>
              </w:rPr>
              <w:t>信息类别</w:t>
            </w:r>
          </w:p>
        </w:tc>
        <w:tc>
          <w:tcPr>
            <w:tcW w:w="2852" w:type="dxa"/>
            <w:shd w:val="clear" w:color="auto" w:fill="auto"/>
            <w:vAlign w:val="center"/>
          </w:tcPr>
          <w:p>
            <w:pPr>
              <w:pStyle w:val="5"/>
              <w:spacing w:after="0"/>
              <w:jc w:val="center"/>
              <w:rPr>
                <w:rFonts w:eastAsia="仿宋_GB2312"/>
                <w:b/>
                <w:snapToGrid w:val="0"/>
              </w:rPr>
            </w:pPr>
            <w:r>
              <w:rPr>
                <w:rFonts w:eastAsia="仿宋_GB2312"/>
                <w:b/>
                <w:snapToGrid w:val="0"/>
              </w:rPr>
              <w:t>接口内容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40" w:type="dxa"/>
            <w:bottom w:w="0" w:type="dxa"/>
            <w:right w:w="40" w:type="dxa"/>
          </w:tblCellMar>
        </w:tblPrEx>
        <w:trPr>
          <w:cantSplit/>
          <w:trHeight w:val="113" w:hRule="atLeast"/>
          <w:jc w:val="center"/>
        </w:trPr>
        <w:tc>
          <w:tcPr>
            <w:tcW w:w="2851" w:type="dxa"/>
            <w:shd w:val="clear" w:color="auto" w:fill="auto"/>
            <w:vAlign w:val="center"/>
          </w:tcPr>
          <w:p>
            <w:pPr>
              <w:pStyle w:val="5"/>
              <w:spacing w:after="0"/>
              <w:jc w:val="center"/>
              <w:rPr>
                <w:rFonts w:eastAsia="仿宋_GB2312"/>
                <w:bCs/>
                <w:snapToGrid w:val="0"/>
              </w:rPr>
            </w:pPr>
            <w:r>
              <w:rPr>
                <w:rFonts w:eastAsia="仿宋_GB2312"/>
                <w:bCs/>
                <w:snapToGrid w:val="0"/>
              </w:rPr>
              <w:t>IT10</w:t>
            </w:r>
          </w:p>
        </w:tc>
        <w:tc>
          <w:tcPr>
            <w:tcW w:w="2852" w:type="dxa"/>
          </w:tcPr>
          <w:p>
            <w:pPr>
              <w:pStyle w:val="5"/>
              <w:spacing w:after="0"/>
              <w:jc w:val="center"/>
              <w:rPr>
                <w:rFonts w:eastAsia="仿宋_GB2312"/>
                <w:bCs/>
                <w:snapToGrid w:val="0"/>
              </w:rPr>
            </w:pPr>
            <w:r>
              <w:rPr>
                <w:rFonts w:eastAsia="仿宋_GB2312"/>
                <w:bCs/>
                <w:snapToGrid w:val="0"/>
              </w:rPr>
              <w:t>数据流</w:t>
            </w:r>
          </w:p>
        </w:tc>
        <w:tc>
          <w:tcPr>
            <w:tcW w:w="2852" w:type="dxa"/>
            <w:shd w:val="clear" w:color="auto" w:fill="auto"/>
            <w:vAlign w:val="center"/>
          </w:tcPr>
          <w:p>
            <w:pPr>
              <w:pStyle w:val="5"/>
              <w:spacing w:after="0"/>
              <w:jc w:val="center"/>
              <w:rPr>
                <w:rFonts w:eastAsia="仿宋_GB2312"/>
                <w:bCs/>
                <w:snapToGrid w:val="0"/>
              </w:rPr>
            </w:pPr>
            <w:r>
              <w:rPr>
                <w:rFonts w:eastAsia="仿宋_GB2312"/>
                <w:bCs/>
                <w:snapToGrid w:val="0"/>
              </w:rPr>
              <w:t>植被指数值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40" w:type="dxa"/>
            <w:bottom w:w="0" w:type="dxa"/>
            <w:right w:w="40" w:type="dxa"/>
          </w:tblCellMar>
        </w:tblPrEx>
        <w:trPr>
          <w:cantSplit/>
          <w:trHeight w:val="113" w:hRule="atLeast"/>
          <w:jc w:val="center"/>
        </w:trPr>
        <w:tc>
          <w:tcPr>
            <w:tcW w:w="2851" w:type="dxa"/>
            <w:shd w:val="clear" w:color="auto" w:fill="auto"/>
            <w:vAlign w:val="center"/>
          </w:tcPr>
          <w:p>
            <w:pPr>
              <w:pStyle w:val="5"/>
              <w:spacing w:after="0"/>
              <w:jc w:val="center"/>
              <w:rPr>
                <w:rFonts w:eastAsia="仿宋_GB2312"/>
                <w:bCs/>
                <w:snapToGrid w:val="0"/>
              </w:rPr>
            </w:pPr>
            <w:r>
              <w:rPr>
                <w:rFonts w:eastAsia="仿宋_GB2312"/>
                <w:bCs/>
                <w:snapToGrid w:val="0"/>
              </w:rPr>
              <w:t>IT13</w:t>
            </w:r>
          </w:p>
        </w:tc>
        <w:tc>
          <w:tcPr>
            <w:tcW w:w="2852" w:type="dxa"/>
          </w:tcPr>
          <w:p>
            <w:pPr>
              <w:pStyle w:val="5"/>
              <w:spacing w:after="0"/>
              <w:jc w:val="center"/>
              <w:rPr>
                <w:rFonts w:eastAsia="仿宋_GB2312"/>
                <w:bCs/>
                <w:snapToGrid w:val="0"/>
              </w:rPr>
            </w:pPr>
            <w:r>
              <w:rPr>
                <w:rFonts w:eastAsia="仿宋_GB2312"/>
                <w:bCs/>
                <w:snapToGrid w:val="0"/>
              </w:rPr>
              <w:t>数据流</w:t>
            </w:r>
          </w:p>
        </w:tc>
        <w:tc>
          <w:tcPr>
            <w:tcW w:w="2852" w:type="dxa"/>
            <w:shd w:val="clear" w:color="auto" w:fill="auto"/>
            <w:vAlign w:val="center"/>
          </w:tcPr>
          <w:p>
            <w:pPr>
              <w:pStyle w:val="5"/>
              <w:spacing w:after="0"/>
              <w:jc w:val="center"/>
              <w:rPr>
                <w:rFonts w:eastAsia="仿宋_GB2312"/>
                <w:bCs/>
                <w:snapToGrid w:val="0"/>
              </w:rPr>
            </w:pPr>
            <w:r>
              <w:rPr>
                <w:rFonts w:eastAsia="仿宋_GB2312"/>
                <w:bCs/>
                <w:snapToGrid w:val="0"/>
              </w:rPr>
              <w:t>地表温度数据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40" w:type="dxa"/>
            <w:bottom w:w="0" w:type="dxa"/>
            <w:right w:w="40" w:type="dxa"/>
          </w:tblCellMar>
        </w:tblPrEx>
        <w:trPr>
          <w:cantSplit/>
          <w:trHeight w:val="113" w:hRule="atLeast"/>
          <w:jc w:val="center"/>
        </w:trPr>
        <w:tc>
          <w:tcPr>
            <w:tcW w:w="2851" w:type="dxa"/>
            <w:shd w:val="clear" w:color="auto" w:fill="auto"/>
            <w:vAlign w:val="center"/>
          </w:tcPr>
          <w:p>
            <w:pPr>
              <w:pStyle w:val="5"/>
              <w:spacing w:after="0"/>
              <w:jc w:val="center"/>
              <w:rPr>
                <w:rFonts w:eastAsia="仿宋_GB2312"/>
                <w:bCs/>
                <w:snapToGrid w:val="0"/>
              </w:rPr>
            </w:pPr>
            <w:r>
              <w:rPr>
                <w:rFonts w:eastAsia="仿宋_GB2312"/>
                <w:bCs/>
                <w:snapToGrid w:val="0"/>
              </w:rPr>
              <w:t>IT14</w:t>
            </w:r>
          </w:p>
        </w:tc>
        <w:tc>
          <w:tcPr>
            <w:tcW w:w="2852" w:type="dxa"/>
          </w:tcPr>
          <w:p>
            <w:pPr>
              <w:pStyle w:val="5"/>
              <w:spacing w:after="0"/>
              <w:jc w:val="center"/>
              <w:rPr>
                <w:rFonts w:eastAsia="仿宋_GB2312"/>
                <w:bCs/>
                <w:snapToGrid w:val="0"/>
              </w:rPr>
            </w:pPr>
            <w:r>
              <w:rPr>
                <w:rFonts w:eastAsia="仿宋_GB2312"/>
                <w:bCs/>
                <w:snapToGrid w:val="0"/>
              </w:rPr>
              <w:t>数据流</w:t>
            </w:r>
          </w:p>
        </w:tc>
        <w:tc>
          <w:tcPr>
            <w:tcW w:w="2852" w:type="dxa"/>
            <w:shd w:val="clear" w:color="auto" w:fill="auto"/>
            <w:vAlign w:val="center"/>
          </w:tcPr>
          <w:p>
            <w:pPr>
              <w:pStyle w:val="5"/>
              <w:spacing w:after="0"/>
              <w:jc w:val="center"/>
              <w:rPr>
                <w:rFonts w:eastAsia="仿宋_GB2312"/>
                <w:bCs/>
                <w:snapToGrid w:val="0"/>
              </w:rPr>
            </w:pPr>
            <w:r>
              <w:rPr>
                <w:rFonts w:eastAsia="仿宋_GB2312"/>
                <w:bCs/>
                <w:snapToGrid w:val="0"/>
              </w:rPr>
              <w:t>土壤含水量采样点数据</w:t>
            </w:r>
          </w:p>
        </w:tc>
      </w:tr>
    </w:tbl>
    <w:p>
      <w:pPr>
        <w:jc w:val="center"/>
        <w:rPr>
          <w:rFonts w:eastAsia="微软雅黑"/>
          <w:kern w:val="0"/>
          <w:sz w:val="22"/>
        </w:rPr>
      </w:pPr>
      <w:r>
        <w:rPr>
          <w:rFonts w:eastAsia="微软雅黑"/>
          <w:kern w:val="0"/>
          <w:sz w:val="22"/>
        </w:rPr>
        <w:object>
          <v:shape id="_x0000_i1031" o:spt="75" type="#_x0000_t75" style="height:97.8pt;width:201.85pt;" o:ole="t" filled="f" o:preferrelative="t" stroked="f" coordsize="21600,21600">
            <v:path/>
            <v:fill on="f" focussize="0,0"/>
            <v:stroke on="f" joinstyle="miter"/>
            <v:imagedata r:id="rId28" embosscolor="#FFFFFF" o:title=""/>
            <o:lock v:ext="edit" aspectratio="t"/>
            <w10:wrap type="none"/>
            <w10:anchorlock/>
          </v:shape>
          <o:OLEObject Type="Embed" ProgID="Visio.Drawing.11" ShapeID="_x0000_i1031" DrawAspect="Content" ObjectID="_1468075731" r:id="rId27">
            <o:LockedField>false</o:LockedField>
          </o:OLEObject>
        </w:object>
      </w:r>
    </w:p>
    <w:p>
      <w:pPr>
        <w:pStyle w:val="5"/>
        <w:numPr>
          <w:ilvl w:val="0"/>
          <w:numId w:val="2"/>
        </w:numPr>
        <w:autoSpaceDE w:val="0"/>
        <w:autoSpaceDN w:val="0"/>
        <w:spacing w:after="0" w:line="360" w:lineRule="auto"/>
        <w:jc w:val="center"/>
        <w:rPr>
          <w:color w:val="000000" w:themeColor="text1"/>
          <w14:textFill>
            <w14:solidFill>
              <w14:schemeClr w14:val="tx1"/>
            </w14:solidFill>
          </w14:textFill>
        </w:rPr>
      </w:pPr>
      <w:r>
        <w:rPr>
          <w:color w:val="000000" w:themeColor="text1"/>
          <w14:textFill>
            <w14:solidFill>
              <w14:schemeClr w14:val="tx1"/>
            </w14:solidFill>
          </w14:textFill>
        </w:rPr>
        <w:t>土壤含水量反演功能输出接口图</w:t>
      </w:r>
    </w:p>
    <w:p>
      <w:pPr>
        <w:pStyle w:val="5"/>
        <w:numPr>
          <w:ilvl w:val="0"/>
          <w:numId w:val="3"/>
        </w:numPr>
        <w:autoSpaceDE w:val="0"/>
        <w:autoSpaceDN w:val="0"/>
        <w:spacing w:after="0" w:line="360" w:lineRule="auto"/>
        <w:jc w:val="center"/>
      </w:pPr>
      <w:r>
        <w:t>土壤含水量反演功能输出接口表</w:t>
      </w:r>
    </w:p>
    <w:tbl>
      <w:tblPr>
        <w:tblStyle w:val="6"/>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40" w:type="dxa"/>
          <w:bottom w:w="0" w:type="dxa"/>
          <w:right w:w="40" w:type="dxa"/>
        </w:tblCellMar>
      </w:tblPr>
      <w:tblGrid>
        <w:gridCol w:w="2765"/>
        <w:gridCol w:w="2475"/>
        <w:gridCol w:w="3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40" w:type="dxa"/>
            <w:bottom w:w="0" w:type="dxa"/>
            <w:right w:w="40" w:type="dxa"/>
          </w:tblCellMar>
        </w:tblPrEx>
        <w:trPr>
          <w:cantSplit/>
          <w:trHeight w:val="113" w:hRule="atLeast"/>
          <w:tblHeader/>
          <w:jc w:val="center"/>
        </w:trPr>
        <w:tc>
          <w:tcPr>
            <w:tcW w:w="2765" w:type="dxa"/>
            <w:shd w:val="clear" w:color="auto" w:fill="auto"/>
            <w:vAlign w:val="center"/>
          </w:tcPr>
          <w:p>
            <w:pPr>
              <w:pStyle w:val="5"/>
              <w:spacing w:after="0"/>
              <w:jc w:val="center"/>
              <w:rPr>
                <w:rFonts w:eastAsia="仿宋_GB2312"/>
                <w:b/>
                <w:snapToGrid w:val="0"/>
              </w:rPr>
            </w:pPr>
            <w:r>
              <w:rPr>
                <w:rFonts w:eastAsia="仿宋_GB2312"/>
                <w:b/>
                <w:snapToGrid w:val="0"/>
              </w:rPr>
              <w:t>接口关系</w:t>
            </w:r>
          </w:p>
        </w:tc>
        <w:tc>
          <w:tcPr>
            <w:tcW w:w="2475" w:type="dxa"/>
          </w:tcPr>
          <w:p>
            <w:pPr>
              <w:pStyle w:val="5"/>
              <w:spacing w:after="0"/>
              <w:jc w:val="center"/>
              <w:rPr>
                <w:rFonts w:eastAsia="仿宋_GB2312"/>
                <w:b/>
                <w:snapToGrid w:val="0"/>
              </w:rPr>
            </w:pPr>
            <w:r>
              <w:rPr>
                <w:rFonts w:eastAsia="仿宋_GB2312"/>
                <w:b/>
                <w:snapToGrid w:val="0"/>
              </w:rPr>
              <w:t>信息类别</w:t>
            </w:r>
          </w:p>
        </w:tc>
        <w:tc>
          <w:tcPr>
            <w:tcW w:w="3056" w:type="dxa"/>
            <w:shd w:val="clear" w:color="auto" w:fill="auto"/>
            <w:vAlign w:val="center"/>
          </w:tcPr>
          <w:p>
            <w:pPr>
              <w:pStyle w:val="5"/>
              <w:spacing w:after="0"/>
              <w:jc w:val="center"/>
              <w:rPr>
                <w:rFonts w:eastAsia="仿宋_GB2312"/>
                <w:b/>
                <w:snapToGrid w:val="0"/>
              </w:rPr>
            </w:pPr>
            <w:r>
              <w:rPr>
                <w:rFonts w:eastAsia="仿宋_GB2312"/>
                <w:b/>
                <w:snapToGrid w:val="0"/>
              </w:rPr>
              <w:t>接口内容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40" w:type="dxa"/>
            <w:bottom w:w="0" w:type="dxa"/>
            <w:right w:w="40" w:type="dxa"/>
          </w:tblCellMar>
        </w:tblPrEx>
        <w:trPr>
          <w:cantSplit/>
          <w:trHeight w:val="113" w:hRule="atLeast"/>
          <w:jc w:val="center"/>
        </w:trPr>
        <w:tc>
          <w:tcPr>
            <w:tcW w:w="2765" w:type="dxa"/>
            <w:shd w:val="clear" w:color="auto" w:fill="auto"/>
            <w:vAlign w:val="center"/>
          </w:tcPr>
          <w:p>
            <w:pPr>
              <w:pStyle w:val="5"/>
              <w:spacing w:after="0"/>
              <w:jc w:val="center"/>
              <w:rPr>
                <w:rFonts w:eastAsia="仿宋_GB2312"/>
                <w:bCs/>
                <w:snapToGrid w:val="0"/>
              </w:rPr>
            </w:pPr>
            <w:r>
              <w:rPr>
                <w:rFonts w:eastAsia="仿宋_GB2312"/>
                <w:bCs/>
                <w:snapToGrid w:val="0"/>
              </w:rPr>
              <w:t>IT004</w:t>
            </w:r>
          </w:p>
        </w:tc>
        <w:tc>
          <w:tcPr>
            <w:tcW w:w="2475" w:type="dxa"/>
          </w:tcPr>
          <w:p>
            <w:pPr>
              <w:pStyle w:val="5"/>
              <w:spacing w:after="0"/>
              <w:jc w:val="center"/>
              <w:rPr>
                <w:rFonts w:eastAsia="仿宋_GB2312"/>
                <w:bCs/>
                <w:snapToGrid w:val="0"/>
              </w:rPr>
            </w:pPr>
            <w:r>
              <w:rPr>
                <w:rFonts w:eastAsia="仿宋_GB2312"/>
                <w:bCs/>
                <w:snapToGrid w:val="0"/>
              </w:rPr>
              <w:t>数据流</w:t>
            </w:r>
          </w:p>
        </w:tc>
        <w:tc>
          <w:tcPr>
            <w:tcW w:w="3056" w:type="dxa"/>
            <w:shd w:val="clear" w:color="auto" w:fill="auto"/>
            <w:vAlign w:val="center"/>
          </w:tcPr>
          <w:p>
            <w:pPr>
              <w:pStyle w:val="5"/>
              <w:spacing w:after="0"/>
              <w:jc w:val="center"/>
              <w:rPr>
                <w:rFonts w:eastAsia="仿宋_GB2312"/>
                <w:bCs/>
                <w:snapToGrid w:val="0"/>
              </w:rPr>
            </w:pPr>
            <w:r>
              <w:rPr>
                <w:rFonts w:eastAsia="仿宋_GB2312"/>
                <w:bCs/>
                <w:snapToGrid w:val="0"/>
              </w:rPr>
              <w:t>土壤含水量分布图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40" w:type="dxa"/>
            <w:bottom w:w="0" w:type="dxa"/>
            <w:right w:w="40" w:type="dxa"/>
          </w:tblCellMar>
        </w:tblPrEx>
        <w:trPr>
          <w:cantSplit/>
          <w:trHeight w:val="113" w:hRule="atLeast"/>
          <w:jc w:val="center"/>
        </w:trPr>
        <w:tc>
          <w:tcPr>
            <w:tcW w:w="2765" w:type="dxa"/>
            <w:shd w:val="clear" w:color="auto" w:fill="auto"/>
            <w:vAlign w:val="center"/>
          </w:tcPr>
          <w:p>
            <w:pPr>
              <w:pStyle w:val="5"/>
              <w:spacing w:after="0"/>
              <w:jc w:val="center"/>
              <w:rPr>
                <w:rFonts w:eastAsia="仿宋_GB2312"/>
                <w:bCs/>
                <w:snapToGrid w:val="0"/>
              </w:rPr>
            </w:pPr>
            <w:r>
              <w:rPr>
                <w:rFonts w:eastAsia="仿宋_GB2312"/>
                <w:bCs/>
                <w:snapToGrid w:val="0"/>
              </w:rPr>
              <w:t>IT005</w:t>
            </w:r>
          </w:p>
        </w:tc>
        <w:tc>
          <w:tcPr>
            <w:tcW w:w="2475" w:type="dxa"/>
          </w:tcPr>
          <w:p>
            <w:pPr>
              <w:pStyle w:val="5"/>
              <w:spacing w:after="0"/>
              <w:jc w:val="center"/>
              <w:rPr>
                <w:rFonts w:eastAsia="仿宋_GB2312"/>
                <w:bCs/>
                <w:snapToGrid w:val="0"/>
              </w:rPr>
            </w:pPr>
            <w:r>
              <w:rPr>
                <w:rFonts w:eastAsia="仿宋_GB2312"/>
                <w:bCs/>
                <w:snapToGrid w:val="0"/>
              </w:rPr>
              <w:t>数据流</w:t>
            </w:r>
          </w:p>
        </w:tc>
        <w:tc>
          <w:tcPr>
            <w:tcW w:w="3056" w:type="dxa"/>
            <w:shd w:val="clear" w:color="auto" w:fill="auto"/>
            <w:vAlign w:val="center"/>
          </w:tcPr>
          <w:p>
            <w:pPr>
              <w:pStyle w:val="5"/>
              <w:spacing w:after="0"/>
              <w:jc w:val="center"/>
              <w:rPr>
                <w:rFonts w:eastAsia="仿宋_GB2312"/>
                <w:bCs/>
                <w:snapToGrid w:val="0"/>
              </w:rPr>
            </w:pPr>
            <w:r>
              <w:rPr>
                <w:rFonts w:eastAsia="仿宋_GB2312"/>
                <w:bCs/>
                <w:snapToGrid w:val="0"/>
              </w:rPr>
              <w:t>温度-植被干旱指数分布图</w:t>
            </w:r>
          </w:p>
        </w:tc>
      </w:tr>
    </w:tbl>
    <w:p>
      <w:pPr>
        <w:jc w:val="center"/>
      </w:pPr>
      <w:r>
        <w:drawing>
          <wp:inline distT="0" distB="0" distL="0" distR="0">
            <wp:extent cx="4195445" cy="3171825"/>
            <wp:effectExtent l="0" t="0" r="14605" b="9525"/>
            <wp:docPr id="1263" name="图片 63"/>
            <wp:cNvGraphicFramePr/>
            <a:graphic xmlns:a="http://schemas.openxmlformats.org/drawingml/2006/main">
              <a:graphicData uri="http://schemas.openxmlformats.org/drawingml/2006/picture">
                <pic:pic xmlns:pic="http://schemas.openxmlformats.org/drawingml/2006/picture">
                  <pic:nvPicPr>
                    <pic:cNvPr id="1263" name="图片 63"/>
                    <pic:cNvPicPr/>
                  </pic:nvPicPr>
                  <pic:blipFill>
                    <a:blip r:embed="rId29" cstate="print"/>
                    <a:srcRect/>
                    <a:stretch>
                      <a:fillRect/>
                    </a:stretch>
                  </pic:blipFill>
                  <pic:spPr>
                    <a:xfrm>
                      <a:off x="0" y="0"/>
                      <a:ext cx="4203660" cy="3177795"/>
                    </a:xfrm>
                    <a:prstGeom prst="rect">
                      <a:avLst/>
                    </a:prstGeom>
                  </pic:spPr>
                </pic:pic>
              </a:graphicData>
            </a:graphic>
          </wp:inline>
        </w:drawing>
      </w:r>
    </w:p>
    <w:p>
      <w:pPr>
        <w:pStyle w:val="5"/>
        <w:numPr>
          <w:ilvl w:val="0"/>
          <w:numId w:val="2"/>
        </w:numPr>
        <w:autoSpaceDE w:val="0"/>
        <w:autoSpaceDN w:val="0"/>
        <w:spacing w:after="0" w:line="360" w:lineRule="auto"/>
        <w:jc w:val="center"/>
        <w:rPr>
          <w:color w:val="000000" w:themeColor="text1"/>
          <w14:textFill>
            <w14:solidFill>
              <w14:schemeClr w14:val="tx1"/>
            </w14:solidFill>
          </w14:textFill>
        </w:rPr>
      </w:pPr>
      <w:r>
        <w:rPr>
          <w:color w:val="000000" w:themeColor="text1"/>
          <w14:textFill>
            <w14:solidFill>
              <w14:schemeClr w14:val="tx1"/>
            </w14:solidFill>
          </w14:textFill>
        </w:rPr>
        <w:t>土壤含水量反演功能界面</w:t>
      </w:r>
    </w:p>
    <w:p>
      <w:pPr>
        <w:pStyle w:val="11"/>
      </w:pPr>
      <w:r>
        <w:t>（3）净初级成生产力反演模块</w:t>
      </w:r>
    </w:p>
    <w:p>
      <w:pPr>
        <w:pStyle w:val="11"/>
      </w:pPr>
      <w:r>
        <w:t>利用GF-2、MODIS和HJ等图像，分别提取三江源、环湖和农牧交错带典型区草地植被指数(NDVI)、植被覆盖度、地表湿度指数(NDMI)、地表温度(LST)、地表蒸散发(ET)，利用中分辨率MODISNDVI数据、FPAR和气候数据等采用GLO-PEM模型计算净初级成生产力(NPP)。根据多源遥感影像的空间异质性和时间演变规律，研究不同影像之间的空间/时间尺度效应，应用降尺度方法和影像融合技术，寻找植被指数与NPP的相关关系，建立时空尺度转换模型的数学表达，实现多源遥感数据在不同时间、空间、光谱和角度的信息合，获取更高时间和空间分辨率的NPP等遥感监测数据。</w:t>
      </w:r>
    </w:p>
    <w:p>
      <w:pPr>
        <w:pStyle w:val="5"/>
        <w:spacing w:line="360" w:lineRule="auto"/>
        <w:jc w:val="center"/>
      </w:pPr>
      <w:r>
        <w:object>
          <v:shape id="_x0000_i1032" o:spt="75" type="#_x0000_t75" style="height:180.6pt;width:199.35pt;" o:ole="t" filled="f" o:preferrelative="t" stroked="f" coordsize="21600,21600">
            <v:path/>
            <v:fill on="f" focussize="0,0"/>
            <v:stroke on="f" joinstyle="miter"/>
            <v:imagedata r:id="rId31" o:title=""/>
            <o:lock v:ext="edit" aspectratio="t"/>
            <w10:wrap type="none"/>
            <w10:anchorlock/>
          </v:shape>
          <o:OLEObject Type="Embed" ProgID="Visio.Drawing.11" ShapeID="_x0000_i1032" DrawAspect="Content" ObjectID="_1468075732" r:id="rId30">
            <o:LockedField>false</o:LockedField>
          </o:OLEObject>
        </w:object>
      </w:r>
    </w:p>
    <w:p>
      <w:pPr>
        <w:pStyle w:val="5"/>
        <w:numPr>
          <w:ilvl w:val="0"/>
          <w:numId w:val="2"/>
        </w:numPr>
        <w:autoSpaceDE w:val="0"/>
        <w:autoSpaceDN w:val="0"/>
        <w:spacing w:after="0" w:line="360" w:lineRule="auto"/>
        <w:ind w:left="0" w:firstLine="0"/>
        <w:jc w:val="center"/>
      </w:pPr>
      <w:r>
        <w:t>GLO-PEM模型</w:t>
      </w:r>
      <w:r>
        <w:rPr>
          <w:color w:val="000000" w:themeColor="text1"/>
          <w14:textFill>
            <w14:solidFill>
              <w14:schemeClr w14:val="tx1"/>
            </w14:solidFill>
          </w14:textFill>
        </w:rPr>
        <w:t>净初级成生产力技术路线图</w:t>
      </w:r>
    </w:p>
    <w:p>
      <w:pPr>
        <w:pStyle w:val="11"/>
      </w:pPr>
      <w:r>
        <w:t>GLO-PEM模型根据植被吸收和利用光合有效辐射的原理，利用遥感反演出影响APAR利用效率的APAR和环境变量。</w:t>
      </w:r>
    </w:p>
    <w:p>
      <w:pPr>
        <w:pStyle w:val="4"/>
      </w:pPr>
      <w:bookmarkStart w:id="11" w:name="_Toc72705936"/>
      <w:r>
        <w:rPr>
          <w:rFonts w:hint="eastAsia"/>
          <w:lang w:eastAsia="zh-CN"/>
        </w:rPr>
        <w:t>1.1</w:t>
      </w:r>
      <w:r>
        <w:t>.3.3草畜配置与调度系统</w:t>
      </w:r>
      <w:bookmarkEnd w:id="11"/>
    </w:p>
    <w:p>
      <w:pPr>
        <w:pStyle w:val="11"/>
      </w:pPr>
      <w:r>
        <w:t>草畜配置与调度系统是草地资源与畜牧业基础数据库系统、草情实时监测与诊断系统、家畜管理信息系统的“出口”，是精准畜牧业的中枢。整个系统的输出的中高分辨率的NPP、NDVI等草情遥感监测数据、牧草长势、产草量、牧草质量、载畜量、家畜繁育管理等数据输入到草畜配置与调度系统，系统依托专家知识库和相关模型，判断基本管理单元的草地载畜压力等情况，及时有效地设计出合理的草原“三牧”及家畜育肥模式。信息分发模块通过网络、智能终端设备把这些信息传送到管理部门和牧民，对家畜的育肥、放牧等活动实现时空上的科学、精准指导。在三江源区的东西部地区、季节牧场、人工和天然牧场之间实现草畜资源时空上的有效配置和调度。</w:t>
      </w:r>
    </w:p>
    <w:p>
      <w:pPr>
        <w:pStyle w:val="11"/>
      </w:pPr>
      <w:bookmarkStart w:id="12" w:name="_Toc72705937"/>
      <w:r>
        <w:t>（1）生物量评估</w:t>
      </w:r>
      <w:bookmarkEnd w:id="12"/>
    </w:p>
    <w:p>
      <w:pPr>
        <w:pStyle w:val="11"/>
      </w:pPr>
      <w:r>
        <w:rPr>
          <w:snapToGrid w:val="0"/>
        </w:rPr>
        <w:t>本功能用于对青海草原植被生物量进行评估，通过分析植被指数与草原植被量的相关关系，建立最适合青海草原植被量的遥感监测系统，最终利用草原地上生物量预估值，得出植被生物量专题图，将生物量的预估值直观显示。生物量是指某一时间单位面积或体积栖息地内所含一个或一个以上</w:t>
      </w:r>
      <w:r>
        <w:fldChar w:fldCharType="begin"/>
      </w:r>
      <w:r>
        <w:instrText xml:space="preserve"> HYPERLINK "https://baike.baidu.com/item/%E7%94%9F%E7%89%A9%E7%A7%8D" \t "_blank" </w:instrText>
      </w:r>
      <w:r>
        <w:fldChar w:fldCharType="separate"/>
      </w:r>
      <w:r>
        <w:rPr>
          <w:snapToGrid w:val="0"/>
        </w:rPr>
        <w:t>生物种</w:t>
      </w:r>
      <w:r>
        <w:rPr>
          <w:snapToGrid w:val="0"/>
        </w:rPr>
        <w:fldChar w:fldCharType="end"/>
      </w:r>
      <w:r>
        <w:rPr>
          <w:snapToGrid w:val="0"/>
        </w:rPr>
        <w:t>，或所含一个</w:t>
      </w:r>
      <w:r>
        <w:fldChar w:fldCharType="begin"/>
      </w:r>
      <w:r>
        <w:instrText xml:space="preserve"> HYPERLINK "https://baike.baidu.com/item/%E7%94%9F%E7%89%A9%E7%BE%A4%E8%90%BD" \t "_blank" </w:instrText>
      </w:r>
      <w:r>
        <w:fldChar w:fldCharType="separate"/>
      </w:r>
      <w:r>
        <w:rPr>
          <w:snapToGrid w:val="0"/>
        </w:rPr>
        <w:t>生物群落</w:t>
      </w:r>
      <w:r>
        <w:rPr>
          <w:snapToGrid w:val="0"/>
        </w:rPr>
        <w:fldChar w:fldCharType="end"/>
      </w:r>
      <w:r>
        <w:rPr>
          <w:snapToGrid w:val="0"/>
        </w:rPr>
        <w:t>中所有生物种的总个数或总干重（包括生物体内所存食物的重量）。</w:t>
      </w:r>
    </w:p>
    <w:p>
      <w:pPr>
        <w:jc w:val="center"/>
      </w:pPr>
      <w:r>
        <w:drawing>
          <wp:inline distT="0" distB="0" distL="0" distR="0">
            <wp:extent cx="2576195" cy="2514600"/>
            <wp:effectExtent l="0" t="0" r="14605" b="0"/>
            <wp:docPr id="1069" name="图片 53"/>
            <wp:cNvGraphicFramePr/>
            <a:graphic xmlns:a="http://schemas.openxmlformats.org/drawingml/2006/main">
              <a:graphicData uri="http://schemas.openxmlformats.org/drawingml/2006/picture">
                <pic:pic xmlns:pic="http://schemas.openxmlformats.org/drawingml/2006/picture">
                  <pic:nvPicPr>
                    <pic:cNvPr id="1069" name="图片 53"/>
                    <pic:cNvPicPr/>
                  </pic:nvPicPr>
                  <pic:blipFill>
                    <a:blip r:embed="rId32" cstate="print"/>
                    <a:srcRect/>
                    <a:stretch>
                      <a:fillRect/>
                    </a:stretch>
                  </pic:blipFill>
                  <pic:spPr>
                    <a:xfrm>
                      <a:off x="0" y="0"/>
                      <a:ext cx="2580254" cy="2518252"/>
                    </a:xfrm>
                    <a:prstGeom prst="rect">
                      <a:avLst/>
                    </a:prstGeom>
                  </pic:spPr>
                </pic:pic>
              </a:graphicData>
            </a:graphic>
          </wp:inline>
        </w:drawing>
      </w:r>
    </w:p>
    <w:p>
      <w:pPr>
        <w:pStyle w:val="5"/>
        <w:numPr>
          <w:ilvl w:val="0"/>
          <w:numId w:val="2"/>
        </w:numPr>
        <w:autoSpaceDE w:val="0"/>
        <w:autoSpaceDN w:val="0"/>
        <w:spacing w:after="0" w:line="360" w:lineRule="auto"/>
        <w:ind w:left="0" w:firstLine="0"/>
        <w:jc w:val="center"/>
      </w:pPr>
      <w:r>
        <w:t>生物量预估系统工作流程图</w:t>
      </w:r>
    </w:p>
    <w:p>
      <w:pPr>
        <w:pStyle w:val="11"/>
        <w:rPr>
          <w:snapToGrid w:val="0"/>
        </w:rPr>
      </w:pPr>
      <w:r>
        <w:rPr>
          <w:rFonts w:hint="eastAsia" w:ascii="宋体" w:hAnsi="宋体" w:eastAsia="宋体" w:cs="宋体"/>
          <w:snapToGrid w:val="0"/>
        </w:rPr>
        <w:t>①</w:t>
      </w:r>
      <w:r>
        <w:rPr>
          <w:snapToGrid w:val="0"/>
        </w:rPr>
        <w:t>原始高分遥感影像：本系统建议选择多光谱数据</w:t>
      </w:r>
    </w:p>
    <w:p>
      <w:pPr>
        <w:pStyle w:val="11"/>
        <w:rPr>
          <w:snapToGrid w:val="0"/>
        </w:rPr>
      </w:pPr>
      <w:r>
        <w:rPr>
          <w:rFonts w:hint="eastAsia" w:ascii="宋体" w:hAnsi="宋体" w:eastAsia="宋体" w:cs="宋体"/>
          <w:snapToGrid w:val="0"/>
        </w:rPr>
        <w:t>②</w:t>
      </w:r>
      <w:r>
        <w:rPr>
          <w:snapToGrid w:val="0"/>
        </w:rPr>
        <w:t>实地调查：获取实测数据</w:t>
      </w:r>
    </w:p>
    <w:p>
      <w:pPr>
        <w:jc w:val="center"/>
      </w:pPr>
      <w:r>
        <w:drawing>
          <wp:inline distT="0" distB="0" distL="0" distR="0">
            <wp:extent cx="1905000" cy="828675"/>
            <wp:effectExtent l="0" t="0" r="0" b="9525"/>
            <wp:docPr id="1070" name="图片 52"/>
            <wp:cNvGraphicFramePr/>
            <a:graphic xmlns:a="http://schemas.openxmlformats.org/drawingml/2006/main">
              <a:graphicData uri="http://schemas.openxmlformats.org/drawingml/2006/picture">
                <pic:pic xmlns:pic="http://schemas.openxmlformats.org/drawingml/2006/picture">
                  <pic:nvPicPr>
                    <pic:cNvPr id="1070" name="图片 52"/>
                    <pic:cNvPicPr/>
                  </pic:nvPicPr>
                  <pic:blipFill>
                    <a:blip r:embed="rId33" cstate="print"/>
                    <a:srcRect/>
                    <a:stretch>
                      <a:fillRect/>
                    </a:stretch>
                  </pic:blipFill>
                  <pic:spPr>
                    <a:xfrm>
                      <a:off x="0" y="0"/>
                      <a:ext cx="1923646" cy="836786"/>
                    </a:xfrm>
                    <a:prstGeom prst="rect">
                      <a:avLst/>
                    </a:prstGeom>
                  </pic:spPr>
                </pic:pic>
              </a:graphicData>
            </a:graphic>
          </wp:inline>
        </w:drawing>
      </w:r>
    </w:p>
    <w:p>
      <w:pPr>
        <w:pStyle w:val="5"/>
        <w:numPr>
          <w:ilvl w:val="0"/>
          <w:numId w:val="2"/>
        </w:numPr>
        <w:autoSpaceDE w:val="0"/>
        <w:autoSpaceDN w:val="0"/>
        <w:spacing w:after="0" w:line="360" w:lineRule="auto"/>
        <w:ind w:left="0" w:firstLine="0"/>
        <w:jc w:val="center"/>
      </w:pPr>
      <w:r>
        <w:t>生物量预估功能输入接口图</w:t>
      </w:r>
    </w:p>
    <w:p>
      <w:pPr>
        <w:pStyle w:val="5"/>
        <w:numPr>
          <w:ilvl w:val="0"/>
          <w:numId w:val="3"/>
        </w:numPr>
        <w:autoSpaceDE w:val="0"/>
        <w:autoSpaceDN w:val="0"/>
        <w:spacing w:after="0" w:line="360" w:lineRule="auto"/>
        <w:jc w:val="center"/>
      </w:pPr>
      <w:r>
        <w:t>生物量预估功能输入接口表</w:t>
      </w:r>
    </w:p>
    <w:tbl>
      <w:tblPr>
        <w:tblStyle w:val="6"/>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40" w:type="dxa"/>
          <w:bottom w:w="0" w:type="dxa"/>
          <w:right w:w="40" w:type="dxa"/>
        </w:tblCellMar>
      </w:tblPr>
      <w:tblGrid>
        <w:gridCol w:w="2765"/>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40" w:type="dxa"/>
            <w:bottom w:w="0" w:type="dxa"/>
            <w:right w:w="40" w:type="dxa"/>
          </w:tblCellMar>
        </w:tblPrEx>
        <w:trPr>
          <w:cantSplit/>
          <w:trHeight w:val="40" w:hRule="atLeast"/>
          <w:tblHeader/>
          <w:jc w:val="center"/>
        </w:trPr>
        <w:tc>
          <w:tcPr>
            <w:tcW w:w="2765" w:type="dxa"/>
            <w:shd w:val="clear" w:color="auto" w:fill="auto"/>
            <w:vAlign w:val="center"/>
          </w:tcPr>
          <w:p>
            <w:pPr>
              <w:pStyle w:val="5"/>
              <w:spacing w:after="0"/>
              <w:jc w:val="center"/>
              <w:rPr>
                <w:rFonts w:eastAsia="仿宋_GB2312"/>
                <w:b/>
                <w:snapToGrid w:val="0"/>
              </w:rPr>
            </w:pPr>
            <w:bookmarkStart w:id="13" w:name="_Hlk51248097"/>
            <w:r>
              <w:rPr>
                <w:rFonts w:eastAsia="仿宋_GB2312"/>
                <w:b/>
                <w:snapToGrid w:val="0"/>
              </w:rPr>
              <w:t>接口关系</w:t>
            </w:r>
          </w:p>
        </w:tc>
        <w:tc>
          <w:tcPr>
            <w:tcW w:w="2765" w:type="dxa"/>
            <w:vAlign w:val="center"/>
          </w:tcPr>
          <w:p>
            <w:pPr>
              <w:pStyle w:val="5"/>
              <w:spacing w:after="0"/>
              <w:jc w:val="center"/>
              <w:rPr>
                <w:rFonts w:eastAsia="仿宋_GB2312"/>
                <w:b/>
                <w:snapToGrid w:val="0"/>
              </w:rPr>
            </w:pPr>
            <w:r>
              <w:rPr>
                <w:rFonts w:eastAsia="仿宋_GB2312"/>
                <w:b/>
                <w:snapToGrid w:val="0"/>
              </w:rPr>
              <w:t>信息类别</w:t>
            </w:r>
          </w:p>
        </w:tc>
        <w:tc>
          <w:tcPr>
            <w:tcW w:w="2766" w:type="dxa"/>
            <w:shd w:val="clear" w:color="auto" w:fill="auto"/>
            <w:vAlign w:val="center"/>
          </w:tcPr>
          <w:p>
            <w:pPr>
              <w:pStyle w:val="5"/>
              <w:spacing w:after="0"/>
              <w:jc w:val="center"/>
              <w:rPr>
                <w:rFonts w:eastAsia="仿宋_GB2312"/>
                <w:b/>
                <w:snapToGrid w:val="0"/>
              </w:rPr>
            </w:pPr>
            <w:r>
              <w:rPr>
                <w:rFonts w:eastAsia="仿宋_GB2312"/>
                <w:b/>
                <w:snapToGrid w:val="0"/>
              </w:rPr>
              <w:t>接口内容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40" w:type="dxa"/>
            <w:bottom w:w="0" w:type="dxa"/>
            <w:right w:w="40" w:type="dxa"/>
          </w:tblCellMar>
        </w:tblPrEx>
        <w:trPr>
          <w:cantSplit/>
          <w:trHeight w:val="222" w:hRule="atLeast"/>
          <w:jc w:val="center"/>
        </w:trPr>
        <w:tc>
          <w:tcPr>
            <w:tcW w:w="2765" w:type="dxa"/>
            <w:shd w:val="clear" w:color="auto" w:fill="auto"/>
            <w:vAlign w:val="center"/>
          </w:tcPr>
          <w:p>
            <w:pPr>
              <w:pStyle w:val="5"/>
              <w:spacing w:after="0"/>
              <w:jc w:val="center"/>
              <w:rPr>
                <w:rFonts w:eastAsia="仿宋_GB2312"/>
                <w:bCs/>
                <w:snapToGrid w:val="0"/>
              </w:rPr>
            </w:pPr>
            <w:r>
              <w:rPr>
                <w:rFonts w:eastAsia="仿宋_GB2312"/>
                <w:bCs/>
                <w:snapToGrid w:val="0"/>
              </w:rPr>
              <w:t>IT01</w:t>
            </w:r>
          </w:p>
        </w:tc>
        <w:tc>
          <w:tcPr>
            <w:tcW w:w="2765" w:type="dxa"/>
            <w:vAlign w:val="center"/>
          </w:tcPr>
          <w:p>
            <w:pPr>
              <w:pStyle w:val="5"/>
              <w:spacing w:after="0"/>
              <w:jc w:val="center"/>
              <w:rPr>
                <w:rFonts w:eastAsia="仿宋_GB2312"/>
                <w:bCs/>
                <w:snapToGrid w:val="0"/>
              </w:rPr>
            </w:pPr>
            <w:r>
              <w:rPr>
                <w:rFonts w:eastAsia="仿宋_GB2312"/>
                <w:bCs/>
                <w:snapToGrid w:val="0"/>
              </w:rPr>
              <w:t>数据流</w:t>
            </w:r>
          </w:p>
        </w:tc>
        <w:tc>
          <w:tcPr>
            <w:tcW w:w="2766" w:type="dxa"/>
            <w:shd w:val="clear" w:color="auto" w:fill="auto"/>
            <w:vAlign w:val="center"/>
          </w:tcPr>
          <w:p>
            <w:pPr>
              <w:pStyle w:val="5"/>
              <w:spacing w:after="0"/>
              <w:jc w:val="center"/>
              <w:rPr>
                <w:rFonts w:eastAsia="仿宋_GB2312"/>
                <w:bCs/>
                <w:snapToGrid w:val="0"/>
              </w:rPr>
            </w:pPr>
            <w:r>
              <w:rPr>
                <w:rFonts w:eastAsia="仿宋_GB2312"/>
                <w:bCs/>
                <w:snapToGrid w:val="0"/>
              </w:rPr>
              <w:t>遥感影像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40" w:type="dxa"/>
            <w:bottom w:w="0" w:type="dxa"/>
            <w:right w:w="40" w:type="dxa"/>
          </w:tblCellMar>
        </w:tblPrEx>
        <w:trPr>
          <w:cantSplit/>
          <w:trHeight w:val="311" w:hRule="atLeast"/>
          <w:jc w:val="center"/>
        </w:trPr>
        <w:tc>
          <w:tcPr>
            <w:tcW w:w="2765" w:type="dxa"/>
            <w:shd w:val="clear" w:color="auto" w:fill="auto"/>
            <w:vAlign w:val="center"/>
          </w:tcPr>
          <w:p>
            <w:pPr>
              <w:pStyle w:val="5"/>
              <w:spacing w:after="0"/>
              <w:jc w:val="center"/>
              <w:rPr>
                <w:rFonts w:eastAsia="仿宋_GB2312"/>
                <w:bCs/>
                <w:snapToGrid w:val="0"/>
              </w:rPr>
            </w:pPr>
            <w:r>
              <w:rPr>
                <w:rFonts w:eastAsia="仿宋_GB2312"/>
                <w:bCs/>
                <w:snapToGrid w:val="0"/>
              </w:rPr>
              <w:t>IT16</w:t>
            </w:r>
          </w:p>
        </w:tc>
        <w:tc>
          <w:tcPr>
            <w:tcW w:w="2765" w:type="dxa"/>
            <w:vAlign w:val="center"/>
          </w:tcPr>
          <w:p>
            <w:pPr>
              <w:pStyle w:val="5"/>
              <w:spacing w:after="0"/>
              <w:jc w:val="center"/>
              <w:rPr>
                <w:rFonts w:eastAsia="仿宋_GB2312"/>
                <w:bCs/>
                <w:snapToGrid w:val="0"/>
              </w:rPr>
            </w:pPr>
            <w:r>
              <w:rPr>
                <w:rFonts w:eastAsia="仿宋_GB2312"/>
                <w:bCs/>
                <w:snapToGrid w:val="0"/>
              </w:rPr>
              <w:t>数据流</w:t>
            </w:r>
          </w:p>
        </w:tc>
        <w:tc>
          <w:tcPr>
            <w:tcW w:w="2766" w:type="dxa"/>
            <w:shd w:val="clear" w:color="auto" w:fill="auto"/>
            <w:vAlign w:val="center"/>
          </w:tcPr>
          <w:p>
            <w:pPr>
              <w:pStyle w:val="5"/>
              <w:spacing w:after="0"/>
              <w:jc w:val="center"/>
              <w:rPr>
                <w:rFonts w:eastAsia="仿宋_GB2312"/>
                <w:bCs/>
                <w:snapToGrid w:val="0"/>
              </w:rPr>
            </w:pPr>
            <w:r>
              <w:rPr>
                <w:rFonts w:eastAsia="仿宋_GB2312"/>
                <w:bCs/>
                <w:snapToGrid w:val="0"/>
              </w:rPr>
              <w:t>采样点GPS数据</w:t>
            </w:r>
          </w:p>
        </w:tc>
      </w:tr>
      <w:bookmarkEnd w:id="13"/>
    </w:tbl>
    <w:p>
      <w:pPr>
        <w:jc w:val="center"/>
      </w:pPr>
      <w:r>
        <w:drawing>
          <wp:inline distT="0" distB="0" distL="0" distR="0">
            <wp:extent cx="3095625" cy="918845"/>
            <wp:effectExtent l="0" t="0" r="9525" b="14605"/>
            <wp:docPr id="1071" name="图片 54"/>
            <wp:cNvGraphicFramePr/>
            <a:graphic xmlns:a="http://schemas.openxmlformats.org/drawingml/2006/main">
              <a:graphicData uri="http://schemas.openxmlformats.org/drawingml/2006/picture">
                <pic:pic xmlns:pic="http://schemas.openxmlformats.org/drawingml/2006/picture">
                  <pic:nvPicPr>
                    <pic:cNvPr id="1071" name="图片 54"/>
                    <pic:cNvPicPr/>
                  </pic:nvPicPr>
                  <pic:blipFill>
                    <a:blip r:embed="rId34" cstate="print"/>
                    <a:srcRect/>
                    <a:stretch>
                      <a:fillRect/>
                    </a:stretch>
                  </pic:blipFill>
                  <pic:spPr>
                    <a:xfrm>
                      <a:off x="0" y="0"/>
                      <a:ext cx="3115206" cy="924977"/>
                    </a:xfrm>
                    <a:prstGeom prst="rect">
                      <a:avLst/>
                    </a:prstGeom>
                  </pic:spPr>
                </pic:pic>
              </a:graphicData>
            </a:graphic>
          </wp:inline>
        </w:drawing>
      </w:r>
    </w:p>
    <w:p>
      <w:pPr>
        <w:pStyle w:val="5"/>
        <w:numPr>
          <w:ilvl w:val="0"/>
          <w:numId w:val="2"/>
        </w:numPr>
        <w:autoSpaceDE w:val="0"/>
        <w:autoSpaceDN w:val="0"/>
        <w:spacing w:after="0" w:line="360" w:lineRule="auto"/>
        <w:ind w:left="0" w:firstLine="0"/>
        <w:jc w:val="center"/>
      </w:pPr>
      <w:r>
        <w:t>生物量预估功能输出接口图</w:t>
      </w:r>
    </w:p>
    <w:p>
      <w:pPr>
        <w:pStyle w:val="5"/>
        <w:numPr>
          <w:ilvl w:val="0"/>
          <w:numId w:val="3"/>
        </w:numPr>
        <w:autoSpaceDE w:val="0"/>
        <w:autoSpaceDN w:val="0"/>
        <w:spacing w:after="0" w:line="360" w:lineRule="auto"/>
        <w:jc w:val="center"/>
      </w:pPr>
      <w:r>
        <w:t>生物量预估功能输出接口表</w:t>
      </w:r>
    </w:p>
    <w:tbl>
      <w:tblPr>
        <w:tblStyle w:val="6"/>
        <w:tblW w:w="4057"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40" w:type="dxa"/>
          <w:bottom w:w="0" w:type="dxa"/>
          <w:right w:w="40" w:type="dxa"/>
        </w:tblCellMar>
      </w:tblPr>
      <w:tblGrid>
        <w:gridCol w:w="1425"/>
        <w:gridCol w:w="1426"/>
        <w:gridCol w:w="39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113" w:hRule="atLeast"/>
          <w:tblHeader/>
          <w:jc w:val="center"/>
        </w:trPr>
        <w:tc>
          <w:tcPr>
            <w:tcW w:w="1047" w:type="pct"/>
            <w:shd w:val="clear" w:color="auto" w:fill="auto"/>
            <w:vAlign w:val="center"/>
          </w:tcPr>
          <w:p>
            <w:pPr>
              <w:pStyle w:val="5"/>
              <w:spacing w:after="0"/>
              <w:jc w:val="center"/>
              <w:rPr>
                <w:rFonts w:eastAsia="仿宋_GB2312"/>
                <w:b/>
                <w:snapToGrid w:val="0"/>
              </w:rPr>
            </w:pPr>
            <w:bookmarkStart w:id="14" w:name="_Hlk51253163"/>
            <w:r>
              <w:rPr>
                <w:rFonts w:eastAsia="仿宋_GB2312"/>
                <w:b/>
                <w:snapToGrid w:val="0"/>
              </w:rPr>
              <w:t>接口关系</w:t>
            </w:r>
          </w:p>
        </w:tc>
        <w:tc>
          <w:tcPr>
            <w:tcW w:w="1048" w:type="pct"/>
          </w:tcPr>
          <w:p>
            <w:pPr>
              <w:pStyle w:val="5"/>
              <w:spacing w:after="0"/>
              <w:jc w:val="center"/>
              <w:rPr>
                <w:rFonts w:eastAsia="仿宋_GB2312"/>
                <w:b/>
                <w:snapToGrid w:val="0"/>
              </w:rPr>
            </w:pPr>
            <w:r>
              <w:rPr>
                <w:rFonts w:eastAsia="仿宋_GB2312"/>
                <w:b/>
                <w:snapToGrid w:val="0"/>
              </w:rPr>
              <w:t>信息类别</w:t>
            </w:r>
          </w:p>
        </w:tc>
        <w:tc>
          <w:tcPr>
            <w:tcW w:w="2906" w:type="pct"/>
            <w:shd w:val="clear" w:color="auto" w:fill="auto"/>
            <w:vAlign w:val="center"/>
          </w:tcPr>
          <w:p>
            <w:pPr>
              <w:pStyle w:val="5"/>
              <w:spacing w:after="0"/>
              <w:jc w:val="center"/>
              <w:rPr>
                <w:rFonts w:eastAsia="仿宋_GB2312"/>
                <w:b/>
                <w:snapToGrid w:val="0"/>
              </w:rPr>
            </w:pPr>
            <w:r>
              <w:rPr>
                <w:rFonts w:eastAsia="仿宋_GB2312"/>
                <w:b/>
                <w:snapToGrid w:val="0"/>
              </w:rPr>
              <w:t>接口内容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40" w:type="dxa"/>
            <w:bottom w:w="0" w:type="dxa"/>
            <w:right w:w="40" w:type="dxa"/>
          </w:tblCellMar>
        </w:tblPrEx>
        <w:trPr>
          <w:cantSplit/>
          <w:trHeight w:val="113" w:hRule="atLeast"/>
          <w:jc w:val="center"/>
        </w:trPr>
        <w:tc>
          <w:tcPr>
            <w:tcW w:w="1047" w:type="pct"/>
            <w:shd w:val="clear" w:color="auto" w:fill="auto"/>
            <w:vAlign w:val="center"/>
          </w:tcPr>
          <w:p>
            <w:pPr>
              <w:pStyle w:val="5"/>
              <w:spacing w:after="0"/>
              <w:jc w:val="center"/>
              <w:rPr>
                <w:rFonts w:eastAsia="仿宋_GB2312"/>
                <w:bCs/>
                <w:snapToGrid w:val="0"/>
              </w:rPr>
            </w:pPr>
            <w:r>
              <w:rPr>
                <w:rFonts w:eastAsia="仿宋_GB2312"/>
                <w:bCs/>
                <w:snapToGrid w:val="0"/>
              </w:rPr>
              <w:t>IT013</w:t>
            </w:r>
          </w:p>
        </w:tc>
        <w:tc>
          <w:tcPr>
            <w:tcW w:w="1048" w:type="pct"/>
          </w:tcPr>
          <w:p>
            <w:pPr>
              <w:pStyle w:val="5"/>
              <w:spacing w:after="0"/>
              <w:jc w:val="center"/>
              <w:rPr>
                <w:rFonts w:eastAsia="仿宋_GB2312"/>
                <w:bCs/>
                <w:snapToGrid w:val="0"/>
              </w:rPr>
            </w:pPr>
            <w:r>
              <w:rPr>
                <w:rFonts w:eastAsia="仿宋_GB2312"/>
                <w:bCs/>
                <w:snapToGrid w:val="0"/>
              </w:rPr>
              <w:t>数据流</w:t>
            </w:r>
          </w:p>
        </w:tc>
        <w:tc>
          <w:tcPr>
            <w:tcW w:w="2906" w:type="pct"/>
            <w:shd w:val="clear" w:color="auto" w:fill="auto"/>
            <w:vAlign w:val="center"/>
          </w:tcPr>
          <w:p>
            <w:pPr>
              <w:pStyle w:val="5"/>
              <w:spacing w:after="0"/>
              <w:jc w:val="center"/>
              <w:rPr>
                <w:rFonts w:eastAsia="仿宋_GB2312"/>
                <w:bCs/>
                <w:snapToGrid w:val="0"/>
              </w:rPr>
            </w:pPr>
            <w:r>
              <w:rPr>
                <w:rFonts w:eastAsia="仿宋_GB2312"/>
                <w:bCs/>
                <w:snapToGrid w:val="0"/>
              </w:rPr>
              <w:t>植被指数值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40" w:type="dxa"/>
            <w:bottom w:w="0" w:type="dxa"/>
            <w:right w:w="40" w:type="dxa"/>
          </w:tblCellMar>
        </w:tblPrEx>
        <w:trPr>
          <w:cantSplit/>
          <w:trHeight w:val="113" w:hRule="atLeast"/>
          <w:jc w:val="center"/>
        </w:trPr>
        <w:tc>
          <w:tcPr>
            <w:tcW w:w="1047" w:type="pct"/>
            <w:shd w:val="clear" w:color="auto" w:fill="auto"/>
            <w:vAlign w:val="center"/>
          </w:tcPr>
          <w:p>
            <w:pPr>
              <w:pStyle w:val="5"/>
              <w:spacing w:after="0"/>
              <w:jc w:val="center"/>
              <w:rPr>
                <w:rFonts w:eastAsia="仿宋_GB2312"/>
                <w:bCs/>
                <w:snapToGrid w:val="0"/>
              </w:rPr>
            </w:pPr>
            <w:r>
              <w:rPr>
                <w:rFonts w:eastAsia="仿宋_GB2312"/>
                <w:bCs/>
                <w:snapToGrid w:val="0"/>
              </w:rPr>
              <w:t>IT014</w:t>
            </w:r>
          </w:p>
        </w:tc>
        <w:tc>
          <w:tcPr>
            <w:tcW w:w="1048" w:type="pct"/>
          </w:tcPr>
          <w:p>
            <w:pPr>
              <w:pStyle w:val="5"/>
              <w:spacing w:after="0"/>
              <w:jc w:val="center"/>
              <w:rPr>
                <w:rFonts w:eastAsia="仿宋_GB2312"/>
                <w:bCs/>
                <w:snapToGrid w:val="0"/>
              </w:rPr>
            </w:pPr>
            <w:r>
              <w:rPr>
                <w:rFonts w:eastAsia="仿宋_GB2312"/>
                <w:bCs/>
                <w:snapToGrid w:val="0"/>
              </w:rPr>
              <w:t>数据流</w:t>
            </w:r>
          </w:p>
        </w:tc>
        <w:tc>
          <w:tcPr>
            <w:tcW w:w="2906" w:type="pct"/>
            <w:shd w:val="clear" w:color="auto" w:fill="auto"/>
            <w:vAlign w:val="center"/>
          </w:tcPr>
          <w:p>
            <w:pPr>
              <w:pStyle w:val="5"/>
              <w:spacing w:after="0"/>
              <w:jc w:val="center"/>
              <w:rPr>
                <w:rFonts w:eastAsia="仿宋_GB2312"/>
                <w:bCs/>
                <w:snapToGrid w:val="0"/>
              </w:rPr>
            </w:pPr>
            <w:r>
              <w:rPr>
                <w:rFonts w:eastAsia="仿宋_GB2312"/>
                <w:bCs/>
                <w:snapToGrid w:val="0"/>
              </w:rPr>
              <w:t>植被指数和实测生物量的回归功能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40" w:type="dxa"/>
            <w:bottom w:w="0" w:type="dxa"/>
            <w:right w:w="40" w:type="dxa"/>
          </w:tblCellMar>
        </w:tblPrEx>
        <w:trPr>
          <w:cantSplit/>
          <w:trHeight w:val="113" w:hRule="atLeast"/>
          <w:jc w:val="center"/>
        </w:trPr>
        <w:tc>
          <w:tcPr>
            <w:tcW w:w="1047" w:type="pct"/>
            <w:shd w:val="clear" w:color="auto" w:fill="auto"/>
            <w:vAlign w:val="center"/>
          </w:tcPr>
          <w:p>
            <w:pPr>
              <w:pStyle w:val="5"/>
              <w:spacing w:after="0"/>
              <w:jc w:val="center"/>
              <w:rPr>
                <w:rFonts w:eastAsia="仿宋_GB2312"/>
                <w:bCs/>
                <w:snapToGrid w:val="0"/>
              </w:rPr>
            </w:pPr>
            <w:r>
              <w:rPr>
                <w:rFonts w:eastAsia="仿宋_GB2312"/>
                <w:bCs/>
                <w:snapToGrid w:val="0"/>
              </w:rPr>
              <w:t>IT015</w:t>
            </w:r>
          </w:p>
        </w:tc>
        <w:tc>
          <w:tcPr>
            <w:tcW w:w="1048" w:type="pct"/>
          </w:tcPr>
          <w:p>
            <w:pPr>
              <w:pStyle w:val="5"/>
              <w:spacing w:after="0"/>
              <w:jc w:val="center"/>
              <w:rPr>
                <w:rFonts w:eastAsia="仿宋_GB2312"/>
                <w:bCs/>
                <w:snapToGrid w:val="0"/>
              </w:rPr>
            </w:pPr>
            <w:r>
              <w:rPr>
                <w:rFonts w:eastAsia="仿宋_GB2312"/>
                <w:bCs/>
                <w:snapToGrid w:val="0"/>
              </w:rPr>
              <w:t>数据流</w:t>
            </w:r>
          </w:p>
        </w:tc>
        <w:tc>
          <w:tcPr>
            <w:tcW w:w="2906" w:type="pct"/>
            <w:shd w:val="clear" w:color="auto" w:fill="auto"/>
            <w:vAlign w:val="center"/>
          </w:tcPr>
          <w:p>
            <w:pPr>
              <w:pStyle w:val="5"/>
              <w:spacing w:after="0"/>
              <w:jc w:val="center"/>
              <w:rPr>
                <w:rFonts w:eastAsia="仿宋_GB2312"/>
                <w:bCs/>
                <w:snapToGrid w:val="0"/>
              </w:rPr>
            </w:pPr>
            <w:r>
              <w:rPr>
                <w:rFonts w:eastAsia="仿宋_GB2312"/>
                <w:bCs/>
                <w:snapToGrid w:val="0"/>
              </w:rPr>
              <w:t>植被生物量</w:t>
            </w:r>
          </w:p>
        </w:tc>
      </w:tr>
      <w:bookmarkEnd w:id="14"/>
    </w:tbl>
    <w:p>
      <w:pPr>
        <w:jc w:val="center"/>
      </w:pPr>
      <w:r>
        <w:drawing>
          <wp:inline distT="0" distB="0" distL="0" distR="0">
            <wp:extent cx="3248025" cy="2543175"/>
            <wp:effectExtent l="0" t="0" r="9525" b="9525"/>
            <wp:docPr id="1268" name="图片 76"/>
            <wp:cNvGraphicFramePr/>
            <a:graphic xmlns:a="http://schemas.openxmlformats.org/drawingml/2006/main">
              <a:graphicData uri="http://schemas.openxmlformats.org/drawingml/2006/picture">
                <pic:pic xmlns:pic="http://schemas.openxmlformats.org/drawingml/2006/picture">
                  <pic:nvPicPr>
                    <pic:cNvPr id="1268" name="图片 76"/>
                    <pic:cNvPicPr/>
                  </pic:nvPicPr>
                  <pic:blipFill>
                    <a:blip r:embed="rId35" cstate="print"/>
                    <a:srcRect l="1264" r="1396" b="2739"/>
                    <a:stretch>
                      <a:fillRect/>
                    </a:stretch>
                  </pic:blipFill>
                  <pic:spPr>
                    <a:xfrm>
                      <a:off x="0" y="0"/>
                      <a:ext cx="3258880" cy="2551674"/>
                    </a:xfrm>
                    <a:prstGeom prst="rect">
                      <a:avLst/>
                    </a:prstGeom>
                    <a:ln>
                      <a:noFill/>
                    </a:ln>
                  </pic:spPr>
                </pic:pic>
              </a:graphicData>
            </a:graphic>
          </wp:inline>
        </w:drawing>
      </w:r>
    </w:p>
    <w:p>
      <w:pPr>
        <w:pStyle w:val="5"/>
        <w:numPr>
          <w:ilvl w:val="0"/>
          <w:numId w:val="2"/>
        </w:numPr>
        <w:autoSpaceDE w:val="0"/>
        <w:autoSpaceDN w:val="0"/>
        <w:spacing w:after="0" w:line="360" w:lineRule="auto"/>
        <w:jc w:val="center"/>
      </w:pPr>
      <w:r>
        <w:rPr>
          <w:color w:val="000000" w:themeColor="text1"/>
          <w14:textFill>
            <w14:solidFill>
              <w14:schemeClr w14:val="tx1"/>
            </w14:solidFill>
          </w14:textFill>
        </w:rPr>
        <w:t>生物量</w:t>
      </w:r>
      <w:r>
        <w:t>功能界面</w:t>
      </w:r>
    </w:p>
    <w:p>
      <w:pPr>
        <w:pStyle w:val="11"/>
      </w:pPr>
      <w:bookmarkStart w:id="15" w:name="_Toc72705938"/>
      <w:r>
        <w:t>（2）荒漠化评估</w:t>
      </w:r>
      <w:bookmarkEnd w:id="15"/>
    </w:p>
    <w:p>
      <w:pPr>
        <w:pStyle w:val="11"/>
        <w:rPr>
          <w:snapToGrid w:val="0"/>
        </w:rPr>
      </w:pPr>
      <w:r>
        <w:rPr>
          <w:snapToGrid w:val="0"/>
        </w:rPr>
        <w:t>本功能是根据荒漠化监测算法进行设计从而实现的，通过该功能能够业务化实现对牧区的荒漠化的监测分析，最终得到荒漠化等级分布图，根据结果确定荒漠化的发展趋势，并依据荒漠化发展趋势制定科学合理的防范荒漠化进一步扩张的政策，为减缓荒漠化的发展提供理论依据。</w:t>
      </w:r>
    </w:p>
    <w:p>
      <w:pPr>
        <w:jc w:val="center"/>
      </w:pPr>
      <w:r>
        <w:drawing>
          <wp:inline distT="0" distB="0" distL="0" distR="0">
            <wp:extent cx="838200" cy="4495800"/>
            <wp:effectExtent l="0" t="0" r="0" b="0"/>
            <wp:docPr id="1101" name="图片 44"/>
            <wp:cNvGraphicFramePr/>
            <a:graphic xmlns:a="http://schemas.openxmlformats.org/drawingml/2006/main">
              <a:graphicData uri="http://schemas.openxmlformats.org/drawingml/2006/picture">
                <pic:pic xmlns:pic="http://schemas.openxmlformats.org/drawingml/2006/picture">
                  <pic:nvPicPr>
                    <pic:cNvPr id="1101" name="图片 44"/>
                    <pic:cNvPicPr/>
                  </pic:nvPicPr>
                  <pic:blipFill>
                    <a:blip r:embed="rId36" cstate="print"/>
                    <a:srcRect/>
                    <a:stretch>
                      <a:fillRect/>
                    </a:stretch>
                  </pic:blipFill>
                  <pic:spPr>
                    <a:xfrm>
                      <a:off x="0" y="0"/>
                      <a:ext cx="841708" cy="4514616"/>
                    </a:xfrm>
                    <a:prstGeom prst="rect">
                      <a:avLst/>
                    </a:prstGeom>
                  </pic:spPr>
                </pic:pic>
              </a:graphicData>
            </a:graphic>
          </wp:inline>
        </w:drawing>
      </w:r>
    </w:p>
    <w:p>
      <w:pPr>
        <w:pStyle w:val="5"/>
        <w:numPr>
          <w:ilvl w:val="0"/>
          <w:numId w:val="2"/>
        </w:numPr>
        <w:autoSpaceDE w:val="0"/>
        <w:autoSpaceDN w:val="0"/>
        <w:spacing w:after="0" w:line="360" w:lineRule="auto"/>
        <w:ind w:left="0" w:firstLine="0"/>
        <w:jc w:val="center"/>
      </w:pPr>
      <w:r>
        <w:t>荒漠化评估功能工作流程图</w:t>
      </w:r>
    </w:p>
    <w:p>
      <w:pPr>
        <w:pStyle w:val="11"/>
        <w:rPr>
          <w:snapToGrid w:val="0"/>
        </w:rPr>
      </w:pPr>
      <w:r>
        <w:rPr>
          <w:rFonts w:hint="eastAsia" w:ascii="宋体" w:hAnsi="宋体" w:eastAsia="宋体" w:cs="宋体"/>
          <w:snapToGrid w:val="0"/>
        </w:rPr>
        <w:t>①</w:t>
      </w:r>
      <w:r>
        <w:rPr>
          <w:snapToGrid w:val="0"/>
        </w:rPr>
        <w:t>原始高分遥感影像：本系统建议选择多光谱数据</w:t>
      </w:r>
    </w:p>
    <w:p>
      <w:pPr>
        <w:pStyle w:val="11"/>
        <w:rPr>
          <w:snapToGrid w:val="0"/>
        </w:rPr>
      </w:pPr>
      <w:r>
        <w:rPr>
          <w:rFonts w:hint="eastAsia" w:ascii="宋体" w:hAnsi="宋体" w:eastAsia="宋体" w:cs="宋体"/>
          <w:snapToGrid w:val="0"/>
        </w:rPr>
        <w:t>②</w:t>
      </w:r>
      <w:r>
        <w:rPr>
          <w:snapToGrid w:val="0"/>
        </w:rPr>
        <w:t>数据预处理：对遥感影像进行辐射定标、辐射校正、大气校正、几何精校正处理。</w:t>
      </w:r>
    </w:p>
    <w:p>
      <w:pPr>
        <w:pStyle w:val="11"/>
        <w:rPr>
          <w:snapToGrid w:val="0"/>
        </w:rPr>
      </w:pPr>
      <w:r>
        <w:rPr>
          <w:rFonts w:hint="eastAsia" w:ascii="宋体" w:hAnsi="宋体" w:eastAsia="宋体" w:cs="宋体"/>
          <w:snapToGrid w:val="0"/>
        </w:rPr>
        <w:t>③</w:t>
      </w:r>
      <w:r>
        <w:rPr>
          <w:snapToGrid w:val="0"/>
        </w:rPr>
        <w:t>植被覆盖度反演系统：基于植被覆盖度反演算法得到，利用遥感影像的NDVI值来估算植被覆盖度。</w:t>
      </w:r>
    </w:p>
    <w:p>
      <w:pPr>
        <w:pStyle w:val="11"/>
        <w:rPr>
          <w:snapToGrid w:val="0"/>
        </w:rPr>
      </w:pPr>
      <w:r>
        <w:rPr>
          <w:rFonts w:hint="eastAsia" w:ascii="宋体" w:hAnsi="宋体" w:eastAsia="宋体" w:cs="宋体"/>
          <w:snapToGrid w:val="0"/>
        </w:rPr>
        <w:t>④</w:t>
      </w:r>
      <w:r>
        <w:rPr>
          <w:snapToGrid w:val="0"/>
        </w:rPr>
        <w:t>荒漠化评估系统：基于荒漠化评估算法得到，选择利用植被覆盖度作为荒漠化监测因子。</w:t>
      </w:r>
    </w:p>
    <w:p>
      <w:pPr>
        <w:jc w:val="center"/>
      </w:pPr>
      <w:r>
        <w:drawing>
          <wp:inline distT="0" distB="0" distL="0" distR="0">
            <wp:extent cx="2176145" cy="966470"/>
            <wp:effectExtent l="0" t="0" r="14605" b="5080"/>
            <wp:docPr id="1102" name="图片 48"/>
            <wp:cNvGraphicFramePr/>
            <a:graphic xmlns:a="http://schemas.openxmlformats.org/drawingml/2006/main">
              <a:graphicData uri="http://schemas.openxmlformats.org/drawingml/2006/picture">
                <pic:pic xmlns:pic="http://schemas.openxmlformats.org/drawingml/2006/picture">
                  <pic:nvPicPr>
                    <pic:cNvPr id="1102" name="图片 48"/>
                    <pic:cNvPicPr/>
                  </pic:nvPicPr>
                  <pic:blipFill>
                    <a:blip r:embed="rId37" cstate="print"/>
                    <a:srcRect/>
                    <a:stretch>
                      <a:fillRect/>
                    </a:stretch>
                  </pic:blipFill>
                  <pic:spPr>
                    <a:xfrm>
                      <a:off x="0" y="0"/>
                      <a:ext cx="2188254" cy="972025"/>
                    </a:xfrm>
                    <a:prstGeom prst="rect">
                      <a:avLst/>
                    </a:prstGeom>
                  </pic:spPr>
                </pic:pic>
              </a:graphicData>
            </a:graphic>
          </wp:inline>
        </w:drawing>
      </w:r>
    </w:p>
    <w:p>
      <w:pPr>
        <w:pStyle w:val="5"/>
        <w:numPr>
          <w:ilvl w:val="0"/>
          <w:numId w:val="2"/>
        </w:numPr>
        <w:autoSpaceDE w:val="0"/>
        <w:autoSpaceDN w:val="0"/>
        <w:spacing w:after="0" w:line="360" w:lineRule="auto"/>
        <w:ind w:left="0" w:firstLine="0"/>
        <w:jc w:val="center"/>
      </w:pPr>
      <w:r>
        <w:t>荒漠化评估功能输入接口图</w:t>
      </w:r>
    </w:p>
    <w:p>
      <w:pPr>
        <w:pStyle w:val="5"/>
        <w:numPr>
          <w:ilvl w:val="0"/>
          <w:numId w:val="3"/>
        </w:numPr>
        <w:autoSpaceDE w:val="0"/>
        <w:autoSpaceDN w:val="0"/>
        <w:spacing w:after="0" w:line="360" w:lineRule="auto"/>
        <w:jc w:val="center"/>
      </w:pPr>
      <w:r>
        <w:t>荒漠化评估功能输入接口表</w:t>
      </w:r>
    </w:p>
    <w:tbl>
      <w:tblPr>
        <w:tblStyle w:val="6"/>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40" w:type="dxa"/>
          <w:bottom w:w="0" w:type="dxa"/>
          <w:right w:w="40" w:type="dxa"/>
        </w:tblCellMar>
      </w:tblPr>
      <w:tblGrid>
        <w:gridCol w:w="3247"/>
        <w:gridCol w:w="2525"/>
        <w:gridCol w:w="25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40" w:type="dxa"/>
            <w:bottom w:w="0" w:type="dxa"/>
            <w:right w:w="40" w:type="dxa"/>
          </w:tblCellMar>
        </w:tblPrEx>
        <w:trPr>
          <w:cantSplit/>
          <w:trHeight w:val="113" w:hRule="atLeast"/>
          <w:tblHeader/>
          <w:jc w:val="center"/>
        </w:trPr>
        <w:tc>
          <w:tcPr>
            <w:tcW w:w="3247" w:type="dxa"/>
            <w:shd w:val="clear" w:color="auto" w:fill="auto"/>
            <w:vAlign w:val="center"/>
          </w:tcPr>
          <w:p>
            <w:pPr>
              <w:pStyle w:val="5"/>
              <w:spacing w:after="0"/>
              <w:jc w:val="center"/>
              <w:rPr>
                <w:rFonts w:eastAsia="仿宋_GB2312"/>
                <w:bCs/>
                <w:snapToGrid w:val="0"/>
              </w:rPr>
            </w:pPr>
            <w:r>
              <w:rPr>
                <w:rFonts w:eastAsia="仿宋_GB2312"/>
                <w:bCs/>
                <w:snapToGrid w:val="0"/>
              </w:rPr>
              <w:t>接口关系</w:t>
            </w:r>
          </w:p>
        </w:tc>
        <w:tc>
          <w:tcPr>
            <w:tcW w:w="2525" w:type="dxa"/>
          </w:tcPr>
          <w:p>
            <w:pPr>
              <w:pStyle w:val="5"/>
              <w:spacing w:after="0"/>
              <w:jc w:val="center"/>
              <w:rPr>
                <w:rFonts w:eastAsia="仿宋_GB2312"/>
                <w:bCs/>
                <w:snapToGrid w:val="0"/>
              </w:rPr>
            </w:pPr>
            <w:r>
              <w:rPr>
                <w:rFonts w:eastAsia="仿宋_GB2312"/>
                <w:bCs/>
                <w:snapToGrid w:val="0"/>
              </w:rPr>
              <w:t>信息类别</w:t>
            </w:r>
          </w:p>
        </w:tc>
        <w:tc>
          <w:tcPr>
            <w:tcW w:w="2524" w:type="dxa"/>
            <w:shd w:val="clear" w:color="auto" w:fill="auto"/>
            <w:vAlign w:val="center"/>
          </w:tcPr>
          <w:p>
            <w:pPr>
              <w:pStyle w:val="5"/>
              <w:spacing w:after="0"/>
              <w:jc w:val="center"/>
              <w:rPr>
                <w:rFonts w:eastAsia="仿宋_GB2312"/>
                <w:bCs/>
                <w:snapToGrid w:val="0"/>
              </w:rPr>
            </w:pPr>
            <w:r>
              <w:rPr>
                <w:rFonts w:eastAsia="仿宋_GB2312"/>
                <w:bCs/>
                <w:snapToGrid w:val="0"/>
              </w:rPr>
              <w:t>接口内容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40" w:type="dxa"/>
            <w:bottom w:w="0" w:type="dxa"/>
            <w:right w:w="40" w:type="dxa"/>
          </w:tblCellMar>
        </w:tblPrEx>
        <w:trPr>
          <w:cantSplit/>
          <w:trHeight w:val="113" w:hRule="atLeast"/>
          <w:jc w:val="center"/>
        </w:trPr>
        <w:tc>
          <w:tcPr>
            <w:tcW w:w="3247" w:type="dxa"/>
            <w:shd w:val="clear" w:color="auto" w:fill="auto"/>
            <w:vAlign w:val="center"/>
          </w:tcPr>
          <w:p>
            <w:pPr>
              <w:pStyle w:val="5"/>
              <w:spacing w:after="0"/>
              <w:jc w:val="center"/>
              <w:rPr>
                <w:rFonts w:eastAsia="仿宋_GB2312"/>
                <w:bCs/>
                <w:snapToGrid w:val="0"/>
              </w:rPr>
            </w:pPr>
            <w:r>
              <w:rPr>
                <w:rFonts w:eastAsia="仿宋_GB2312"/>
                <w:bCs/>
                <w:snapToGrid w:val="0"/>
              </w:rPr>
              <w:t>IT01</w:t>
            </w:r>
          </w:p>
        </w:tc>
        <w:tc>
          <w:tcPr>
            <w:tcW w:w="2525" w:type="dxa"/>
          </w:tcPr>
          <w:p>
            <w:pPr>
              <w:pStyle w:val="5"/>
              <w:spacing w:after="0"/>
              <w:jc w:val="center"/>
              <w:rPr>
                <w:rFonts w:eastAsia="仿宋_GB2312"/>
                <w:bCs/>
                <w:snapToGrid w:val="0"/>
              </w:rPr>
            </w:pPr>
            <w:r>
              <w:rPr>
                <w:rFonts w:eastAsia="仿宋_GB2312"/>
                <w:bCs/>
                <w:snapToGrid w:val="0"/>
              </w:rPr>
              <w:t>数据流</w:t>
            </w:r>
          </w:p>
        </w:tc>
        <w:tc>
          <w:tcPr>
            <w:tcW w:w="2524" w:type="dxa"/>
            <w:shd w:val="clear" w:color="auto" w:fill="auto"/>
            <w:vAlign w:val="center"/>
          </w:tcPr>
          <w:p>
            <w:pPr>
              <w:pStyle w:val="5"/>
              <w:spacing w:after="0"/>
              <w:jc w:val="center"/>
              <w:rPr>
                <w:rFonts w:eastAsia="仿宋_GB2312"/>
                <w:bCs/>
                <w:snapToGrid w:val="0"/>
              </w:rPr>
            </w:pPr>
            <w:r>
              <w:rPr>
                <w:rFonts w:eastAsia="仿宋_GB2312"/>
                <w:bCs/>
                <w:snapToGrid w:val="0"/>
              </w:rPr>
              <w:t>遥感影像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40" w:type="dxa"/>
            <w:bottom w:w="0" w:type="dxa"/>
            <w:right w:w="40" w:type="dxa"/>
          </w:tblCellMar>
        </w:tblPrEx>
        <w:trPr>
          <w:cantSplit/>
          <w:trHeight w:val="113" w:hRule="atLeast"/>
          <w:jc w:val="center"/>
        </w:trPr>
        <w:tc>
          <w:tcPr>
            <w:tcW w:w="3247" w:type="dxa"/>
            <w:shd w:val="clear" w:color="auto" w:fill="auto"/>
            <w:vAlign w:val="center"/>
          </w:tcPr>
          <w:p>
            <w:pPr>
              <w:pStyle w:val="5"/>
              <w:spacing w:after="0"/>
              <w:jc w:val="center"/>
              <w:rPr>
                <w:rFonts w:eastAsia="仿宋_GB2312"/>
                <w:bCs/>
                <w:snapToGrid w:val="0"/>
              </w:rPr>
            </w:pPr>
            <w:r>
              <w:rPr>
                <w:rFonts w:eastAsia="仿宋_GB2312"/>
                <w:bCs/>
                <w:snapToGrid w:val="0"/>
              </w:rPr>
              <w:t>IT11</w:t>
            </w:r>
          </w:p>
        </w:tc>
        <w:tc>
          <w:tcPr>
            <w:tcW w:w="2525" w:type="dxa"/>
          </w:tcPr>
          <w:p>
            <w:pPr>
              <w:pStyle w:val="5"/>
              <w:spacing w:after="0"/>
              <w:jc w:val="center"/>
              <w:rPr>
                <w:rFonts w:eastAsia="仿宋_GB2312"/>
                <w:bCs/>
                <w:snapToGrid w:val="0"/>
              </w:rPr>
            </w:pPr>
            <w:r>
              <w:rPr>
                <w:rFonts w:eastAsia="仿宋_GB2312"/>
                <w:bCs/>
                <w:snapToGrid w:val="0"/>
              </w:rPr>
              <w:t>数据流</w:t>
            </w:r>
          </w:p>
        </w:tc>
        <w:tc>
          <w:tcPr>
            <w:tcW w:w="2524" w:type="dxa"/>
            <w:shd w:val="clear" w:color="auto" w:fill="auto"/>
            <w:vAlign w:val="center"/>
          </w:tcPr>
          <w:p>
            <w:pPr>
              <w:pStyle w:val="5"/>
              <w:spacing w:after="0"/>
              <w:jc w:val="center"/>
              <w:rPr>
                <w:rFonts w:eastAsia="仿宋_GB2312"/>
                <w:bCs/>
                <w:snapToGrid w:val="0"/>
              </w:rPr>
            </w:pPr>
            <w:r>
              <w:rPr>
                <w:rFonts w:eastAsia="仿宋_GB2312"/>
                <w:bCs/>
                <w:snapToGrid w:val="0"/>
              </w:rPr>
              <w:t>植被覆盖度数据</w:t>
            </w:r>
          </w:p>
        </w:tc>
      </w:tr>
    </w:tbl>
    <w:p>
      <w:pPr>
        <w:jc w:val="center"/>
      </w:pPr>
      <w:r>
        <w:drawing>
          <wp:inline distT="0" distB="0" distL="0" distR="0">
            <wp:extent cx="728345" cy="975995"/>
            <wp:effectExtent l="0" t="0" r="14605" b="14605"/>
            <wp:docPr id="1103" name="图片 49"/>
            <wp:cNvGraphicFramePr/>
            <a:graphic xmlns:a="http://schemas.openxmlformats.org/drawingml/2006/main">
              <a:graphicData uri="http://schemas.openxmlformats.org/drawingml/2006/picture">
                <pic:pic xmlns:pic="http://schemas.openxmlformats.org/drawingml/2006/picture">
                  <pic:nvPicPr>
                    <pic:cNvPr id="1103" name="图片 49"/>
                    <pic:cNvPicPr/>
                  </pic:nvPicPr>
                  <pic:blipFill>
                    <a:blip r:embed="rId38" cstate="print"/>
                    <a:srcRect/>
                    <a:stretch>
                      <a:fillRect/>
                    </a:stretch>
                  </pic:blipFill>
                  <pic:spPr>
                    <a:xfrm>
                      <a:off x="0" y="0"/>
                      <a:ext cx="733832" cy="983238"/>
                    </a:xfrm>
                    <a:prstGeom prst="rect">
                      <a:avLst/>
                    </a:prstGeom>
                  </pic:spPr>
                </pic:pic>
              </a:graphicData>
            </a:graphic>
          </wp:inline>
        </w:drawing>
      </w:r>
    </w:p>
    <w:p>
      <w:pPr>
        <w:pStyle w:val="5"/>
        <w:numPr>
          <w:ilvl w:val="0"/>
          <w:numId w:val="2"/>
        </w:numPr>
        <w:autoSpaceDE w:val="0"/>
        <w:autoSpaceDN w:val="0"/>
        <w:spacing w:after="0" w:line="360" w:lineRule="auto"/>
        <w:ind w:left="0" w:firstLine="0"/>
        <w:jc w:val="center"/>
      </w:pPr>
      <w:r>
        <w:t>荒漠化评估功能输出接口图</w:t>
      </w:r>
    </w:p>
    <w:p>
      <w:pPr>
        <w:pStyle w:val="5"/>
        <w:numPr>
          <w:ilvl w:val="0"/>
          <w:numId w:val="3"/>
        </w:numPr>
        <w:autoSpaceDE w:val="0"/>
        <w:autoSpaceDN w:val="0"/>
        <w:spacing w:after="0" w:line="360" w:lineRule="auto"/>
        <w:jc w:val="center"/>
      </w:pPr>
      <w:r>
        <w:t>荒漠化评估功能输出接口表</w:t>
      </w:r>
    </w:p>
    <w:tbl>
      <w:tblPr>
        <w:tblStyle w:val="6"/>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40" w:type="dxa"/>
          <w:bottom w:w="0" w:type="dxa"/>
          <w:right w:w="40" w:type="dxa"/>
        </w:tblCellMar>
      </w:tblPr>
      <w:tblGrid>
        <w:gridCol w:w="3247"/>
        <w:gridCol w:w="2525"/>
        <w:gridCol w:w="25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40" w:type="dxa"/>
            <w:bottom w:w="0" w:type="dxa"/>
            <w:right w:w="40" w:type="dxa"/>
          </w:tblCellMar>
        </w:tblPrEx>
        <w:trPr>
          <w:cantSplit/>
          <w:trHeight w:val="113" w:hRule="atLeast"/>
          <w:tblHeader/>
          <w:jc w:val="center"/>
        </w:trPr>
        <w:tc>
          <w:tcPr>
            <w:tcW w:w="3247" w:type="dxa"/>
            <w:shd w:val="clear" w:color="auto" w:fill="auto"/>
            <w:vAlign w:val="center"/>
          </w:tcPr>
          <w:p>
            <w:pPr>
              <w:pStyle w:val="5"/>
              <w:spacing w:after="0"/>
              <w:jc w:val="center"/>
              <w:rPr>
                <w:rFonts w:eastAsia="仿宋_GB2312"/>
                <w:bCs/>
                <w:snapToGrid w:val="0"/>
              </w:rPr>
            </w:pPr>
            <w:r>
              <w:rPr>
                <w:rFonts w:eastAsia="仿宋_GB2312"/>
                <w:bCs/>
                <w:snapToGrid w:val="0"/>
              </w:rPr>
              <w:t>接口关系</w:t>
            </w:r>
          </w:p>
        </w:tc>
        <w:tc>
          <w:tcPr>
            <w:tcW w:w="2525" w:type="dxa"/>
          </w:tcPr>
          <w:p>
            <w:pPr>
              <w:pStyle w:val="5"/>
              <w:spacing w:after="0"/>
              <w:jc w:val="center"/>
              <w:rPr>
                <w:rFonts w:eastAsia="仿宋_GB2312"/>
                <w:bCs/>
                <w:snapToGrid w:val="0"/>
              </w:rPr>
            </w:pPr>
            <w:r>
              <w:rPr>
                <w:rFonts w:eastAsia="仿宋_GB2312"/>
                <w:bCs/>
                <w:snapToGrid w:val="0"/>
              </w:rPr>
              <w:t>信息类别</w:t>
            </w:r>
          </w:p>
        </w:tc>
        <w:tc>
          <w:tcPr>
            <w:tcW w:w="2524" w:type="dxa"/>
            <w:shd w:val="clear" w:color="auto" w:fill="auto"/>
            <w:vAlign w:val="center"/>
          </w:tcPr>
          <w:p>
            <w:pPr>
              <w:pStyle w:val="5"/>
              <w:spacing w:after="0"/>
              <w:jc w:val="center"/>
              <w:rPr>
                <w:rFonts w:eastAsia="仿宋_GB2312"/>
                <w:bCs/>
                <w:snapToGrid w:val="0"/>
              </w:rPr>
            </w:pPr>
            <w:r>
              <w:rPr>
                <w:rFonts w:eastAsia="仿宋_GB2312"/>
                <w:bCs/>
                <w:snapToGrid w:val="0"/>
              </w:rPr>
              <w:t>接口内容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40" w:type="dxa"/>
            <w:bottom w:w="0" w:type="dxa"/>
            <w:right w:w="40" w:type="dxa"/>
          </w:tblCellMar>
        </w:tblPrEx>
        <w:trPr>
          <w:cantSplit/>
          <w:trHeight w:val="113" w:hRule="atLeast"/>
          <w:jc w:val="center"/>
        </w:trPr>
        <w:tc>
          <w:tcPr>
            <w:tcW w:w="3247" w:type="dxa"/>
            <w:shd w:val="clear" w:color="auto" w:fill="auto"/>
            <w:vAlign w:val="center"/>
          </w:tcPr>
          <w:p>
            <w:pPr>
              <w:pStyle w:val="5"/>
              <w:spacing w:after="0"/>
              <w:jc w:val="center"/>
              <w:rPr>
                <w:rFonts w:eastAsia="仿宋_GB2312"/>
                <w:bCs/>
                <w:snapToGrid w:val="0"/>
              </w:rPr>
            </w:pPr>
            <w:r>
              <w:rPr>
                <w:rFonts w:eastAsia="仿宋_GB2312"/>
                <w:bCs/>
                <w:snapToGrid w:val="0"/>
              </w:rPr>
              <w:t>IT012</w:t>
            </w:r>
          </w:p>
        </w:tc>
        <w:tc>
          <w:tcPr>
            <w:tcW w:w="2525" w:type="dxa"/>
          </w:tcPr>
          <w:p>
            <w:pPr>
              <w:pStyle w:val="5"/>
              <w:spacing w:after="0"/>
              <w:jc w:val="center"/>
              <w:rPr>
                <w:rFonts w:eastAsia="仿宋_GB2312"/>
                <w:bCs/>
                <w:snapToGrid w:val="0"/>
              </w:rPr>
            </w:pPr>
            <w:r>
              <w:rPr>
                <w:rFonts w:eastAsia="仿宋_GB2312"/>
                <w:bCs/>
                <w:snapToGrid w:val="0"/>
              </w:rPr>
              <w:t>数据流</w:t>
            </w:r>
          </w:p>
        </w:tc>
        <w:tc>
          <w:tcPr>
            <w:tcW w:w="2524" w:type="dxa"/>
            <w:shd w:val="clear" w:color="auto" w:fill="auto"/>
            <w:vAlign w:val="center"/>
          </w:tcPr>
          <w:p>
            <w:pPr>
              <w:pStyle w:val="5"/>
              <w:spacing w:after="0"/>
              <w:jc w:val="center"/>
              <w:rPr>
                <w:rFonts w:eastAsia="仿宋_GB2312"/>
                <w:bCs/>
                <w:snapToGrid w:val="0"/>
              </w:rPr>
            </w:pPr>
            <w:r>
              <w:rPr>
                <w:rFonts w:eastAsia="仿宋_GB2312"/>
                <w:bCs/>
                <w:snapToGrid w:val="0"/>
              </w:rPr>
              <w:t>荒漠化等级分布图</w:t>
            </w:r>
          </w:p>
        </w:tc>
      </w:tr>
    </w:tbl>
    <w:p>
      <w:pPr>
        <w:jc w:val="center"/>
      </w:pPr>
      <w:r>
        <w:drawing>
          <wp:inline distT="0" distB="0" distL="0" distR="0">
            <wp:extent cx="3000375" cy="2667000"/>
            <wp:effectExtent l="0" t="0" r="9525" b="0"/>
            <wp:docPr id="1267" name="图片 75"/>
            <wp:cNvGraphicFramePr/>
            <a:graphic xmlns:a="http://schemas.openxmlformats.org/drawingml/2006/main">
              <a:graphicData uri="http://schemas.openxmlformats.org/drawingml/2006/picture">
                <pic:pic xmlns:pic="http://schemas.openxmlformats.org/drawingml/2006/picture">
                  <pic:nvPicPr>
                    <pic:cNvPr id="1267" name="图片 75"/>
                    <pic:cNvPicPr/>
                  </pic:nvPicPr>
                  <pic:blipFill>
                    <a:blip r:embed="rId39" cstate="print"/>
                    <a:srcRect/>
                    <a:stretch>
                      <a:fillRect/>
                    </a:stretch>
                  </pic:blipFill>
                  <pic:spPr>
                    <a:xfrm>
                      <a:off x="0" y="0"/>
                      <a:ext cx="3005742" cy="2671771"/>
                    </a:xfrm>
                    <a:prstGeom prst="rect">
                      <a:avLst/>
                    </a:prstGeom>
                  </pic:spPr>
                </pic:pic>
              </a:graphicData>
            </a:graphic>
          </wp:inline>
        </w:drawing>
      </w:r>
    </w:p>
    <w:p>
      <w:pPr>
        <w:pStyle w:val="5"/>
        <w:numPr>
          <w:ilvl w:val="0"/>
          <w:numId w:val="2"/>
        </w:numPr>
        <w:autoSpaceDE w:val="0"/>
        <w:autoSpaceDN w:val="0"/>
        <w:spacing w:after="0" w:line="360" w:lineRule="auto"/>
        <w:ind w:left="0" w:firstLine="0"/>
        <w:jc w:val="center"/>
      </w:pPr>
      <w:r>
        <w:t>荒漠化评估功能界面</w:t>
      </w:r>
    </w:p>
    <w:p>
      <w:pPr>
        <w:pStyle w:val="11"/>
      </w:pPr>
      <w:bookmarkStart w:id="16" w:name="_Toc72705939"/>
      <w:r>
        <w:t>（3）产草量评估</w:t>
      </w:r>
      <w:bookmarkEnd w:id="16"/>
    </w:p>
    <w:p>
      <w:pPr>
        <w:pStyle w:val="11"/>
      </w:pPr>
      <w:r>
        <w:t>本模型利用青海省海北州GF-1号卫星影像和同期野外实测采样点产草量数据，分析了遥感植被指数与草地植被产草量之间的相关关系，进而建立了多项式回归模型，并选择精度最高的一组模型作为牧区产草量反演模型。</w:t>
      </w:r>
    </w:p>
    <w:p>
      <w:pPr>
        <w:pStyle w:val="11"/>
      </w:pPr>
      <w:r>
        <w:t>植被指数计算主要涉及波段有红波段、近红外波段，采用植被指数包括归一化植被指数(NDVI)、比值植被指数(RVI)。</w:t>
      </w:r>
    </w:p>
    <w:p>
      <w:pPr>
        <w:pStyle w:val="5"/>
        <w:spacing w:line="360" w:lineRule="auto"/>
        <w:jc w:val="center"/>
      </w:pPr>
      <w:r>
        <w:drawing>
          <wp:inline distT="0" distB="0" distL="0" distR="0">
            <wp:extent cx="928370" cy="721995"/>
            <wp:effectExtent l="0" t="0" r="508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0"/>
                    <a:stretch>
                      <a:fillRect/>
                    </a:stretch>
                  </pic:blipFill>
                  <pic:spPr>
                    <a:xfrm>
                      <a:off x="0" y="0"/>
                      <a:ext cx="949231" cy="738033"/>
                    </a:xfrm>
                    <a:prstGeom prst="rect">
                      <a:avLst/>
                    </a:prstGeom>
                  </pic:spPr>
                </pic:pic>
              </a:graphicData>
            </a:graphic>
          </wp:inline>
        </w:drawing>
      </w:r>
    </w:p>
    <w:p>
      <w:pPr>
        <w:pStyle w:val="11"/>
      </w:pPr>
      <w:r>
        <w:t>其中X</w:t>
      </w:r>
      <w:r>
        <w:rPr>
          <w:vertAlign w:val="subscript"/>
        </w:rPr>
        <w:t>nir</w:t>
      </w:r>
      <w:r>
        <w:t>、X</w:t>
      </w:r>
      <w:r>
        <w:rPr>
          <w:vertAlign w:val="subscript"/>
        </w:rPr>
        <w:t>red</w:t>
      </w:r>
      <w:r>
        <w:t>分别为近红外波段、红光波段的反射率。</w:t>
      </w:r>
    </w:p>
    <w:p>
      <w:pPr>
        <w:pStyle w:val="11"/>
      </w:pPr>
      <w:r>
        <w:t>植被指数与草原植被产草量最优回归关系模型建立。将计算所得的不同植被指数NDVI、RVI 与样地实测的产草量进行多项式回归分析，再将剩余的样点数据与各模型预估结果进行精度验证，R²值最高为拟合度最好，选择精度最高的一组模型作为牧区产草量反演模型。</w:t>
      </w:r>
    </w:p>
    <w:p>
      <w:pPr>
        <w:pStyle w:val="11"/>
      </w:pPr>
      <w:r>
        <w:t>回归模型建立后，采用R检验法对其进行检验。R为回归方程的相关系数；R</w:t>
      </w:r>
      <w:r>
        <w:rPr>
          <w:vertAlign w:val="superscript"/>
        </w:rPr>
        <w:t>2</w:t>
      </w:r>
      <w:r>
        <w:t>为回归方程相关系数的平方，越接近于1，表明植被指数和产草量实测数据回归关系模型拟合程度越好。</w:t>
      </w:r>
    </w:p>
    <w:p>
      <w:pPr>
        <w:pStyle w:val="5"/>
        <w:spacing w:line="360" w:lineRule="auto"/>
        <w:jc w:val="center"/>
      </w:pPr>
      <w:r>
        <w:drawing>
          <wp:inline distT="0" distB="0" distL="0" distR="0">
            <wp:extent cx="4450080" cy="2928620"/>
            <wp:effectExtent l="0" t="0" r="762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500517" cy="2961940"/>
                    </a:xfrm>
                    <a:prstGeom prst="rect">
                      <a:avLst/>
                    </a:prstGeom>
                    <a:noFill/>
                    <a:ln>
                      <a:noFill/>
                    </a:ln>
                  </pic:spPr>
                </pic:pic>
              </a:graphicData>
            </a:graphic>
          </wp:inline>
        </w:drawing>
      </w:r>
    </w:p>
    <w:p>
      <w:pPr>
        <w:pStyle w:val="5"/>
        <w:numPr>
          <w:ilvl w:val="0"/>
          <w:numId w:val="2"/>
        </w:numPr>
        <w:autoSpaceDE w:val="0"/>
        <w:autoSpaceDN w:val="0"/>
        <w:spacing w:after="0" w:line="360" w:lineRule="auto"/>
        <w:ind w:left="0" w:firstLine="0"/>
        <w:jc w:val="center"/>
      </w:pPr>
      <w:r>
        <w:t>植被指数和产草量实测数据回归关系拟合结果</w:t>
      </w:r>
    </w:p>
    <w:p>
      <w:pPr>
        <w:pStyle w:val="5"/>
        <w:spacing w:line="360" w:lineRule="auto"/>
        <w:jc w:val="center"/>
      </w:pPr>
      <w:r>
        <w:drawing>
          <wp:inline distT="0" distB="0" distL="0" distR="0">
            <wp:extent cx="3995420" cy="3722370"/>
            <wp:effectExtent l="0" t="0" r="5080" b="11430"/>
            <wp:docPr id="1024" name="图片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 name="图片 10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002998" cy="3729218"/>
                    </a:xfrm>
                    <a:prstGeom prst="rect">
                      <a:avLst/>
                    </a:prstGeom>
                    <a:noFill/>
                    <a:ln>
                      <a:noFill/>
                    </a:ln>
                  </pic:spPr>
                </pic:pic>
              </a:graphicData>
            </a:graphic>
          </wp:inline>
        </w:drawing>
      </w:r>
    </w:p>
    <w:p>
      <w:pPr>
        <w:pStyle w:val="5"/>
        <w:numPr>
          <w:ilvl w:val="0"/>
          <w:numId w:val="2"/>
        </w:numPr>
        <w:autoSpaceDE w:val="0"/>
        <w:autoSpaceDN w:val="0"/>
        <w:spacing w:after="0" w:line="360" w:lineRule="auto"/>
        <w:ind w:left="0" w:firstLine="0"/>
        <w:jc w:val="center"/>
      </w:pPr>
      <w:r>
        <w:t>植被指数和产草量拟合结果</w:t>
      </w:r>
    </w:p>
    <w:p>
      <w:pPr>
        <w:pStyle w:val="4"/>
      </w:pPr>
      <w:bookmarkStart w:id="17" w:name="_Toc72705940"/>
      <w:r>
        <w:rPr>
          <w:rFonts w:hint="eastAsia"/>
          <w:lang w:eastAsia="zh-CN"/>
        </w:rPr>
        <w:t>1.1</w:t>
      </w:r>
      <w:r>
        <w:t>.3.4草原灾害监测与预警系统</w:t>
      </w:r>
      <w:bookmarkEnd w:id="17"/>
    </w:p>
    <w:p>
      <w:pPr>
        <w:pStyle w:val="11"/>
      </w:pPr>
      <w:r>
        <w:t>利用高分四号准视频成像功能，可以记录拍摄目标的运动轨迹，获取目标运动的方向和速度，为灾害发展预测和气象预报提供更为有效直观的数据，对于发生发展变化速度较快的自然灾害和现象，高分四号卫星能够全面记录其演变过程，为防灾减灾、环境治理和保护生态提供科学决策的依据。</w:t>
      </w:r>
    </w:p>
    <w:p>
      <w:pPr>
        <w:pStyle w:val="11"/>
      </w:pPr>
      <w:r>
        <w:t>高分四号卫星定点于地球静止轨道，观测目标区域不受过境弧段限制，可在较短时间内实现大跨度范围的多地机动成像，极大地提高了系统任务的实时主导效率。</w:t>
      </w:r>
    </w:p>
    <w:p>
      <w:pPr>
        <w:pStyle w:val="11"/>
      </w:pPr>
      <w:r>
        <w:t>积雪范围变化监测：高分四号卫星，可开展积雪面积的动态变化识别。区别于极轨卫星较长的重访周期，高分四号卫星具有凝视、区域、机动巡查等观测模式，可以实现对一个地区的全时间重复观测。鉴于高分四号卫星的波段配置，在提取积雪分布时容易受到云的干扰。通过高分四号多次观测，可以有效地剔除云的干扰，从而提取积雪覆盖信息。通过对比不同时相高分四号卫星数据，可以有效剔除云等干扰因此的影响，并提取积雪覆盖变化范围，高分四号卫星具有较好的积雪覆盖变化监测能力。</w:t>
      </w:r>
    </w:p>
    <w:p>
      <w:pPr>
        <w:pStyle w:val="11"/>
      </w:pPr>
      <w:r>
        <w:t>草原荒漠化信息监视监测：以 GF-4 卫星数据对沙地腹地进行沙化土地的分类识别研究，分别使用支持向量机和面向对象进行分类。GF-4 多光谱数据为 50 米，分辨率较低，固定沙地与半固定沙地不好区分，把它们归为一类，其他类包括草地、湿地以及居民点等类型。GF-4卫星特性为草原沙化演变过程的研究提供全新的手段，可进行草原沙化过程的监控预警。</w:t>
      </w:r>
    </w:p>
    <w:p>
      <w:pPr>
        <w:pStyle w:val="11"/>
      </w:pPr>
      <w:r>
        <w:t>恶劣气候与火灾监测应用：“高分四号”卫星影像辐射质量良好，动态范围宽，能够满足陆地环境及海洋环境区域遥感调查需求。卫星影像色彩表现力强，图像中相同地物辐射度特征表现较为均一，不同地物之间区别明显，有利于目视地物信息的识别。数据动态范围设置合理，海陆交接地物细节表现力好，红外数据海面、陆地、低温云等区分良好，面阵红外成像识别度高。</w:t>
      </w:r>
    </w:p>
    <w:p>
      <w:pPr>
        <w:pStyle w:val="11"/>
      </w:pPr>
      <w:r>
        <w:t>卫星可对成像积分时间进行密集调整，有效实现灾害监测，获取高质量气象云图，为气象预报提供及时连续的数据支持，真正实现我国高轨全天时、高分辨率对地观测能力。</w:t>
      </w:r>
    </w:p>
    <w:p>
      <w:pPr>
        <w:pStyle w:val="11"/>
      </w:pPr>
      <w:bookmarkStart w:id="18" w:name="_Toc72705941"/>
      <w:r>
        <w:t>（1）积雪分布信息提取</w:t>
      </w:r>
      <w:bookmarkEnd w:id="18"/>
    </w:p>
    <w:p>
      <w:pPr>
        <w:pStyle w:val="11"/>
      </w:pPr>
      <w:r>
        <w:t>本功能是积雪覆盖范围监测算法的实现，通过提取研究区的积雪分布信息，最终得到研究区的积雪覆盖范围分布图。</w:t>
      </w:r>
    </w:p>
    <w:p>
      <w:pPr>
        <w:jc w:val="center"/>
      </w:pPr>
      <w:r>
        <w:object>
          <v:shape id="_x0000_i1033" o:spt="75" type="#_x0000_t75" style="height:439.5pt;width:102.4pt;" o:ole="t" filled="f" o:preferrelative="t" stroked="f" coordsize="21600,21600">
            <v:path/>
            <v:fill on="f" focussize="0,0"/>
            <v:stroke on="f" joinstyle="miter"/>
            <v:imagedata r:id="rId44" embosscolor="#FFFFFF" o:title=""/>
            <o:lock v:ext="edit" aspectratio="t"/>
            <w10:wrap type="none"/>
            <w10:anchorlock/>
          </v:shape>
          <o:OLEObject Type="Embed" ProgID="Visio.Drawing.11" ShapeID="_x0000_i1033" DrawAspect="Content" ObjectID="_1468075733" r:id="rId43">
            <o:LockedField>false</o:LockedField>
          </o:OLEObject>
        </w:object>
      </w:r>
    </w:p>
    <w:p>
      <w:pPr>
        <w:pStyle w:val="5"/>
        <w:numPr>
          <w:ilvl w:val="0"/>
          <w:numId w:val="2"/>
        </w:numPr>
        <w:autoSpaceDE w:val="0"/>
        <w:autoSpaceDN w:val="0"/>
        <w:spacing w:after="0" w:line="360" w:lineRule="auto"/>
        <w:ind w:left="0" w:firstLine="0"/>
        <w:jc w:val="center"/>
        <w:rPr>
          <w:bCs/>
        </w:rPr>
      </w:pPr>
      <w:r>
        <w:rPr>
          <w:bCs/>
        </w:rPr>
        <w:t>积雪分布信息提取功能实现流程图</w:t>
      </w:r>
    </w:p>
    <w:p>
      <w:pPr>
        <w:pStyle w:val="11"/>
      </w:pPr>
      <w:r>
        <w:rPr>
          <w:rFonts w:hint="eastAsia" w:ascii="宋体" w:hAnsi="宋体" w:eastAsia="宋体" w:cs="宋体"/>
        </w:rPr>
        <w:t>①</w:t>
      </w:r>
      <w:r>
        <w:t>原始高分遥感影像：本系统设计可使用数据为高分四号卫星数据，通过IT01接口使用基本功能模块中的数据输入功能来实现。</w:t>
      </w:r>
    </w:p>
    <w:p>
      <w:pPr>
        <w:pStyle w:val="11"/>
      </w:pPr>
      <w:bookmarkStart w:id="19" w:name="_Hlk51342051"/>
      <w:r>
        <w:rPr>
          <w:rFonts w:hint="eastAsia" w:ascii="宋体" w:hAnsi="宋体" w:eastAsia="宋体" w:cs="宋体"/>
        </w:rPr>
        <w:t>②</w:t>
      </w:r>
      <w:r>
        <w:t>数据预处理：对遥感影像进行辐射校正、大气校正、几何精校正处理。</w:t>
      </w:r>
      <w:bookmarkEnd w:id="19"/>
    </w:p>
    <w:p>
      <w:pPr>
        <w:pStyle w:val="11"/>
      </w:pPr>
      <w:r>
        <w:rPr>
          <w:rFonts w:hint="eastAsia" w:ascii="宋体" w:hAnsi="宋体" w:eastAsia="宋体" w:cs="宋体"/>
        </w:rPr>
        <w:t>③</w:t>
      </w:r>
      <w:r>
        <w:t>积雪分布信息提取功能：基于积雪分布信息提取算法得到，应用归一化积雪指数法，通过设置阈值，区分出积雪和其它地物。</w:t>
      </w:r>
    </w:p>
    <w:p>
      <w:pPr>
        <w:jc w:val="center"/>
      </w:pPr>
      <w:r>
        <w:object>
          <v:shape id="_x0000_i1034" o:spt="75" type="#_x0000_t75" style="height:134pt;width:87.4pt;" o:ole="t" filled="f" o:preferrelative="t" stroked="f" coordsize="21600,21600">
            <v:path/>
            <v:fill on="f" focussize="0,0"/>
            <v:stroke on="f" joinstyle="miter"/>
            <v:imagedata r:id="rId46" embosscolor="#FFFFFF" o:title=""/>
            <o:lock v:ext="edit" aspectratio="t"/>
            <w10:wrap type="none"/>
            <w10:anchorlock/>
          </v:shape>
          <o:OLEObject Type="Embed" ProgID="Visio.Drawing.11" ShapeID="_x0000_i1034" DrawAspect="Content" ObjectID="_1468075734" r:id="rId45">
            <o:LockedField>false</o:LockedField>
          </o:OLEObject>
        </w:object>
      </w:r>
    </w:p>
    <w:p>
      <w:pPr>
        <w:pStyle w:val="5"/>
        <w:numPr>
          <w:ilvl w:val="0"/>
          <w:numId w:val="2"/>
        </w:numPr>
        <w:autoSpaceDE w:val="0"/>
        <w:autoSpaceDN w:val="0"/>
        <w:spacing w:after="0" w:line="360" w:lineRule="auto"/>
        <w:ind w:left="0" w:firstLine="0"/>
        <w:jc w:val="center"/>
        <w:rPr>
          <w:bCs/>
        </w:rPr>
      </w:pPr>
      <w:r>
        <w:rPr>
          <w:bCs/>
        </w:rPr>
        <w:t>积雪分布信息提取功能输入接口图</w:t>
      </w:r>
    </w:p>
    <w:p>
      <w:pPr>
        <w:pStyle w:val="5"/>
        <w:numPr>
          <w:ilvl w:val="0"/>
          <w:numId w:val="3"/>
        </w:numPr>
        <w:autoSpaceDE w:val="0"/>
        <w:autoSpaceDN w:val="0"/>
        <w:spacing w:after="0" w:line="360" w:lineRule="auto"/>
        <w:jc w:val="center"/>
      </w:pPr>
      <w:r>
        <w:t>积雪分布信息提取功能输入接口表</w:t>
      </w:r>
    </w:p>
    <w:tbl>
      <w:tblPr>
        <w:tblStyle w:val="6"/>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40" w:type="dxa"/>
          <w:bottom w:w="0" w:type="dxa"/>
          <w:right w:w="40" w:type="dxa"/>
        </w:tblCellMar>
      </w:tblPr>
      <w:tblGrid>
        <w:gridCol w:w="2765"/>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40" w:type="dxa"/>
            <w:bottom w:w="0" w:type="dxa"/>
            <w:right w:w="40" w:type="dxa"/>
          </w:tblCellMar>
        </w:tblPrEx>
        <w:trPr>
          <w:cantSplit/>
          <w:trHeight w:val="113" w:hRule="atLeast"/>
          <w:tblHeader/>
          <w:jc w:val="center"/>
        </w:trPr>
        <w:tc>
          <w:tcPr>
            <w:tcW w:w="2765" w:type="dxa"/>
            <w:shd w:val="clear" w:color="auto" w:fill="auto"/>
            <w:vAlign w:val="center"/>
          </w:tcPr>
          <w:p>
            <w:pPr>
              <w:pStyle w:val="5"/>
              <w:spacing w:line="360" w:lineRule="auto"/>
              <w:jc w:val="center"/>
              <w:rPr>
                <w:bCs/>
                <w:snapToGrid w:val="0"/>
              </w:rPr>
            </w:pPr>
            <w:r>
              <w:rPr>
                <w:bCs/>
                <w:snapToGrid w:val="0"/>
              </w:rPr>
              <w:t>接口关系</w:t>
            </w:r>
          </w:p>
        </w:tc>
        <w:tc>
          <w:tcPr>
            <w:tcW w:w="2765" w:type="dxa"/>
          </w:tcPr>
          <w:p>
            <w:pPr>
              <w:pStyle w:val="5"/>
              <w:spacing w:line="360" w:lineRule="auto"/>
              <w:jc w:val="center"/>
              <w:rPr>
                <w:bCs/>
                <w:snapToGrid w:val="0"/>
              </w:rPr>
            </w:pPr>
            <w:r>
              <w:rPr>
                <w:bCs/>
                <w:snapToGrid w:val="0"/>
              </w:rPr>
              <w:t>信息类别</w:t>
            </w:r>
          </w:p>
        </w:tc>
        <w:tc>
          <w:tcPr>
            <w:tcW w:w="2766" w:type="dxa"/>
            <w:shd w:val="clear" w:color="auto" w:fill="auto"/>
            <w:vAlign w:val="center"/>
          </w:tcPr>
          <w:p>
            <w:pPr>
              <w:pStyle w:val="5"/>
              <w:spacing w:line="360" w:lineRule="auto"/>
              <w:jc w:val="center"/>
              <w:rPr>
                <w:bCs/>
                <w:snapToGrid w:val="0"/>
              </w:rPr>
            </w:pPr>
            <w:r>
              <w:rPr>
                <w:bCs/>
                <w:snapToGrid w:val="0"/>
              </w:rPr>
              <w:t>接口内容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40" w:type="dxa"/>
            <w:bottom w:w="0" w:type="dxa"/>
            <w:right w:w="40" w:type="dxa"/>
          </w:tblCellMar>
        </w:tblPrEx>
        <w:trPr>
          <w:cantSplit/>
          <w:trHeight w:val="113" w:hRule="atLeast"/>
          <w:jc w:val="center"/>
        </w:trPr>
        <w:tc>
          <w:tcPr>
            <w:tcW w:w="2765" w:type="dxa"/>
            <w:shd w:val="clear" w:color="auto" w:fill="auto"/>
            <w:vAlign w:val="center"/>
          </w:tcPr>
          <w:p>
            <w:pPr>
              <w:pStyle w:val="5"/>
              <w:spacing w:line="360" w:lineRule="auto"/>
              <w:jc w:val="center"/>
              <w:rPr>
                <w:bCs/>
                <w:snapToGrid w:val="0"/>
              </w:rPr>
            </w:pPr>
            <w:r>
              <w:rPr>
                <w:bCs/>
                <w:snapToGrid w:val="0"/>
              </w:rPr>
              <w:t>IT01</w:t>
            </w:r>
          </w:p>
        </w:tc>
        <w:tc>
          <w:tcPr>
            <w:tcW w:w="2765" w:type="dxa"/>
          </w:tcPr>
          <w:p>
            <w:pPr>
              <w:pStyle w:val="5"/>
              <w:spacing w:line="360" w:lineRule="auto"/>
              <w:jc w:val="center"/>
              <w:rPr>
                <w:bCs/>
                <w:snapToGrid w:val="0"/>
              </w:rPr>
            </w:pPr>
            <w:r>
              <w:rPr>
                <w:bCs/>
                <w:snapToGrid w:val="0"/>
              </w:rPr>
              <w:t>数据流</w:t>
            </w:r>
          </w:p>
        </w:tc>
        <w:tc>
          <w:tcPr>
            <w:tcW w:w="2766" w:type="dxa"/>
            <w:shd w:val="clear" w:color="auto" w:fill="auto"/>
            <w:vAlign w:val="center"/>
          </w:tcPr>
          <w:p>
            <w:pPr>
              <w:pStyle w:val="5"/>
              <w:spacing w:line="360" w:lineRule="auto"/>
              <w:jc w:val="center"/>
              <w:rPr>
                <w:bCs/>
                <w:snapToGrid w:val="0"/>
              </w:rPr>
            </w:pPr>
            <w:r>
              <w:rPr>
                <w:bCs/>
                <w:snapToGrid w:val="0"/>
              </w:rPr>
              <w:t>遥感影像</w:t>
            </w:r>
          </w:p>
        </w:tc>
      </w:tr>
    </w:tbl>
    <w:p>
      <w:pPr>
        <w:jc w:val="center"/>
      </w:pPr>
      <w:r>
        <w:object>
          <v:shape id="_x0000_i1035" o:spt="75" type="#_x0000_t75" style="height:112.8pt;width:74.1pt;" o:ole="t" filled="f" o:preferrelative="t" stroked="f" coordsize="21600,21600">
            <v:path/>
            <v:fill on="f" focussize="0,0"/>
            <v:stroke on="f" joinstyle="miter"/>
            <v:imagedata r:id="rId48" embosscolor="#FFFFFF" o:title=""/>
            <o:lock v:ext="edit" aspectratio="t"/>
            <w10:wrap type="none"/>
            <w10:anchorlock/>
          </v:shape>
          <o:OLEObject Type="Embed" ProgID="Visio.Drawing.11" ShapeID="_x0000_i1035" DrawAspect="Content" ObjectID="_1468075735" r:id="rId47">
            <o:LockedField>false</o:LockedField>
          </o:OLEObject>
        </w:object>
      </w:r>
    </w:p>
    <w:p>
      <w:pPr>
        <w:pStyle w:val="5"/>
        <w:numPr>
          <w:ilvl w:val="0"/>
          <w:numId w:val="2"/>
        </w:numPr>
        <w:autoSpaceDE w:val="0"/>
        <w:autoSpaceDN w:val="0"/>
        <w:spacing w:after="0" w:line="360" w:lineRule="auto"/>
        <w:ind w:left="0" w:firstLine="0"/>
        <w:jc w:val="center"/>
        <w:rPr>
          <w:bCs/>
        </w:rPr>
      </w:pPr>
      <w:r>
        <w:rPr>
          <w:bCs/>
        </w:rPr>
        <w:t>积雪分布信息提取功能输出接口图</w:t>
      </w:r>
    </w:p>
    <w:p>
      <w:pPr>
        <w:pStyle w:val="5"/>
        <w:numPr>
          <w:ilvl w:val="0"/>
          <w:numId w:val="3"/>
        </w:numPr>
        <w:autoSpaceDE w:val="0"/>
        <w:autoSpaceDN w:val="0"/>
        <w:spacing w:after="0" w:line="360" w:lineRule="auto"/>
        <w:jc w:val="center"/>
      </w:pPr>
      <w:r>
        <w:t>积雪分布信息提取功能输出接口表</w:t>
      </w:r>
    </w:p>
    <w:tbl>
      <w:tblPr>
        <w:tblStyle w:val="6"/>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40" w:type="dxa"/>
          <w:bottom w:w="0" w:type="dxa"/>
          <w:right w:w="40" w:type="dxa"/>
        </w:tblCellMar>
      </w:tblPr>
      <w:tblGrid>
        <w:gridCol w:w="2765"/>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40" w:type="dxa"/>
            <w:bottom w:w="0" w:type="dxa"/>
            <w:right w:w="40" w:type="dxa"/>
          </w:tblCellMar>
        </w:tblPrEx>
        <w:trPr>
          <w:cantSplit/>
          <w:trHeight w:val="113" w:hRule="atLeast"/>
          <w:tblHeader/>
          <w:jc w:val="center"/>
        </w:trPr>
        <w:tc>
          <w:tcPr>
            <w:tcW w:w="2765" w:type="dxa"/>
            <w:shd w:val="clear" w:color="auto" w:fill="auto"/>
            <w:vAlign w:val="center"/>
          </w:tcPr>
          <w:p>
            <w:pPr>
              <w:pStyle w:val="5"/>
              <w:spacing w:after="0"/>
              <w:jc w:val="center"/>
              <w:rPr>
                <w:rFonts w:eastAsia="仿宋_GB2312"/>
                <w:bCs/>
                <w:snapToGrid w:val="0"/>
              </w:rPr>
            </w:pPr>
            <w:bookmarkStart w:id="20" w:name="_Hlk51230517"/>
            <w:r>
              <w:rPr>
                <w:rFonts w:eastAsia="仿宋_GB2312"/>
                <w:bCs/>
                <w:snapToGrid w:val="0"/>
              </w:rPr>
              <w:t>接口关系</w:t>
            </w:r>
          </w:p>
        </w:tc>
        <w:tc>
          <w:tcPr>
            <w:tcW w:w="2765" w:type="dxa"/>
          </w:tcPr>
          <w:p>
            <w:pPr>
              <w:pStyle w:val="5"/>
              <w:spacing w:after="0"/>
              <w:jc w:val="center"/>
              <w:rPr>
                <w:rFonts w:eastAsia="仿宋_GB2312"/>
                <w:bCs/>
                <w:snapToGrid w:val="0"/>
              </w:rPr>
            </w:pPr>
            <w:r>
              <w:rPr>
                <w:rFonts w:eastAsia="仿宋_GB2312"/>
                <w:bCs/>
                <w:snapToGrid w:val="0"/>
              </w:rPr>
              <w:t>信息类别</w:t>
            </w:r>
          </w:p>
        </w:tc>
        <w:tc>
          <w:tcPr>
            <w:tcW w:w="2766" w:type="dxa"/>
            <w:shd w:val="clear" w:color="auto" w:fill="auto"/>
            <w:vAlign w:val="center"/>
          </w:tcPr>
          <w:p>
            <w:pPr>
              <w:pStyle w:val="5"/>
              <w:spacing w:after="0"/>
              <w:jc w:val="center"/>
              <w:rPr>
                <w:rFonts w:eastAsia="仿宋_GB2312"/>
                <w:bCs/>
                <w:snapToGrid w:val="0"/>
              </w:rPr>
            </w:pPr>
            <w:r>
              <w:rPr>
                <w:rFonts w:eastAsia="仿宋_GB2312"/>
                <w:bCs/>
                <w:snapToGrid w:val="0"/>
              </w:rPr>
              <w:t>接口内容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40" w:type="dxa"/>
            <w:bottom w:w="0" w:type="dxa"/>
            <w:right w:w="40" w:type="dxa"/>
          </w:tblCellMar>
        </w:tblPrEx>
        <w:trPr>
          <w:cantSplit/>
          <w:trHeight w:val="113" w:hRule="atLeast"/>
          <w:jc w:val="center"/>
        </w:trPr>
        <w:tc>
          <w:tcPr>
            <w:tcW w:w="2765" w:type="dxa"/>
            <w:shd w:val="clear" w:color="auto" w:fill="auto"/>
            <w:vAlign w:val="center"/>
          </w:tcPr>
          <w:p>
            <w:pPr>
              <w:pStyle w:val="5"/>
              <w:spacing w:after="0"/>
              <w:jc w:val="center"/>
              <w:rPr>
                <w:rFonts w:eastAsia="仿宋_GB2312"/>
                <w:bCs/>
                <w:snapToGrid w:val="0"/>
              </w:rPr>
            </w:pPr>
            <w:r>
              <w:rPr>
                <w:rFonts w:eastAsia="仿宋_GB2312"/>
                <w:bCs/>
                <w:snapToGrid w:val="0"/>
              </w:rPr>
              <w:t>IT001</w:t>
            </w:r>
          </w:p>
        </w:tc>
        <w:tc>
          <w:tcPr>
            <w:tcW w:w="2765" w:type="dxa"/>
          </w:tcPr>
          <w:p>
            <w:pPr>
              <w:pStyle w:val="5"/>
              <w:spacing w:after="0"/>
              <w:jc w:val="center"/>
              <w:rPr>
                <w:rFonts w:eastAsia="仿宋_GB2312"/>
                <w:bCs/>
                <w:snapToGrid w:val="0"/>
              </w:rPr>
            </w:pPr>
            <w:r>
              <w:rPr>
                <w:rFonts w:eastAsia="仿宋_GB2312"/>
                <w:bCs/>
                <w:snapToGrid w:val="0"/>
              </w:rPr>
              <w:t>数据流</w:t>
            </w:r>
          </w:p>
        </w:tc>
        <w:tc>
          <w:tcPr>
            <w:tcW w:w="2766" w:type="dxa"/>
            <w:shd w:val="clear" w:color="auto" w:fill="auto"/>
            <w:vAlign w:val="center"/>
          </w:tcPr>
          <w:p>
            <w:pPr>
              <w:pStyle w:val="5"/>
              <w:spacing w:after="0"/>
              <w:jc w:val="center"/>
              <w:rPr>
                <w:rFonts w:eastAsia="仿宋_GB2312"/>
                <w:bCs/>
                <w:snapToGrid w:val="0"/>
              </w:rPr>
            </w:pPr>
            <w:r>
              <w:rPr>
                <w:rFonts w:eastAsia="仿宋_GB2312"/>
                <w:bCs/>
                <w:snapToGrid w:val="0"/>
              </w:rPr>
              <w:t>积雪覆盖范围分布图</w:t>
            </w:r>
          </w:p>
        </w:tc>
      </w:tr>
      <w:bookmarkEnd w:id="20"/>
    </w:tbl>
    <w:p>
      <w:pPr>
        <w:pStyle w:val="5"/>
        <w:spacing w:line="360" w:lineRule="auto"/>
        <w:ind w:firstLine="420" w:firstLineChars="200"/>
      </w:pPr>
    </w:p>
    <w:p>
      <w:pPr>
        <w:jc w:val="center"/>
      </w:pPr>
      <w:r>
        <w:drawing>
          <wp:inline distT="0" distB="0" distL="0" distR="0">
            <wp:extent cx="3627755" cy="2741295"/>
            <wp:effectExtent l="0" t="0" r="10795" b="1905"/>
            <wp:docPr id="1260" name="图片 16" descr="C:\Users\Administrator\AppData\Local\Temp\WeChat Files\4b5824d2fda0a2a24a0a72b6da4068f.png"/>
            <wp:cNvGraphicFramePr/>
            <a:graphic xmlns:a="http://schemas.openxmlformats.org/drawingml/2006/main">
              <a:graphicData uri="http://schemas.openxmlformats.org/drawingml/2006/picture">
                <pic:pic xmlns:pic="http://schemas.openxmlformats.org/drawingml/2006/picture">
                  <pic:nvPicPr>
                    <pic:cNvPr id="1260" name="图片 16" descr="C:\Users\Administrator\AppData\Local\Temp\WeChat Files\4b5824d2fda0a2a24a0a72b6da4068f.png"/>
                    <pic:cNvPicPr/>
                  </pic:nvPicPr>
                  <pic:blipFill>
                    <a:blip r:embed="rId49" cstate="print"/>
                    <a:srcRect/>
                    <a:stretch>
                      <a:fillRect/>
                    </a:stretch>
                  </pic:blipFill>
                  <pic:spPr>
                    <a:xfrm>
                      <a:off x="0" y="0"/>
                      <a:ext cx="3637415" cy="2748595"/>
                    </a:xfrm>
                    <a:prstGeom prst="rect">
                      <a:avLst/>
                    </a:prstGeom>
                    <a:ln>
                      <a:noFill/>
                    </a:ln>
                  </pic:spPr>
                </pic:pic>
              </a:graphicData>
            </a:graphic>
          </wp:inline>
        </w:drawing>
      </w:r>
    </w:p>
    <w:p>
      <w:pPr>
        <w:pStyle w:val="5"/>
        <w:numPr>
          <w:ilvl w:val="0"/>
          <w:numId w:val="2"/>
        </w:numPr>
        <w:autoSpaceDE w:val="0"/>
        <w:autoSpaceDN w:val="0"/>
        <w:spacing w:after="0" w:line="360" w:lineRule="auto"/>
        <w:ind w:left="0" w:firstLine="0"/>
        <w:jc w:val="center"/>
        <w:rPr>
          <w:bCs/>
        </w:rPr>
      </w:pPr>
      <w:r>
        <w:rPr>
          <w:bCs/>
        </w:rPr>
        <w:t>积雪分布信息提取功能界面</w:t>
      </w:r>
    </w:p>
    <w:p>
      <w:pPr>
        <w:pStyle w:val="11"/>
      </w:pPr>
      <w:bookmarkStart w:id="21" w:name="_Toc72705942"/>
      <w:r>
        <w:t>（2）雪灾风险评估</w:t>
      </w:r>
      <w:bookmarkEnd w:id="21"/>
    </w:p>
    <w:p>
      <w:pPr>
        <w:pStyle w:val="11"/>
      </w:pPr>
      <w:r>
        <w:t>本功能是根据雪灾风险评估算法进行设计实现的，利用该功能可以在雪灾发生过程中业务化实现雪灾的风险预估，并得到雪灾风险评估图，通过及时预估雪灾给当地带来的风险，帮助决策人员采取适当的减灾手段。</w:t>
      </w:r>
    </w:p>
    <w:p>
      <w:pPr>
        <w:jc w:val="center"/>
        <w:rPr>
          <w:rFonts w:eastAsiaTheme="minorEastAsia"/>
        </w:rPr>
      </w:pPr>
      <w:r>
        <w:rPr>
          <w:rFonts w:eastAsiaTheme="minorEastAsia"/>
        </w:rPr>
        <w:object>
          <v:shape id="_x0000_i1036" o:spt="75" type="#_x0000_t75" style="height:221.85pt;width:206pt;" o:ole="t" filled="f" o:preferrelative="t" stroked="f" coordsize="21600,21600">
            <v:path/>
            <v:fill on="f" focussize="0,0"/>
            <v:stroke on="f" joinstyle="miter"/>
            <v:imagedata r:id="rId51" croptop="21599f" embosscolor="#FFFFFF" o:title=""/>
            <o:lock v:ext="edit" aspectratio="t"/>
            <w10:wrap type="none"/>
            <w10:anchorlock/>
          </v:shape>
          <o:OLEObject Type="Embed" ProgID="Visio.Drawing.11" ShapeID="_x0000_i1036" DrawAspect="Content" ObjectID="_1468075736" r:id="rId50">
            <o:LockedField>false</o:LockedField>
          </o:OLEObject>
        </w:object>
      </w:r>
    </w:p>
    <w:p>
      <w:pPr>
        <w:pStyle w:val="5"/>
        <w:numPr>
          <w:ilvl w:val="0"/>
          <w:numId w:val="2"/>
        </w:numPr>
        <w:autoSpaceDE w:val="0"/>
        <w:autoSpaceDN w:val="0"/>
        <w:spacing w:after="0" w:line="360" w:lineRule="auto"/>
        <w:ind w:left="0" w:firstLine="0"/>
        <w:jc w:val="center"/>
        <w:rPr>
          <w:bCs/>
        </w:rPr>
      </w:pPr>
      <w:r>
        <w:rPr>
          <w:bCs/>
        </w:rPr>
        <w:t>雪灾风险评估功能工作流程图</w:t>
      </w:r>
    </w:p>
    <w:p>
      <w:pPr>
        <w:pStyle w:val="11"/>
      </w:pPr>
      <w:r>
        <w:rPr>
          <w:rFonts w:hint="eastAsia" w:ascii="宋体" w:hAnsi="宋体" w:eastAsia="宋体" w:cs="宋体"/>
        </w:rPr>
        <w:t>①</w:t>
      </w:r>
      <w:r>
        <w:t>输入数据：积雪覆盖范围分布、牧牧草高度分布、牲畜分布、蓄群结构。</w:t>
      </w:r>
    </w:p>
    <w:p>
      <w:pPr>
        <w:pStyle w:val="11"/>
      </w:pPr>
      <w:r>
        <w:rPr>
          <w:rFonts w:hint="eastAsia" w:ascii="宋体" w:hAnsi="宋体" w:eastAsia="宋体" w:cs="宋体"/>
        </w:rPr>
        <w:t>②</w:t>
      </w:r>
      <w:r>
        <w:t>雪灾风险评估功能：</w:t>
      </w:r>
      <w:bookmarkStart w:id="22" w:name="_Hlk51342177"/>
      <w:r>
        <w:t>基于雪灾风险评估算法得到，</w:t>
      </w:r>
      <w:bookmarkEnd w:id="22"/>
      <w:r>
        <w:t>选取致灾因子，孕灾环境，承灾体和抗灾能力四个方面的数据作为输入项，以栅格数据的形式输入，在算法中，通过栅格数据的标准化处理，再根据专家打分法确定的权重值，作加权叠加分析，对栅格图上的逐个像元判断可能发生雪灾的程度，把记录每个像元的雪灾等级值的栅格数据作为雪灾风险等级图，输出雪灾风险评估结果。</w:t>
      </w:r>
    </w:p>
    <w:p>
      <w:pPr>
        <w:jc w:val="center"/>
        <w:rPr>
          <w:rFonts w:eastAsiaTheme="minorEastAsia"/>
        </w:rPr>
      </w:pPr>
      <w:r>
        <w:rPr>
          <w:rFonts w:eastAsiaTheme="minorEastAsia"/>
        </w:rPr>
        <w:object>
          <v:shape id="_x0000_i1037" o:spt="75" type="#_x0000_t75" style="height:174.4pt;width:333.35pt;" o:ole="t" filled="f" o:preferrelative="t" stroked="f" coordsize="21600,21600">
            <v:path/>
            <v:fill on="f" focussize="0,0"/>
            <v:stroke on="f" joinstyle="miter"/>
            <v:imagedata r:id="rId53" embosscolor="#FFFFFF" o:title=""/>
            <o:lock v:ext="edit" aspectratio="t"/>
            <w10:wrap type="none"/>
            <w10:anchorlock/>
          </v:shape>
          <o:OLEObject Type="Embed" ProgID="Visio.Drawing.11" ShapeID="_x0000_i1037" DrawAspect="Content" ObjectID="_1468075737" r:id="rId52">
            <o:LockedField>false</o:LockedField>
          </o:OLEObject>
        </w:object>
      </w:r>
    </w:p>
    <w:p>
      <w:pPr>
        <w:pStyle w:val="5"/>
        <w:numPr>
          <w:ilvl w:val="0"/>
          <w:numId w:val="2"/>
        </w:numPr>
        <w:autoSpaceDE w:val="0"/>
        <w:autoSpaceDN w:val="0"/>
        <w:spacing w:after="0" w:line="360" w:lineRule="auto"/>
        <w:ind w:left="0" w:firstLine="0"/>
        <w:jc w:val="center"/>
        <w:rPr>
          <w:bCs/>
        </w:rPr>
      </w:pPr>
      <w:r>
        <w:rPr>
          <w:bCs/>
        </w:rPr>
        <w:t>雪灾风险评估功能输入接口图</w:t>
      </w:r>
    </w:p>
    <w:p>
      <w:pPr>
        <w:pStyle w:val="5"/>
        <w:numPr>
          <w:ilvl w:val="0"/>
          <w:numId w:val="3"/>
        </w:numPr>
        <w:autoSpaceDE w:val="0"/>
        <w:autoSpaceDN w:val="0"/>
        <w:spacing w:after="0" w:line="360" w:lineRule="auto"/>
        <w:jc w:val="center"/>
      </w:pPr>
      <w:r>
        <w:t>雪灾风险评估功能输入接口表</w:t>
      </w:r>
    </w:p>
    <w:tbl>
      <w:tblPr>
        <w:tblStyle w:val="6"/>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40" w:type="dxa"/>
          <w:bottom w:w="0" w:type="dxa"/>
          <w:right w:w="40" w:type="dxa"/>
        </w:tblCellMar>
      </w:tblPr>
      <w:tblGrid>
        <w:gridCol w:w="2765"/>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40" w:type="dxa"/>
            <w:bottom w:w="0" w:type="dxa"/>
            <w:right w:w="40" w:type="dxa"/>
          </w:tblCellMar>
        </w:tblPrEx>
        <w:trPr>
          <w:cantSplit/>
          <w:trHeight w:val="113" w:hRule="atLeast"/>
          <w:tblHeader/>
          <w:jc w:val="center"/>
        </w:trPr>
        <w:tc>
          <w:tcPr>
            <w:tcW w:w="2765" w:type="dxa"/>
            <w:shd w:val="clear" w:color="auto" w:fill="auto"/>
            <w:vAlign w:val="center"/>
          </w:tcPr>
          <w:p>
            <w:pPr>
              <w:pStyle w:val="5"/>
              <w:spacing w:after="0"/>
              <w:jc w:val="center"/>
              <w:rPr>
                <w:rFonts w:eastAsia="仿宋_GB2312"/>
                <w:bCs/>
                <w:snapToGrid w:val="0"/>
              </w:rPr>
            </w:pPr>
            <w:r>
              <w:rPr>
                <w:rFonts w:eastAsia="仿宋_GB2312"/>
                <w:bCs/>
                <w:snapToGrid w:val="0"/>
              </w:rPr>
              <w:t>接口关系</w:t>
            </w:r>
          </w:p>
        </w:tc>
        <w:tc>
          <w:tcPr>
            <w:tcW w:w="2765" w:type="dxa"/>
          </w:tcPr>
          <w:p>
            <w:pPr>
              <w:pStyle w:val="5"/>
              <w:spacing w:after="0"/>
              <w:jc w:val="center"/>
              <w:rPr>
                <w:rFonts w:eastAsia="仿宋_GB2312"/>
                <w:bCs/>
                <w:snapToGrid w:val="0"/>
              </w:rPr>
            </w:pPr>
            <w:r>
              <w:rPr>
                <w:rFonts w:eastAsia="仿宋_GB2312"/>
                <w:bCs/>
                <w:snapToGrid w:val="0"/>
              </w:rPr>
              <w:t>信息类别</w:t>
            </w:r>
          </w:p>
        </w:tc>
        <w:tc>
          <w:tcPr>
            <w:tcW w:w="2766" w:type="dxa"/>
            <w:shd w:val="clear" w:color="auto" w:fill="auto"/>
            <w:vAlign w:val="center"/>
          </w:tcPr>
          <w:p>
            <w:pPr>
              <w:pStyle w:val="5"/>
              <w:spacing w:after="0"/>
              <w:jc w:val="center"/>
              <w:rPr>
                <w:rFonts w:eastAsia="仿宋_GB2312"/>
                <w:bCs/>
                <w:snapToGrid w:val="0"/>
              </w:rPr>
            </w:pPr>
            <w:r>
              <w:rPr>
                <w:rFonts w:eastAsia="仿宋_GB2312"/>
                <w:bCs/>
                <w:snapToGrid w:val="0"/>
              </w:rPr>
              <w:t>接口内容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40" w:type="dxa"/>
            <w:bottom w:w="0" w:type="dxa"/>
            <w:right w:w="40" w:type="dxa"/>
          </w:tblCellMar>
        </w:tblPrEx>
        <w:trPr>
          <w:cantSplit/>
          <w:trHeight w:val="113" w:hRule="atLeast"/>
          <w:jc w:val="center"/>
        </w:trPr>
        <w:tc>
          <w:tcPr>
            <w:tcW w:w="2765" w:type="dxa"/>
            <w:shd w:val="clear" w:color="auto" w:fill="auto"/>
            <w:vAlign w:val="center"/>
          </w:tcPr>
          <w:p>
            <w:pPr>
              <w:pStyle w:val="5"/>
              <w:spacing w:after="0"/>
              <w:jc w:val="center"/>
              <w:rPr>
                <w:rFonts w:eastAsia="仿宋_GB2312"/>
                <w:bCs/>
                <w:snapToGrid w:val="0"/>
              </w:rPr>
            </w:pPr>
            <w:r>
              <w:rPr>
                <w:rFonts w:eastAsia="仿宋_GB2312"/>
                <w:bCs/>
                <w:snapToGrid w:val="0"/>
              </w:rPr>
              <w:t>IT02</w:t>
            </w:r>
          </w:p>
        </w:tc>
        <w:tc>
          <w:tcPr>
            <w:tcW w:w="2765" w:type="dxa"/>
          </w:tcPr>
          <w:p>
            <w:pPr>
              <w:pStyle w:val="5"/>
              <w:spacing w:after="0"/>
              <w:jc w:val="center"/>
              <w:rPr>
                <w:rFonts w:eastAsia="仿宋_GB2312"/>
                <w:bCs/>
                <w:snapToGrid w:val="0"/>
              </w:rPr>
            </w:pPr>
            <w:r>
              <w:rPr>
                <w:rFonts w:eastAsia="仿宋_GB2312"/>
                <w:bCs/>
                <w:snapToGrid w:val="0"/>
              </w:rPr>
              <w:t>数据流</w:t>
            </w:r>
          </w:p>
        </w:tc>
        <w:tc>
          <w:tcPr>
            <w:tcW w:w="2766" w:type="dxa"/>
            <w:shd w:val="clear" w:color="auto" w:fill="auto"/>
            <w:vAlign w:val="center"/>
          </w:tcPr>
          <w:p>
            <w:pPr>
              <w:pStyle w:val="5"/>
              <w:spacing w:after="0"/>
              <w:jc w:val="center"/>
              <w:rPr>
                <w:rFonts w:eastAsia="仿宋_GB2312"/>
                <w:bCs/>
                <w:snapToGrid w:val="0"/>
              </w:rPr>
            </w:pPr>
            <w:r>
              <w:rPr>
                <w:rFonts w:eastAsia="仿宋_GB2312"/>
                <w:bCs/>
                <w:snapToGrid w:val="0"/>
              </w:rPr>
              <w:t>积雪深度数据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40" w:type="dxa"/>
            <w:bottom w:w="0" w:type="dxa"/>
            <w:right w:w="40" w:type="dxa"/>
          </w:tblCellMar>
        </w:tblPrEx>
        <w:trPr>
          <w:cantSplit/>
          <w:trHeight w:val="113" w:hRule="atLeast"/>
          <w:jc w:val="center"/>
        </w:trPr>
        <w:tc>
          <w:tcPr>
            <w:tcW w:w="2765" w:type="dxa"/>
            <w:shd w:val="clear" w:color="auto" w:fill="auto"/>
            <w:vAlign w:val="center"/>
          </w:tcPr>
          <w:p>
            <w:pPr>
              <w:pStyle w:val="5"/>
              <w:spacing w:after="0"/>
              <w:jc w:val="center"/>
              <w:rPr>
                <w:rFonts w:eastAsia="仿宋_GB2312"/>
                <w:bCs/>
                <w:snapToGrid w:val="0"/>
              </w:rPr>
            </w:pPr>
            <w:r>
              <w:rPr>
                <w:rFonts w:eastAsia="仿宋_GB2312"/>
                <w:bCs/>
                <w:snapToGrid w:val="0"/>
              </w:rPr>
              <w:t>IT03</w:t>
            </w:r>
          </w:p>
        </w:tc>
        <w:tc>
          <w:tcPr>
            <w:tcW w:w="2765" w:type="dxa"/>
          </w:tcPr>
          <w:p>
            <w:pPr>
              <w:pStyle w:val="5"/>
              <w:spacing w:after="0"/>
              <w:jc w:val="center"/>
              <w:rPr>
                <w:rFonts w:eastAsia="仿宋_GB2312"/>
                <w:bCs/>
                <w:snapToGrid w:val="0"/>
              </w:rPr>
            </w:pPr>
            <w:r>
              <w:rPr>
                <w:rFonts w:eastAsia="仿宋_GB2312"/>
                <w:bCs/>
                <w:snapToGrid w:val="0"/>
              </w:rPr>
              <w:t>数据流</w:t>
            </w:r>
          </w:p>
        </w:tc>
        <w:tc>
          <w:tcPr>
            <w:tcW w:w="2766" w:type="dxa"/>
            <w:shd w:val="clear" w:color="auto" w:fill="auto"/>
            <w:vAlign w:val="center"/>
          </w:tcPr>
          <w:p>
            <w:pPr>
              <w:pStyle w:val="5"/>
              <w:spacing w:after="0"/>
              <w:jc w:val="center"/>
              <w:rPr>
                <w:rFonts w:eastAsia="仿宋_GB2312"/>
                <w:bCs/>
                <w:snapToGrid w:val="0"/>
              </w:rPr>
            </w:pPr>
            <w:r>
              <w:rPr>
                <w:rFonts w:eastAsia="仿宋_GB2312"/>
                <w:bCs/>
                <w:snapToGrid w:val="0"/>
              </w:rPr>
              <w:t>积雪分布范围数据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40" w:type="dxa"/>
            <w:bottom w:w="0" w:type="dxa"/>
            <w:right w:w="40" w:type="dxa"/>
          </w:tblCellMar>
        </w:tblPrEx>
        <w:trPr>
          <w:cantSplit/>
          <w:trHeight w:val="113" w:hRule="atLeast"/>
          <w:jc w:val="center"/>
        </w:trPr>
        <w:tc>
          <w:tcPr>
            <w:tcW w:w="2765" w:type="dxa"/>
            <w:shd w:val="clear" w:color="auto" w:fill="auto"/>
            <w:vAlign w:val="center"/>
          </w:tcPr>
          <w:p>
            <w:pPr>
              <w:pStyle w:val="5"/>
              <w:spacing w:after="0"/>
              <w:jc w:val="center"/>
              <w:rPr>
                <w:rFonts w:eastAsia="仿宋_GB2312"/>
                <w:bCs/>
                <w:snapToGrid w:val="0"/>
              </w:rPr>
            </w:pPr>
            <w:r>
              <w:rPr>
                <w:rFonts w:eastAsia="仿宋_GB2312"/>
                <w:bCs/>
                <w:snapToGrid w:val="0"/>
              </w:rPr>
              <w:t>IT04</w:t>
            </w:r>
          </w:p>
        </w:tc>
        <w:tc>
          <w:tcPr>
            <w:tcW w:w="2765" w:type="dxa"/>
          </w:tcPr>
          <w:p>
            <w:pPr>
              <w:pStyle w:val="5"/>
              <w:spacing w:after="0"/>
              <w:jc w:val="center"/>
              <w:rPr>
                <w:rFonts w:eastAsia="仿宋_GB2312"/>
                <w:bCs/>
                <w:snapToGrid w:val="0"/>
              </w:rPr>
            </w:pPr>
            <w:r>
              <w:rPr>
                <w:rFonts w:eastAsia="仿宋_GB2312"/>
                <w:bCs/>
                <w:snapToGrid w:val="0"/>
              </w:rPr>
              <w:t>数据流</w:t>
            </w:r>
          </w:p>
        </w:tc>
        <w:tc>
          <w:tcPr>
            <w:tcW w:w="2766" w:type="dxa"/>
            <w:shd w:val="clear" w:color="auto" w:fill="auto"/>
            <w:vAlign w:val="center"/>
          </w:tcPr>
          <w:p>
            <w:pPr>
              <w:pStyle w:val="5"/>
              <w:spacing w:after="0"/>
              <w:jc w:val="center"/>
              <w:rPr>
                <w:rFonts w:eastAsia="仿宋_GB2312"/>
                <w:bCs/>
                <w:snapToGrid w:val="0"/>
              </w:rPr>
            </w:pPr>
            <w:r>
              <w:rPr>
                <w:rFonts w:eastAsia="仿宋_GB2312"/>
                <w:bCs/>
                <w:snapToGrid w:val="0"/>
              </w:rPr>
              <w:t>积雪高度分布图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40" w:type="dxa"/>
            <w:bottom w:w="0" w:type="dxa"/>
            <w:right w:w="40" w:type="dxa"/>
          </w:tblCellMar>
        </w:tblPrEx>
        <w:trPr>
          <w:cantSplit/>
          <w:trHeight w:val="113" w:hRule="atLeast"/>
          <w:jc w:val="center"/>
        </w:trPr>
        <w:tc>
          <w:tcPr>
            <w:tcW w:w="2765" w:type="dxa"/>
            <w:shd w:val="clear" w:color="auto" w:fill="auto"/>
            <w:vAlign w:val="center"/>
          </w:tcPr>
          <w:p>
            <w:pPr>
              <w:pStyle w:val="5"/>
              <w:spacing w:after="0"/>
              <w:jc w:val="center"/>
              <w:rPr>
                <w:rFonts w:eastAsia="仿宋_GB2312"/>
                <w:bCs/>
                <w:snapToGrid w:val="0"/>
              </w:rPr>
            </w:pPr>
            <w:r>
              <w:rPr>
                <w:rFonts w:eastAsia="仿宋_GB2312"/>
                <w:bCs/>
                <w:snapToGrid w:val="0"/>
              </w:rPr>
              <w:t>IT05</w:t>
            </w:r>
          </w:p>
        </w:tc>
        <w:tc>
          <w:tcPr>
            <w:tcW w:w="2765" w:type="dxa"/>
          </w:tcPr>
          <w:p>
            <w:pPr>
              <w:pStyle w:val="5"/>
              <w:spacing w:after="0"/>
              <w:jc w:val="center"/>
              <w:rPr>
                <w:rFonts w:eastAsia="仿宋_GB2312"/>
                <w:bCs/>
                <w:snapToGrid w:val="0"/>
              </w:rPr>
            </w:pPr>
            <w:r>
              <w:rPr>
                <w:rFonts w:eastAsia="仿宋_GB2312"/>
                <w:bCs/>
                <w:snapToGrid w:val="0"/>
              </w:rPr>
              <w:t>数据流</w:t>
            </w:r>
          </w:p>
        </w:tc>
        <w:tc>
          <w:tcPr>
            <w:tcW w:w="2766" w:type="dxa"/>
            <w:shd w:val="clear" w:color="auto" w:fill="auto"/>
            <w:vAlign w:val="center"/>
          </w:tcPr>
          <w:p>
            <w:pPr>
              <w:pStyle w:val="5"/>
              <w:spacing w:after="0"/>
              <w:jc w:val="center"/>
              <w:rPr>
                <w:rFonts w:eastAsia="仿宋_GB2312"/>
                <w:bCs/>
                <w:snapToGrid w:val="0"/>
              </w:rPr>
            </w:pPr>
            <w:r>
              <w:rPr>
                <w:rFonts w:eastAsia="仿宋_GB2312"/>
                <w:bCs/>
                <w:snapToGrid w:val="0"/>
              </w:rPr>
              <w:t>牲畜分布数据表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40" w:type="dxa"/>
            <w:bottom w:w="0" w:type="dxa"/>
            <w:right w:w="40" w:type="dxa"/>
          </w:tblCellMar>
        </w:tblPrEx>
        <w:trPr>
          <w:cantSplit/>
          <w:trHeight w:val="113" w:hRule="atLeast"/>
          <w:jc w:val="center"/>
        </w:trPr>
        <w:tc>
          <w:tcPr>
            <w:tcW w:w="2765" w:type="dxa"/>
            <w:shd w:val="clear" w:color="auto" w:fill="auto"/>
            <w:vAlign w:val="center"/>
          </w:tcPr>
          <w:p>
            <w:pPr>
              <w:pStyle w:val="5"/>
              <w:spacing w:after="0"/>
              <w:jc w:val="center"/>
              <w:rPr>
                <w:rFonts w:eastAsia="仿宋_GB2312"/>
                <w:bCs/>
                <w:snapToGrid w:val="0"/>
              </w:rPr>
            </w:pPr>
            <w:r>
              <w:rPr>
                <w:rFonts w:eastAsia="仿宋_GB2312"/>
                <w:bCs/>
                <w:snapToGrid w:val="0"/>
              </w:rPr>
              <w:t>IT06</w:t>
            </w:r>
          </w:p>
        </w:tc>
        <w:tc>
          <w:tcPr>
            <w:tcW w:w="2765" w:type="dxa"/>
          </w:tcPr>
          <w:p>
            <w:pPr>
              <w:pStyle w:val="5"/>
              <w:spacing w:after="0"/>
              <w:jc w:val="center"/>
              <w:rPr>
                <w:rFonts w:eastAsia="仿宋_GB2312"/>
                <w:bCs/>
                <w:snapToGrid w:val="0"/>
              </w:rPr>
            </w:pPr>
            <w:r>
              <w:rPr>
                <w:rFonts w:eastAsia="仿宋_GB2312"/>
                <w:bCs/>
                <w:snapToGrid w:val="0"/>
              </w:rPr>
              <w:t>数据流</w:t>
            </w:r>
          </w:p>
        </w:tc>
        <w:tc>
          <w:tcPr>
            <w:tcW w:w="2766" w:type="dxa"/>
            <w:shd w:val="clear" w:color="auto" w:fill="auto"/>
            <w:vAlign w:val="center"/>
          </w:tcPr>
          <w:p>
            <w:pPr>
              <w:pStyle w:val="5"/>
              <w:spacing w:after="0"/>
              <w:jc w:val="center"/>
              <w:rPr>
                <w:rFonts w:eastAsia="仿宋_GB2312"/>
                <w:bCs/>
                <w:snapToGrid w:val="0"/>
              </w:rPr>
            </w:pPr>
            <w:r>
              <w:rPr>
                <w:rFonts w:eastAsia="仿宋_GB2312"/>
                <w:bCs/>
                <w:snapToGrid w:val="0"/>
              </w:rPr>
              <w:t>GDP分布数据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40" w:type="dxa"/>
            <w:bottom w:w="0" w:type="dxa"/>
            <w:right w:w="40" w:type="dxa"/>
          </w:tblCellMar>
        </w:tblPrEx>
        <w:trPr>
          <w:cantSplit/>
          <w:trHeight w:val="113" w:hRule="atLeast"/>
          <w:jc w:val="center"/>
        </w:trPr>
        <w:tc>
          <w:tcPr>
            <w:tcW w:w="2765" w:type="dxa"/>
            <w:shd w:val="clear" w:color="auto" w:fill="auto"/>
            <w:vAlign w:val="center"/>
          </w:tcPr>
          <w:p>
            <w:pPr>
              <w:pStyle w:val="5"/>
              <w:spacing w:after="0"/>
              <w:jc w:val="center"/>
              <w:rPr>
                <w:rFonts w:eastAsia="仿宋_GB2312"/>
                <w:bCs/>
                <w:snapToGrid w:val="0"/>
              </w:rPr>
            </w:pPr>
            <w:r>
              <w:rPr>
                <w:rFonts w:eastAsia="仿宋_GB2312"/>
                <w:bCs/>
                <w:snapToGrid w:val="0"/>
              </w:rPr>
              <w:t>IT07</w:t>
            </w:r>
          </w:p>
        </w:tc>
        <w:tc>
          <w:tcPr>
            <w:tcW w:w="2765" w:type="dxa"/>
          </w:tcPr>
          <w:p>
            <w:pPr>
              <w:pStyle w:val="5"/>
              <w:spacing w:after="0"/>
              <w:jc w:val="center"/>
              <w:rPr>
                <w:rFonts w:eastAsia="仿宋_GB2312"/>
                <w:bCs/>
                <w:snapToGrid w:val="0"/>
              </w:rPr>
            </w:pPr>
            <w:r>
              <w:rPr>
                <w:rFonts w:eastAsia="仿宋_GB2312"/>
                <w:bCs/>
                <w:snapToGrid w:val="0"/>
              </w:rPr>
              <w:t>数据流</w:t>
            </w:r>
          </w:p>
        </w:tc>
        <w:tc>
          <w:tcPr>
            <w:tcW w:w="2766" w:type="dxa"/>
            <w:shd w:val="clear" w:color="auto" w:fill="auto"/>
            <w:vAlign w:val="center"/>
          </w:tcPr>
          <w:p>
            <w:pPr>
              <w:pStyle w:val="5"/>
              <w:spacing w:after="0"/>
              <w:jc w:val="center"/>
              <w:rPr>
                <w:rFonts w:eastAsia="仿宋_GB2312"/>
                <w:bCs/>
                <w:snapToGrid w:val="0"/>
              </w:rPr>
            </w:pPr>
            <w:r>
              <w:rPr>
                <w:rFonts w:eastAsia="仿宋_GB2312"/>
                <w:bCs/>
                <w:snapToGrid w:val="0"/>
              </w:rPr>
              <w:t>蓄畜结构数据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40" w:type="dxa"/>
            <w:bottom w:w="0" w:type="dxa"/>
            <w:right w:w="40" w:type="dxa"/>
          </w:tblCellMar>
        </w:tblPrEx>
        <w:trPr>
          <w:cantSplit/>
          <w:trHeight w:val="113" w:hRule="atLeast"/>
          <w:jc w:val="center"/>
        </w:trPr>
        <w:tc>
          <w:tcPr>
            <w:tcW w:w="2765" w:type="dxa"/>
            <w:shd w:val="clear" w:color="auto" w:fill="auto"/>
            <w:vAlign w:val="center"/>
          </w:tcPr>
          <w:p>
            <w:pPr>
              <w:pStyle w:val="5"/>
              <w:spacing w:after="0"/>
              <w:jc w:val="center"/>
              <w:rPr>
                <w:rFonts w:eastAsia="仿宋_GB2312"/>
                <w:bCs/>
                <w:snapToGrid w:val="0"/>
              </w:rPr>
            </w:pPr>
            <w:r>
              <w:rPr>
                <w:rFonts w:eastAsia="仿宋_GB2312"/>
                <w:bCs/>
                <w:snapToGrid w:val="0"/>
              </w:rPr>
              <w:t>IT08</w:t>
            </w:r>
          </w:p>
        </w:tc>
        <w:tc>
          <w:tcPr>
            <w:tcW w:w="2765" w:type="dxa"/>
          </w:tcPr>
          <w:p>
            <w:pPr>
              <w:pStyle w:val="5"/>
              <w:spacing w:after="0"/>
              <w:jc w:val="center"/>
              <w:rPr>
                <w:rFonts w:eastAsia="仿宋_GB2312"/>
                <w:bCs/>
                <w:snapToGrid w:val="0"/>
              </w:rPr>
            </w:pPr>
            <w:r>
              <w:rPr>
                <w:rFonts w:eastAsia="仿宋_GB2312"/>
                <w:bCs/>
                <w:snapToGrid w:val="0"/>
              </w:rPr>
              <w:t>数据流</w:t>
            </w:r>
          </w:p>
        </w:tc>
        <w:tc>
          <w:tcPr>
            <w:tcW w:w="2766" w:type="dxa"/>
            <w:shd w:val="clear" w:color="auto" w:fill="auto"/>
            <w:vAlign w:val="center"/>
          </w:tcPr>
          <w:p>
            <w:pPr>
              <w:pStyle w:val="5"/>
              <w:spacing w:after="0"/>
              <w:jc w:val="center"/>
              <w:rPr>
                <w:rFonts w:eastAsia="仿宋_GB2312"/>
                <w:bCs/>
                <w:snapToGrid w:val="0"/>
              </w:rPr>
            </w:pPr>
            <w:r>
              <w:rPr>
                <w:rFonts w:eastAsia="仿宋_GB2312"/>
                <w:bCs/>
                <w:snapToGrid w:val="0"/>
              </w:rPr>
              <w:t>牧区生物量分布图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40" w:type="dxa"/>
            <w:bottom w:w="0" w:type="dxa"/>
            <w:right w:w="40" w:type="dxa"/>
          </w:tblCellMar>
        </w:tblPrEx>
        <w:trPr>
          <w:cantSplit/>
          <w:trHeight w:val="113" w:hRule="atLeast"/>
          <w:jc w:val="center"/>
        </w:trPr>
        <w:tc>
          <w:tcPr>
            <w:tcW w:w="2765" w:type="dxa"/>
            <w:shd w:val="clear" w:color="auto" w:fill="auto"/>
            <w:vAlign w:val="center"/>
          </w:tcPr>
          <w:p>
            <w:pPr>
              <w:pStyle w:val="5"/>
              <w:spacing w:after="0"/>
              <w:jc w:val="center"/>
              <w:rPr>
                <w:rFonts w:eastAsia="仿宋_GB2312"/>
                <w:bCs/>
                <w:snapToGrid w:val="0"/>
              </w:rPr>
            </w:pPr>
            <w:r>
              <w:rPr>
                <w:rFonts w:eastAsia="仿宋_GB2312"/>
                <w:bCs/>
                <w:snapToGrid w:val="0"/>
              </w:rPr>
              <w:t>IT09</w:t>
            </w:r>
          </w:p>
        </w:tc>
        <w:tc>
          <w:tcPr>
            <w:tcW w:w="2765" w:type="dxa"/>
          </w:tcPr>
          <w:p>
            <w:pPr>
              <w:pStyle w:val="5"/>
              <w:spacing w:after="0"/>
              <w:jc w:val="center"/>
              <w:rPr>
                <w:rFonts w:eastAsia="仿宋_GB2312"/>
                <w:bCs/>
                <w:snapToGrid w:val="0"/>
              </w:rPr>
            </w:pPr>
            <w:r>
              <w:rPr>
                <w:rFonts w:eastAsia="仿宋_GB2312"/>
                <w:bCs/>
                <w:snapToGrid w:val="0"/>
              </w:rPr>
              <w:t>数据流</w:t>
            </w:r>
          </w:p>
        </w:tc>
        <w:tc>
          <w:tcPr>
            <w:tcW w:w="2766" w:type="dxa"/>
            <w:shd w:val="clear" w:color="auto" w:fill="auto"/>
            <w:vAlign w:val="center"/>
          </w:tcPr>
          <w:p>
            <w:pPr>
              <w:pStyle w:val="5"/>
              <w:spacing w:after="0"/>
              <w:jc w:val="center"/>
              <w:rPr>
                <w:rFonts w:eastAsia="仿宋_GB2312"/>
                <w:bCs/>
                <w:snapToGrid w:val="0"/>
              </w:rPr>
            </w:pPr>
            <w:r>
              <w:rPr>
                <w:rFonts w:eastAsia="仿宋_GB2312"/>
                <w:bCs/>
                <w:snapToGrid w:val="0"/>
              </w:rPr>
              <w:t>饲料储备数据</w:t>
            </w:r>
          </w:p>
        </w:tc>
      </w:tr>
    </w:tbl>
    <w:p>
      <w:pPr>
        <w:jc w:val="center"/>
        <w:rPr>
          <w:rFonts w:eastAsiaTheme="minorEastAsia"/>
        </w:rPr>
      </w:pPr>
      <w:bookmarkStart w:id="23" w:name="_Hlk51230741"/>
    </w:p>
    <w:p>
      <w:pPr>
        <w:jc w:val="center"/>
        <w:rPr>
          <w:rFonts w:eastAsiaTheme="minorEastAsia"/>
        </w:rPr>
      </w:pPr>
      <w:r>
        <w:rPr>
          <w:rFonts w:eastAsiaTheme="minorEastAsia"/>
        </w:rPr>
        <w:object>
          <v:shape id="_x0000_i1038" o:spt="75" type="#_x0000_t75" style="height:124pt;width:74.9pt;" o:ole="t" filled="f" o:preferrelative="t" stroked="f" coordsize="21600,21600">
            <v:path/>
            <v:fill on="f" focussize="0,0"/>
            <v:stroke on="f" joinstyle="miter"/>
            <v:imagedata r:id="rId55" cropright="9563f" embosscolor="#FFFFFF" o:title=""/>
            <o:lock v:ext="edit" aspectratio="t"/>
            <w10:wrap type="none"/>
            <w10:anchorlock/>
          </v:shape>
          <o:OLEObject Type="Embed" ProgID="Visio.Drawing.11" ShapeID="_x0000_i1038" DrawAspect="Content" ObjectID="_1468075738" r:id="rId54">
            <o:LockedField>false</o:LockedField>
          </o:OLEObject>
        </w:object>
      </w:r>
    </w:p>
    <w:p>
      <w:pPr>
        <w:pStyle w:val="5"/>
        <w:numPr>
          <w:ilvl w:val="0"/>
          <w:numId w:val="2"/>
        </w:numPr>
        <w:autoSpaceDE w:val="0"/>
        <w:autoSpaceDN w:val="0"/>
        <w:spacing w:after="0" w:line="360" w:lineRule="auto"/>
        <w:ind w:left="0" w:firstLine="0"/>
        <w:jc w:val="center"/>
        <w:rPr>
          <w:bCs/>
        </w:rPr>
      </w:pPr>
      <w:r>
        <w:rPr>
          <w:bCs/>
        </w:rPr>
        <w:t>雪灾风险评估功能输出接口图</w:t>
      </w:r>
    </w:p>
    <w:p>
      <w:pPr>
        <w:pStyle w:val="5"/>
        <w:numPr>
          <w:ilvl w:val="0"/>
          <w:numId w:val="3"/>
        </w:numPr>
        <w:autoSpaceDE w:val="0"/>
        <w:autoSpaceDN w:val="0"/>
        <w:spacing w:after="0" w:line="360" w:lineRule="auto"/>
        <w:jc w:val="center"/>
      </w:pPr>
      <w:r>
        <w:t>雪灾风险评估功能输出接口表</w:t>
      </w:r>
    </w:p>
    <w:tbl>
      <w:tblPr>
        <w:tblStyle w:val="6"/>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40" w:type="dxa"/>
          <w:bottom w:w="0" w:type="dxa"/>
          <w:right w:w="40" w:type="dxa"/>
        </w:tblCellMar>
      </w:tblPr>
      <w:tblGrid>
        <w:gridCol w:w="2765"/>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40" w:type="dxa"/>
            <w:bottom w:w="0" w:type="dxa"/>
            <w:right w:w="40" w:type="dxa"/>
          </w:tblCellMar>
        </w:tblPrEx>
        <w:trPr>
          <w:cantSplit/>
          <w:trHeight w:val="113" w:hRule="atLeast"/>
          <w:tblHeader/>
          <w:jc w:val="center"/>
        </w:trPr>
        <w:tc>
          <w:tcPr>
            <w:tcW w:w="2765" w:type="dxa"/>
            <w:shd w:val="clear" w:color="auto" w:fill="auto"/>
            <w:vAlign w:val="center"/>
          </w:tcPr>
          <w:p>
            <w:pPr>
              <w:pStyle w:val="5"/>
              <w:spacing w:after="0"/>
              <w:jc w:val="center"/>
              <w:rPr>
                <w:bCs/>
                <w:snapToGrid w:val="0"/>
              </w:rPr>
            </w:pPr>
            <w:r>
              <w:rPr>
                <w:bCs/>
                <w:snapToGrid w:val="0"/>
              </w:rPr>
              <w:t>接口关系</w:t>
            </w:r>
          </w:p>
        </w:tc>
        <w:tc>
          <w:tcPr>
            <w:tcW w:w="2765" w:type="dxa"/>
            <w:vAlign w:val="center"/>
          </w:tcPr>
          <w:p>
            <w:pPr>
              <w:pStyle w:val="5"/>
              <w:spacing w:after="0"/>
              <w:jc w:val="center"/>
              <w:rPr>
                <w:bCs/>
                <w:snapToGrid w:val="0"/>
              </w:rPr>
            </w:pPr>
            <w:r>
              <w:rPr>
                <w:bCs/>
                <w:snapToGrid w:val="0"/>
              </w:rPr>
              <w:t>信息类别</w:t>
            </w:r>
          </w:p>
        </w:tc>
        <w:tc>
          <w:tcPr>
            <w:tcW w:w="2766" w:type="dxa"/>
            <w:shd w:val="clear" w:color="auto" w:fill="auto"/>
            <w:vAlign w:val="center"/>
          </w:tcPr>
          <w:p>
            <w:pPr>
              <w:pStyle w:val="5"/>
              <w:spacing w:after="0"/>
              <w:jc w:val="center"/>
              <w:rPr>
                <w:bCs/>
                <w:snapToGrid w:val="0"/>
              </w:rPr>
            </w:pPr>
            <w:r>
              <w:rPr>
                <w:bCs/>
                <w:snapToGrid w:val="0"/>
              </w:rPr>
              <w:t>接口内容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40" w:type="dxa"/>
            <w:bottom w:w="0" w:type="dxa"/>
            <w:right w:w="40" w:type="dxa"/>
          </w:tblCellMar>
        </w:tblPrEx>
        <w:trPr>
          <w:cantSplit/>
          <w:trHeight w:val="113" w:hRule="atLeast"/>
          <w:jc w:val="center"/>
        </w:trPr>
        <w:tc>
          <w:tcPr>
            <w:tcW w:w="2765" w:type="dxa"/>
            <w:shd w:val="clear" w:color="auto" w:fill="auto"/>
            <w:vAlign w:val="center"/>
          </w:tcPr>
          <w:p>
            <w:pPr>
              <w:pStyle w:val="5"/>
              <w:spacing w:after="0"/>
              <w:jc w:val="center"/>
              <w:rPr>
                <w:bCs/>
                <w:snapToGrid w:val="0"/>
              </w:rPr>
            </w:pPr>
            <w:r>
              <w:rPr>
                <w:bCs/>
                <w:snapToGrid w:val="0"/>
              </w:rPr>
              <w:t>IT002</w:t>
            </w:r>
          </w:p>
        </w:tc>
        <w:tc>
          <w:tcPr>
            <w:tcW w:w="2765" w:type="dxa"/>
            <w:vAlign w:val="center"/>
          </w:tcPr>
          <w:p>
            <w:pPr>
              <w:pStyle w:val="5"/>
              <w:spacing w:after="0"/>
              <w:jc w:val="center"/>
              <w:rPr>
                <w:bCs/>
                <w:snapToGrid w:val="0"/>
              </w:rPr>
            </w:pPr>
            <w:r>
              <w:rPr>
                <w:bCs/>
                <w:snapToGrid w:val="0"/>
              </w:rPr>
              <w:t>数据流</w:t>
            </w:r>
          </w:p>
        </w:tc>
        <w:tc>
          <w:tcPr>
            <w:tcW w:w="2766" w:type="dxa"/>
            <w:shd w:val="clear" w:color="auto" w:fill="auto"/>
            <w:vAlign w:val="center"/>
          </w:tcPr>
          <w:p>
            <w:pPr>
              <w:pStyle w:val="5"/>
              <w:spacing w:after="0"/>
              <w:jc w:val="center"/>
              <w:rPr>
                <w:bCs/>
                <w:snapToGrid w:val="0"/>
              </w:rPr>
            </w:pPr>
            <w:r>
              <w:rPr>
                <w:bCs/>
                <w:snapToGrid w:val="0"/>
              </w:rPr>
              <w:t>雪灾风险评估图</w:t>
            </w:r>
          </w:p>
        </w:tc>
      </w:tr>
      <w:bookmarkEnd w:id="23"/>
    </w:tbl>
    <w:p>
      <w:pPr>
        <w:pStyle w:val="5"/>
        <w:spacing w:line="360" w:lineRule="auto"/>
        <w:ind w:firstLine="420" w:firstLineChars="200"/>
      </w:pPr>
    </w:p>
    <w:p>
      <w:pPr>
        <w:pStyle w:val="5"/>
        <w:spacing w:line="360" w:lineRule="auto"/>
        <w:jc w:val="center"/>
      </w:pPr>
      <w:r>
        <w:rPr>
          <w:rFonts w:eastAsiaTheme="minorEastAsia"/>
        </w:rPr>
        <w:drawing>
          <wp:inline distT="0" distB="0" distL="0" distR="0">
            <wp:extent cx="3300095" cy="3133725"/>
            <wp:effectExtent l="0" t="0" r="14605" b="9525"/>
            <wp:docPr id="1261" name="图片 36" descr="C:\Users\Administrator\AppData\Local\Temp\WeChat Files\e41ceab09955e9a1d5b9916f8bea538.png"/>
            <wp:cNvGraphicFramePr/>
            <a:graphic xmlns:a="http://schemas.openxmlformats.org/drawingml/2006/main">
              <a:graphicData uri="http://schemas.openxmlformats.org/drawingml/2006/picture">
                <pic:pic xmlns:pic="http://schemas.openxmlformats.org/drawingml/2006/picture">
                  <pic:nvPicPr>
                    <pic:cNvPr id="1261" name="图片 36" descr="C:\Users\Administrator\AppData\Local\Temp\WeChat Files\e41ceab09955e9a1d5b9916f8bea538.png"/>
                    <pic:cNvPicPr/>
                  </pic:nvPicPr>
                  <pic:blipFill>
                    <a:blip r:embed="rId56" cstate="print"/>
                    <a:srcRect/>
                    <a:stretch>
                      <a:fillRect/>
                    </a:stretch>
                  </pic:blipFill>
                  <pic:spPr>
                    <a:xfrm>
                      <a:off x="0" y="0"/>
                      <a:ext cx="3310402" cy="3143209"/>
                    </a:xfrm>
                    <a:prstGeom prst="rect">
                      <a:avLst/>
                    </a:prstGeom>
                    <a:ln>
                      <a:noFill/>
                    </a:ln>
                  </pic:spPr>
                </pic:pic>
              </a:graphicData>
            </a:graphic>
          </wp:inline>
        </w:drawing>
      </w:r>
    </w:p>
    <w:p>
      <w:pPr>
        <w:pStyle w:val="5"/>
        <w:numPr>
          <w:ilvl w:val="0"/>
          <w:numId w:val="2"/>
        </w:numPr>
        <w:autoSpaceDE w:val="0"/>
        <w:autoSpaceDN w:val="0"/>
        <w:spacing w:after="0" w:line="360" w:lineRule="auto"/>
        <w:ind w:left="0" w:firstLine="0"/>
        <w:jc w:val="center"/>
      </w:pPr>
      <w:r>
        <w:rPr>
          <w:bCs/>
        </w:rPr>
        <w:t>雪灾风险评估功能界面</w:t>
      </w:r>
    </w:p>
    <w:p>
      <w:pPr>
        <w:pStyle w:val="11"/>
      </w:pPr>
      <w:bookmarkStart w:id="24" w:name="_Toc72705943"/>
      <w:r>
        <w:t>（3）草原干旱评估</w:t>
      </w:r>
      <w:bookmarkEnd w:id="24"/>
    </w:p>
    <w:p>
      <w:pPr>
        <w:pStyle w:val="11"/>
      </w:pPr>
      <w:r>
        <w:t>本功能通过建立温度、植被干旱指数与草原干旱程度的对应关系，将草原的干旱程度量化为潮湿、湿润、正常、缺水、干旱五个等级，得到草原干旱等级分布图，以实现对草原干旱程度的评估。</w:t>
      </w:r>
    </w:p>
    <w:p>
      <w:pPr>
        <w:jc w:val="center"/>
        <w:rPr>
          <w:rFonts w:eastAsiaTheme="minorEastAsia"/>
        </w:rPr>
      </w:pPr>
      <w:r>
        <w:rPr>
          <w:rFonts w:eastAsiaTheme="minorEastAsia"/>
        </w:rPr>
        <w:object>
          <v:shape id="_x0000_i1039" o:spt="75" type="#_x0000_t75" style="height:312.95pt;width:198.95pt;" o:ole="t" filled="f" o:preferrelative="t" stroked="f" coordsize="21600,21600">
            <v:path/>
            <v:fill on="f" focussize="0,0"/>
            <v:stroke on="f" joinstyle="miter"/>
            <v:imagedata r:id="rId58" embosscolor="#FFFFFF" o:title=""/>
            <o:lock v:ext="edit" aspectratio="t"/>
            <w10:wrap type="none"/>
            <w10:anchorlock/>
          </v:shape>
          <o:OLEObject Type="Embed" ProgID="Visio.Drawing.11" ShapeID="_x0000_i1039" DrawAspect="Content" ObjectID="_1468075739" r:id="rId57">
            <o:LockedField>false</o:LockedField>
          </o:OLEObject>
        </w:object>
      </w:r>
    </w:p>
    <w:p>
      <w:pPr>
        <w:pStyle w:val="5"/>
        <w:numPr>
          <w:ilvl w:val="0"/>
          <w:numId w:val="2"/>
        </w:numPr>
        <w:autoSpaceDE w:val="0"/>
        <w:autoSpaceDN w:val="0"/>
        <w:spacing w:after="0" w:line="360" w:lineRule="auto"/>
        <w:ind w:left="0" w:firstLine="0"/>
        <w:jc w:val="center"/>
        <w:rPr>
          <w:bCs/>
        </w:rPr>
      </w:pPr>
      <w:r>
        <w:rPr>
          <w:bCs/>
        </w:rPr>
        <w:t>草原干旱评估功能工作流程图</w:t>
      </w:r>
    </w:p>
    <w:p>
      <w:pPr>
        <w:pStyle w:val="11"/>
      </w:pPr>
      <w:bookmarkStart w:id="25" w:name="_Hlk51343857"/>
      <w:r>
        <w:rPr>
          <w:rFonts w:hint="eastAsia" w:ascii="宋体" w:hAnsi="宋体" w:eastAsia="宋体" w:cs="宋体"/>
        </w:rPr>
        <w:t>①</w:t>
      </w:r>
      <w:r>
        <w:t>输入数据：归一化植被指数、地表温度。</w:t>
      </w:r>
    </w:p>
    <w:p>
      <w:pPr>
        <w:pStyle w:val="11"/>
      </w:pPr>
      <w:r>
        <w:rPr>
          <w:rFonts w:hint="eastAsia" w:ascii="宋体" w:hAnsi="宋体" w:eastAsia="宋体" w:cs="宋体"/>
        </w:rPr>
        <w:t>②</w:t>
      </w:r>
      <w:r>
        <w:t>数据预处理：对遥感影像进行辐射校正、大气校正、几何精校正处理。</w:t>
      </w:r>
    </w:p>
    <w:p>
      <w:pPr>
        <w:pStyle w:val="11"/>
      </w:pPr>
      <w:r>
        <w:rPr>
          <w:rFonts w:hint="eastAsia" w:ascii="宋体" w:hAnsi="宋体" w:eastAsia="宋体" w:cs="宋体"/>
        </w:rPr>
        <w:t>③</w:t>
      </w:r>
      <w:r>
        <w:t>土壤含水量反演功能：</w:t>
      </w:r>
      <w:bookmarkStart w:id="26" w:name="_Hlk51343192"/>
      <w:r>
        <w:t>基于土壤含水量反演算法得到，</w:t>
      </w:r>
      <w:bookmarkEnd w:id="26"/>
      <w:r>
        <w:t>基于植被指数（VI）和地表温度（Ts）的二维特征空间获取温度植被干旱指数（TVDI），综合了两个参数特有的生理生态意义，通过地面土壤墒情监测站的实测数据，建立温度植被干旱指数与土壤含水量的线性回归关系，最终得到精度误差允许范围内的土壤墒情反演公式。</w:t>
      </w:r>
    </w:p>
    <w:p>
      <w:pPr>
        <w:pStyle w:val="11"/>
      </w:pPr>
      <w:r>
        <w:rPr>
          <w:rFonts w:hint="eastAsia" w:ascii="宋体" w:hAnsi="宋体" w:eastAsia="宋体" w:cs="宋体"/>
        </w:rPr>
        <w:t>④</w:t>
      </w:r>
      <w:r>
        <w:t>草原干旱评估功能：基于草原干旱评估算法得到，以TVDI作为干旱分</w:t>
      </w:r>
      <w:bookmarkEnd w:id="25"/>
      <w:r>
        <w:t>级指标。</w:t>
      </w:r>
    </w:p>
    <w:p>
      <w:pPr>
        <w:pStyle w:val="11"/>
      </w:pPr>
      <w:r>
        <w:rPr>
          <w:rFonts w:hint="eastAsia" w:ascii="宋体" w:hAnsi="宋体" w:eastAsia="宋体" w:cs="宋体"/>
        </w:rPr>
        <w:t>⑤</w:t>
      </w:r>
      <w:r>
        <w:t>土壤墒情验证：将土壤墒情评估算法输出的草原干旱程度分布图，与同期中国农业信息网上公布的青海地区土壤墒情简报进行比较。</w:t>
      </w:r>
    </w:p>
    <w:p>
      <w:pPr>
        <w:jc w:val="center"/>
      </w:pPr>
      <w:r>
        <w:rPr>
          <w:rFonts w:eastAsiaTheme="minorEastAsia"/>
        </w:rPr>
        <w:drawing>
          <wp:inline distT="0" distB="0" distL="0" distR="0">
            <wp:extent cx="3009900" cy="2595245"/>
            <wp:effectExtent l="0" t="0" r="0" b="14605"/>
            <wp:docPr id="1264" name="图片 72" descr="C:\Users\Administrator\AppData\Local\Temp\WeChat Files\2352bd834b820d07589c473b7e43934.png"/>
            <wp:cNvGraphicFramePr/>
            <a:graphic xmlns:a="http://schemas.openxmlformats.org/drawingml/2006/main">
              <a:graphicData uri="http://schemas.openxmlformats.org/drawingml/2006/picture">
                <pic:pic xmlns:pic="http://schemas.openxmlformats.org/drawingml/2006/picture">
                  <pic:nvPicPr>
                    <pic:cNvPr id="1264" name="图片 72" descr="C:\Users\Administrator\AppData\Local\Temp\WeChat Files\2352bd834b820d07589c473b7e43934.png"/>
                    <pic:cNvPicPr/>
                  </pic:nvPicPr>
                  <pic:blipFill>
                    <a:blip r:embed="rId59" cstate="print"/>
                    <a:srcRect/>
                    <a:stretch>
                      <a:fillRect/>
                    </a:stretch>
                  </pic:blipFill>
                  <pic:spPr>
                    <a:xfrm>
                      <a:off x="0" y="0"/>
                      <a:ext cx="3017305" cy="2601949"/>
                    </a:xfrm>
                    <a:prstGeom prst="rect">
                      <a:avLst/>
                    </a:prstGeom>
                    <a:ln>
                      <a:noFill/>
                    </a:ln>
                  </pic:spPr>
                </pic:pic>
              </a:graphicData>
            </a:graphic>
          </wp:inline>
        </w:drawing>
      </w:r>
    </w:p>
    <w:p>
      <w:pPr>
        <w:pStyle w:val="5"/>
        <w:numPr>
          <w:ilvl w:val="0"/>
          <w:numId w:val="2"/>
        </w:numPr>
        <w:autoSpaceDE w:val="0"/>
        <w:autoSpaceDN w:val="0"/>
        <w:spacing w:after="0" w:line="360" w:lineRule="auto"/>
        <w:ind w:left="0" w:firstLine="0"/>
        <w:jc w:val="center"/>
      </w:pPr>
      <w:r>
        <w:rPr>
          <w:bCs/>
        </w:rPr>
        <w:t>草原干旱功能界面</w:t>
      </w:r>
    </w:p>
    <w:p>
      <w:pPr>
        <w:pStyle w:val="11"/>
      </w:pPr>
      <w:bookmarkStart w:id="27" w:name="_Toc72705944"/>
      <w:r>
        <w:t>（4）草原火灾监测</w:t>
      </w:r>
      <w:bookmarkEnd w:id="27"/>
    </w:p>
    <w:p>
      <w:pPr>
        <w:pStyle w:val="11"/>
      </w:pPr>
      <w:r>
        <w:t>本功能是对牧区草原火灾风险指数进行估算，利用本模型可以得到草原地区火灾危险性的评估结果，并制成草原火灾风险指数分布图，牧场可以依据评估结果有针对性的制定及时合理的火灾防控预案。</w:t>
      </w:r>
    </w:p>
    <w:p>
      <w:pPr>
        <w:jc w:val="center"/>
      </w:pPr>
      <w:r>
        <w:rPr>
          <w:rFonts w:eastAsiaTheme="minorEastAsia"/>
        </w:rPr>
        <w:drawing>
          <wp:inline distT="0" distB="0" distL="0" distR="0">
            <wp:extent cx="4204970" cy="1295400"/>
            <wp:effectExtent l="0" t="0" r="5080" b="0"/>
            <wp:docPr id="1253" name="图片 58"/>
            <wp:cNvGraphicFramePr/>
            <a:graphic xmlns:a="http://schemas.openxmlformats.org/drawingml/2006/main">
              <a:graphicData uri="http://schemas.openxmlformats.org/drawingml/2006/picture">
                <pic:pic xmlns:pic="http://schemas.openxmlformats.org/drawingml/2006/picture">
                  <pic:nvPicPr>
                    <pic:cNvPr id="1253" name="图片 58"/>
                    <pic:cNvPicPr/>
                  </pic:nvPicPr>
                  <pic:blipFill>
                    <a:blip r:embed="rId60" cstate="print"/>
                    <a:srcRect/>
                    <a:stretch>
                      <a:fillRect/>
                    </a:stretch>
                  </pic:blipFill>
                  <pic:spPr>
                    <a:xfrm>
                      <a:off x="0" y="0"/>
                      <a:ext cx="4249928" cy="1309151"/>
                    </a:xfrm>
                    <a:prstGeom prst="rect">
                      <a:avLst/>
                    </a:prstGeom>
                  </pic:spPr>
                </pic:pic>
              </a:graphicData>
            </a:graphic>
          </wp:inline>
        </w:drawing>
      </w:r>
    </w:p>
    <w:p>
      <w:pPr>
        <w:pStyle w:val="5"/>
        <w:numPr>
          <w:ilvl w:val="0"/>
          <w:numId w:val="2"/>
        </w:numPr>
        <w:autoSpaceDE w:val="0"/>
        <w:autoSpaceDN w:val="0"/>
        <w:spacing w:after="0" w:line="360" w:lineRule="auto"/>
        <w:ind w:left="0" w:firstLine="0"/>
        <w:jc w:val="center"/>
        <w:rPr>
          <w:bCs/>
        </w:rPr>
      </w:pPr>
      <w:r>
        <w:rPr>
          <w:bCs/>
        </w:rPr>
        <w:t>草原火灾风险评估功能工作流程图</w:t>
      </w:r>
    </w:p>
    <w:p>
      <w:pPr>
        <w:pStyle w:val="11"/>
      </w:pPr>
      <w:r>
        <w:rPr>
          <w:rFonts w:hint="eastAsia" w:ascii="宋体" w:hAnsi="宋体" w:eastAsia="宋体" w:cs="宋体"/>
        </w:rPr>
        <w:t>①</w:t>
      </w:r>
      <w:r>
        <w:t>输入数据：归一化植被指数、地表温度、植被覆盖度、降雨指数、草原分布指数。</w:t>
      </w:r>
    </w:p>
    <w:p>
      <w:pPr>
        <w:pStyle w:val="11"/>
      </w:pPr>
      <w:r>
        <w:rPr>
          <w:rFonts w:hint="eastAsia" w:ascii="宋体" w:hAnsi="宋体" w:eastAsia="宋体" w:cs="宋体"/>
        </w:rPr>
        <w:t>②</w:t>
      </w:r>
      <w:r>
        <w:t>草原火灾风险评估模型：本模型是在草原火灾风险评估算法的基础上发展而来的，利用实时提供的数据来计算草原火险风险系数，根据计算结果判断各地区各时间段发生草原火灾的可能性以及各地区各时间段草原火灾发生后的危险程度，利用层次分析法来建立枯草期的草原火灾风险等级算法。</w:t>
      </w:r>
    </w:p>
    <w:p>
      <w:pPr>
        <w:jc w:val="center"/>
        <w:rPr>
          <w:rFonts w:eastAsiaTheme="minorEastAsia"/>
        </w:rPr>
      </w:pPr>
      <w:r>
        <w:rPr>
          <w:rFonts w:eastAsiaTheme="minorEastAsia"/>
        </w:rPr>
        <w:drawing>
          <wp:inline distT="0" distB="0" distL="0" distR="0">
            <wp:extent cx="2719070" cy="914400"/>
            <wp:effectExtent l="0" t="0" r="5080" b="0"/>
            <wp:docPr id="1097" name="图片 9"/>
            <wp:cNvGraphicFramePr/>
            <a:graphic xmlns:a="http://schemas.openxmlformats.org/drawingml/2006/main">
              <a:graphicData uri="http://schemas.openxmlformats.org/drawingml/2006/picture">
                <pic:pic xmlns:pic="http://schemas.openxmlformats.org/drawingml/2006/picture">
                  <pic:nvPicPr>
                    <pic:cNvPr id="1097" name="图片 9"/>
                    <pic:cNvPicPr/>
                  </pic:nvPicPr>
                  <pic:blipFill>
                    <a:blip r:embed="rId61" cstate="print"/>
                    <a:srcRect/>
                    <a:stretch>
                      <a:fillRect/>
                    </a:stretch>
                  </pic:blipFill>
                  <pic:spPr>
                    <a:xfrm>
                      <a:off x="0" y="0"/>
                      <a:ext cx="2737208" cy="920392"/>
                    </a:xfrm>
                    <a:prstGeom prst="rect">
                      <a:avLst/>
                    </a:prstGeom>
                  </pic:spPr>
                </pic:pic>
              </a:graphicData>
            </a:graphic>
          </wp:inline>
        </w:drawing>
      </w:r>
    </w:p>
    <w:p>
      <w:pPr>
        <w:pStyle w:val="5"/>
        <w:numPr>
          <w:ilvl w:val="0"/>
          <w:numId w:val="2"/>
        </w:numPr>
        <w:autoSpaceDE w:val="0"/>
        <w:autoSpaceDN w:val="0"/>
        <w:spacing w:after="0" w:line="360" w:lineRule="auto"/>
        <w:ind w:left="0" w:firstLine="0"/>
        <w:jc w:val="center"/>
        <w:rPr>
          <w:bCs/>
        </w:rPr>
      </w:pPr>
      <w:r>
        <w:rPr>
          <w:bCs/>
        </w:rPr>
        <w:t>草原火灾风险评估功能输入接口图</w:t>
      </w:r>
    </w:p>
    <w:p>
      <w:pPr>
        <w:pStyle w:val="5"/>
        <w:numPr>
          <w:ilvl w:val="0"/>
          <w:numId w:val="3"/>
        </w:numPr>
        <w:autoSpaceDE w:val="0"/>
        <w:autoSpaceDN w:val="0"/>
        <w:spacing w:after="0" w:line="360" w:lineRule="auto"/>
        <w:jc w:val="center"/>
      </w:pPr>
      <w:r>
        <w:t>草原火灾风险评估功能输入接口表</w:t>
      </w:r>
    </w:p>
    <w:tbl>
      <w:tblPr>
        <w:tblStyle w:val="6"/>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40" w:type="dxa"/>
          <w:bottom w:w="0" w:type="dxa"/>
          <w:right w:w="40" w:type="dxa"/>
        </w:tblCellMar>
      </w:tblPr>
      <w:tblGrid>
        <w:gridCol w:w="3247"/>
        <w:gridCol w:w="2525"/>
        <w:gridCol w:w="25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40" w:type="dxa"/>
            <w:bottom w:w="0" w:type="dxa"/>
            <w:right w:w="40" w:type="dxa"/>
          </w:tblCellMar>
        </w:tblPrEx>
        <w:trPr>
          <w:cantSplit/>
          <w:trHeight w:val="113" w:hRule="atLeast"/>
          <w:tblHeader/>
          <w:jc w:val="center"/>
        </w:trPr>
        <w:tc>
          <w:tcPr>
            <w:tcW w:w="3247" w:type="dxa"/>
            <w:shd w:val="clear" w:color="auto" w:fill="auto"/>
            <w:vAlign w:val="center"/>
          </w:tcPr>
          <w:p>
            <w:pPr>
              <w:pStyle w:val="5"/>
              <w:spacing w:after="0"/>
              <w:jc w:val="center"/>
              <w:rPr>
                <w:rFonts w:eastAsia="仿宋_GB2312"/>
                <w:b/>
                <w:snapToGrid w:val="0"/>
              </w:rPr>
            </w:pPr>
            <w:r>
              <w:rPr>
                <w:rFonts w:eastAsia="仿宋_GB2312"/>
                <w:b/>
                <w:snapToGrid w:val="0"/>
              </w:rPr>
              <w:t>接口关系</w:t>
            </w:r>
          </w:p>
        </w:tc>
        <w:tc>
          <w:tcPr>
            <w:tcW w:w="2525" w:type="dxa"/>
          </w:tcPr>
          <w:p>
            <w:pPr>
              <w:pStyle w:val="5"/>
              <w:spacing w:after="0"/>
              <w:jc w:val="center"/>
              <w:rPr>
                <w:rFonts w:eastAsia="仿宋_GB2312"/>
                <w:b/>
                <w:snapToGrid w:val="0"/>
              </w:rPr>
            </w:pPr>
            <w:r>
              <w:rPr>
                <w:rFonts w:eastAsia="仿宋_GB2312"/>
                <w:b/>
                <w:snapToGrid w:val="0"/>
              </w:rPr>
              <w:t>信息类别</w:t>
            </w:r>
          </w:p>
        </w:tc>
        <w:tc>
          <w:tcPr>
            <w:tcW w:w="2524" w:type="dxa"/>
            <w:shd w:val="clear" w:color="auto" w:fill="auto"/>
            <w:vAlign w:val="center"/>
          </w:tcPr>
          <w:p>
            <w:pPr>
              <w:pStyle w:val="5"/>
              <w:spacing w:after="0"/>
              <w:jc w:val="center"/>
              <w:rPr>
                <w:rFonts w:eastAsia="仿宋_GB2312"/>
                <w:b/>
                <w:snapToGrid w:val="0"/>
              </w:rPr>
            </w:pPr>
            <w:r>
              <w:rPr>
                <w:rFonts w:eastAsia="仿宋_GB2312"/>
                <w:b/>
                <w:snapToGrid w:val="0"/>
              </w:rPr>
              <w:t>接口内容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40" w:type="dxa"/>
            <w:bottom w:w="0" w:type="dxa"/>
            <w:right w:w="40" w:type="dxa"/>
          </w:tblCellMar>
        </w:tblPrEx>
        <w:trPr>
          <w:cantSplit/>
          <w:trHeight w:val="113" w:hRule="atLeast"/>
          <w:jc w:val="center"/>
        </w:trPr>
        <w:tc>
          <w:tcPr>
            <w:tcW w:w="3247" w:type="dxa"/>
            <w:shd w:val="clear" w:color="auto" w:fill="auto"/>
            <w:vAlign w:val="center"/>
          </w:tcPr>
          <w:p>
            <w:pPr>
              <w:pStyle w:val="5"/>
              <w:spacing w:after="0"/>
              <w:jc w:val="center"/>
              <w:rPr>
                <w:rFonts w:eastAsia="仿宋_GB2312"/>
                <w:bCs/>
                <w:snapToGrid w:val="0"/>
              </w:rPr>
            </w:pPr>
            <w:r>
              <w:rPr>
                <w:rFonts w:eastAsia="仿宋_GB2312"/>
                <w:bCs/>
                <w:snapToGrid w:val="0"/>
              </w:rPr>
              <w:t>IT10</w:t>
            </w:r>
          </w:p>
        </w:tc>
        <w:tc>
          <w:tcPr>
            <w:tcW w:w="2525" w:type="dxa"/>
          </w:tcPr>
          <w:p>
            <w:pPr>
              <w:pStyle w:val="5"/>
              <w:spacing w:after="0"/>
              <w:jc w:val="center"/>
              <w:rPr>
                <w:rFonts w:eastAsia="仿宋_GB2312"/>
                <w:bCs/>
                <w:snapToGrid w:val="0"/>
              </w:rPr>
            </w:pPr>
            <w:r>
              <w:rPr>
                <w:rFonts w:eastAsia="仿宋_GB2312"/>
                <w:bCs/>
                <w:snapToGrid w:val="0"/>
              </w:rPr>
              <w:t>数据流</w:t>
            </w:r>
          </w:p>
        </w:tc>
        <w:tc>
          <w:tcPr>
            <w:tcW w:w="2524" w:type="dxa"/>
            <w:shd w:val="clear" w:color="auto" w:fill="auto"/>
            <w:vAlign w:val="center"/>
          </w:tcPr>
          <w:p>
            <w:pPr>
              <w:pStyle w:val="5"/>
              <w:spacing w:after="0"/>
              <w:jc w:val="center"/>
              <w:rPr>
                <w:rFonts w:eastAsia="仿宋_GB2312"/>
                <w:bCs/>
                <w:snapToGrid w:val="0"/>
              </w:rPr>
            </w:pPr>
            <w:r>
              <w:rPr>
                <w:rFonts w:eastAsia="仿宋_GB2312"/>
                <w:bCs/>
                <w:snapToGrid w:val="0"/>
              </w:rPr>
              <w:t>植被指数值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40" w:type="dxa"/>
            <w:bottom w:w="0" w:type="dxa"/>
            <w:right w:w="40" w:type="dxa"/>
          </w:tblCellMar>
        </w:tblPrEx>
        <w:trPr>
          <w:cantSplit/>
          <w:trHeight w:val="113" w:hRule="atLeast"/>
          <w:jc w:val="center"/>
        </w:trPr>
        <w:tc>
          <w:tcPr>
            <w:tcW w:w="3247" w:type="dxa"/>
            <w:shd w:val="clear" w:color="auto" w:fill="auto"/>
            <w:vAlign w:val="center"/>
          </w:tcPr>
          <w:p>
            <w:pPr>
              <w:pStyle w:val="5"/>
              <w:spacing w:after="0"/>
              <w:jc w:val="center"/>
              <w:rPr>
                <w:rFonts w:eastAsia="仿宋_GB2312"/>
                <w:bCs/>
                <w:snapToGrid w:val="0"/>
              </w:rPr>
            </w:pPr>
            <w:r>
              <w:rPr>
                <w:rFonts w:eastAsia="仿宋_GB2312"/>
                <w:bCs/>
                <w:snapToGrid w:val="0"/>
              </w:rPr>
              <w:t>IT11</w:t>
            </w:r>
          </w:p>
        </w:tc>
        <w:tc>
          <w:tcPr>
            <w:tcW w:w="2525" w:type="dxa"/>
          </w:tcPr>
          <w:p>
            <w:pPr>
              <w:pStyle w:val="5"/>
              <w:spacing w:after="0"/>
              <w:jc w:val="center"/>
              <w:rPr>
                <w:rFonts w:eastAsia="仿宋_GB2312"/>
                <w:bCs/>
                <w:snapToGrid w:val="0"/>
              </w:rPr>
            </w:pPr>
            <w:r>
              <w:rPr>
                <w:rFonts w:eastAsia="仿宋_GB2312"/>
                <w:bCs/>
                <w:snapToGrid w:val="0"/>
              </w:rPr>
              <w:t>数据流</w:t>
            </w:r>
          </w:p>
        </w:tc>
        <w:tc>
          <w:tcPr>
            <w:tcW w:w="2524" w:type="dxa"/>
            <w:shd w:val="clear" w:color="auto" w:fill="auto"/>
            <w:vAlign w:val="center"/>
          </w:tcPr>
          <w:p>
            <w:pPr>
              <w:pStyle w:val="5"/>
              <w:spacing w:after="0"/>
              <w:jc w:val="center"/>
              <w:rPr>
                <w:rFonts w:eastAsia="仿宋_GB2312"/>
                <w:bCs/>
                <w:snapToGrid w:val="0"/>
              </w:rPr>
            </w:pPr>
            <w:r>
              <w:rPr>
                <w:rFonts w:eastAsia="仿宋_GB2312"/>
                <w:bCs/>
                <w:snapToGrid w:val="0"/>
              </w:rPr>
              <w:t>植被覆盖度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40" w:type="dxa"/>
            <w:bottom w:w="0" w:type="dxa"/>
            <w:right w:w="40" w:type="dxa"/>
          </w:tblCellMar>
        </w:tblPrEx>
        <w:trPr>
          <w:cantSplit/>
          <w:trHeight w:val="113" w:hRule="atLeast"/>
          <w:jc w:val="center"/>
        </w:trPr>
        <w:tc>
          <w:tcPr>
            <w:tcW w:w="3247" w:type="dxa"/>
            <w:shd w:val="clear" w:color="auto" w:fill="auto"/>
            <w:vAlign w:val="center"/>
          </w:tcPr>
          <w:p>
            <w:pPr>
              <w:pStyle w:val="5"/>
              <w:spacing w:after="0"/>
              <w:jc w:val="center"/>
              <w:rPr>
                <w:rFonts w:eastAsia="仿宋_GB2312"/>
                <w:bCs/>
                <w:snapToGrid w:val="0"/>
              </w:rPr>
            </w:pPr>
            <w:r>
              <w:rPr>
                <w:rFonts w:eastAsia="仿宋_GB2312"/>
                <w:bCs/>
                <w:snapToGrid w:val="0"/>
              </w:rPr>
              <w:t>IT13</w:t>
            </w:r>
          </w:p>
        </w:tc>
        <w:tc>
          <w:tcPr>
            <w:tcW w:w="2525" w:type="dxa"/>
          </w:tcPr>
          <w:p>
            <w:pPr>
              <w:pStyle w:val="5"/>
              <w:spacing w:after="0"/>
              <w:jc w:val="center"/>
              <w:rPr>
                <w:rFonts w:eastAsia="仿宋_GB2312"/>
                <w:bCs/>
                <w:snapToGrid w:val="0"/>
              </w:rPr>
            </w:pPr>
            <w:r>
              <w:rPr>
                <w:rFonts w:eastAsia="仿宋_GB2312"/>
                <w:bCs/>
                <w:snapToGrid w:val="0"/>
              </w:rPr>
              <w:t>数据流</w:t>
            </w:r>
          </w:p>
        </w:tc>
        <w:tc>
          <w:tcPr>
            <w:tcW w:w="2524" w:type="dxa"/>
            <w:shd w:val="clear" w:color="auto" w:fill="auto"/>
            <w:vAlign w:val="center"/>
          </w:tcPr>
          <w:p>
            <w:pPr>
              <w:pStyle w:val="5"/>
              <w:spacing w:after="0"/>
              <w:jc w:val="center"/>
              <w:rPr>
                <w:rFonts w:eastAsia="仿宋_GB2312"/>
                <w:bCs/>
                <w:snapToGrid w:val="0"/>
              </w:rPr>
            </w:pPr>
            <w:r>
              <w:rPr>
                <w:rFonts w:eastAsia="仿宋_GB2312"/>
                <w:bCs/>
                <w:snapToGrid w:val="0"/>
              </w:rPr>
              <w:t>地表温度数据</w:t>
            </w:r>
          </w:p>
        </w:tc>
      </w:tr>
    </w:tbl>
    <w:p>
      <w:pPr>
        <w:jc w:val="center"/>
        <w:rPr>
          <w:rFonts w:eastAsiaTheme="minorEastAsia"/>
        </w:rPr>
      </w:pPr>
    </w:p>
    <w:p>
      <w:pPr>
        <w:jc w:val="center"/>
        <w:rPr>
          <w:rFonts w:eastAsiaTheme="minorEastAsia"/>
        </w:rPr>
      </w:pPr>
      <w:r>
        <w:rPr>
          <w:rFonts w:eastAsiaTheme="minorEastAsia"/>
        </w:rPr>
        <w:drawing>
          <wp:inline distT="0" distB="0" distL="0" distR="0">
            <wp:extent cx="3905250" cy="1176020"/>
            <wp:effectExtent l="0" t="0" r="0" b="5080"/>
            <wp:docPr id="1098" name="图片 10"/>
            <wp:cNvGraphicFramePr/>
            <a:graphic xmlns:a="http://schemas.openxmlformats.org/drawingml/2006/main">
              <a:graphicData uri="http://schemas.openxmlformats.org/drawingml/2006/picture">
                <pic:pic xmlns:pic="http://schemas.openxmlformats.org/drawingml/2006/picture">
                  <pic:nvPicPr>
                    <pic:cNvPr id="1098" name="图片 10"/>
                    <pic:cNvPicPr/>
                  </pic:nvPicPr>
                  <pic:blipFill>
                    <a:blip r:embed="rId62" cstate="print"/>
                    <a:srcRect/>
                    <a:stretch>
                      <a:fillRect/>
                    </a:stretch>
                  </pic:blipFill>
                  <pic:spPr>
                    <a:xfrm>
                      <a:off x="0" y="0"/>
                      <a:ext cx="3929999" cy="1183793"/>
                    </a:xfrm>
                    <a:prstGeom prst="rect">
                      <a:avLst/>
                    </a:prstGeom>
                  </pic:spPr>
                </pic:pic>
              </a:graphicData>
            </a:graphic>
          </wp:inline>
        </w:drawing>
      </w:r>
    </w:p>
    <w:p>
      <w:pPr>
        <w:pStyle w:val="5"/>
        <w:numPr>
          <w:ilvl w:val="0"/>
          <w:numId w:val="2"/>
        </w:numPr>
        <w:autoSpaceDE w:val="0"/>
        <w:autoSpaceDN w:val="0"/>
        <w:spacing w:after="0" w:line="360" w:lineRule="auto"/>
        <w:ind w:left="0" w:firstLine="0"/>
        <w:jc w:val="center"/>
        <w:rPr>
          <w:bCs/>
        </w:rPr>
      </w:pPr>
      <w:r>
        <w:rPr>
          <w:bCs/>
        </w:rPr>
        <w:t>草原火灾风险评估功能输出接口图</w:t>
      </w:r>
    </w:p>
    <w:p>
      <w:pPr>
        <w:pStyle w:val="5"/>
        <w:numPr>
          <w:ilvl w:val="0"/>
          <w:numId w:val="3"/>
        </w:numPr>
        <w:autoSpaceDE w:val="0"/>
        <w:autoSpaceDN w:val="0"/>
        <w:spacing w:after="0" w:line="360" w:lineRule="auto"/>
        <w:jc w:val="center"/>
      </w:pPr>
      <w:r>
        <w:t>草原火灾风险评估功能输出接口表</w:t>
      </w:r>
    </w:p>
    <w:tbl>
      <w:tblPr>
        <w:tblStyle w:val="6"/>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40" w:type="dxa"/>
          <w:bottom w:w="0" w:type="dxa"/>
          <w:right w:w="40" w:type="dxa"/>
        </w:tblCellMar>
      </w:tblPr>
      <w:tblGrid>
        <w:gridCol w:w="2144"/>
        <w:gridCol w:w="2243"/>
        <w:gridCol w:w="39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40" w:type="dxa"/>
            <w:bottom w:w="0" w:type="dxa"/>
            <w:right w:w="40" w:type="dxa"/>
          </w:tblCellMar>
        </w:tblPrEx>
        <w:trPr>
          <w:cantSplit/>
          <w:trHeight w:val="113" w:hRule="atLeast"/>
          <w:tblHeader/>
          <w:jc w:val="center"/>
        </w:trPr>
        <w:tc>
          <w:tcPr>
            <w:tcW w:w="2144" w:type="dxa"/>
            <w:shd w:val="clear" w:color="auto" w:fill="auto"/>
            <w:vAlign w:val="center"/>
          </w:tcPr>
          <w:p>
            <w:pPr>
              <w:pStyle w:val="5"/>
              <w:spacing w:after="0"/>
              <w:jc w:val="center"/>
              <w:rPr>
                <w:b/>
                <w:snapToGrid w:val="0"/>
              </w:rPr>
            </w:pPr>
            <w:r>
              <w:rPr>
                <w:b/>
                <w:snapToGrid w:val="0"/>
              </w:rPr>
              <w:t>接口关系</w:t>
            </w:r>
          </w:p>
        </w:tc>
        <w:tc>
          <w:tcPr>
            <w:tcW w:w="2243" w:type="dxa"/>
          </w:tcPr>
          <w:p>
            <w:pPr>
              <w:pStyle w:val="5"/>
              <w:spacing w:after="0"/>
              <w:jc w:val="center"/>
              <w:rPr>
                <w:b/>
                <w:snapToGrid w:val="0"/>
              </w:rPr>
            </w:pPr>
            <w:r>
              <w:rPr>
                <w:b/>
                <w:snapToGrid w:val="0"/>
              </w:rPr>
              <w:t>信息类别</w:t>
            </w:r>
          </w:p>
        </w:tc>
        <w:tc>
          <w:tcPr>
            <w:tcW w:w="3909" w:type="dxa"/>
            <w:shd w:val="clear" w:color="auto" w:fill="auto"/>
            <w:vAlign w:val="center"/>
          </w:tcPr>
          <w:p>
            <w:pPr>
              <w:pStyle w:val="5"/>
              <w:spacing w:after="0"/>
              <w:jc w:val="center"/>
              <w:rPr>
                <w:b/>
                <w:snapToGrid w:val="0"/>
              </w:rPr>
            </w:pPr>
            <w:r>
              <w:rPr>
                <w:b/>
                <w:snapToGrid w:val="0"/>
              </w:rPr>
              <w:t>接口内容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40" w:type="dxa"/>
            <w:bottom w:w="0" w:type="dxa"/>
            <w:right w:w="40" w:type="dxa"/>
          </w:tblCellMar>
        </w:tblPrEx>
        <w:trPr>
          <w:cantSplit/>
          <w:trHeight w:val="113" w:hRule="atLeast"/>
          <w:jc w:val="center"/>
        </w:trPr>
        <w:tc>
          <w:tcPr>
            <w:tcW w:w="2144" w:type="dxa"/>
            <w:shd w:val="clear" w:color="auto" w:fill="auto"/>
            <w:vAlign w:val="center"/>
          </w:tcPr>
          <w:p>
            <w:pPr>
              <w:pStyle w:val="5"/>
              <w:spacing w:after="0"/>
              <w:jc w:val="center"/>
              <w:rPr>
                <w:bCs/>
                <w:snapToGrid w:val="0"/>
              </w:rPr>
            </w:pPr>
            <w:r>
              <w:rPr>
                <w:bCs/>
                <w:snapToGrid w:val="0"/>
              </w:rPr>
              <w:t>IT017</w:t>
            </w:r>
          </w:p>
        </w:tc>
        <w:tc>
          <w:tcPr>
            <w:tcW w:w="2243" w:type="dxa"/>
          </w:tcPr>
          <w:p>
            <w:pPr>
              <w:pStyle w:val="5"/>
              <w:spacing w:after="0"/>
              <w:jc w:val="center"/>
              <w:rPr>
                <w:bCs/>
                <w:snapToGrid w:val="0"/>
              </w:rPr>
            </w:pPr>
            <w:r>
              <w:rPr>
                <w:bCs/>
                <w:snapToGrid w:val="0"/>
              </w:rPr>
              <w:t>数据流</w:t>
            </w:r>
          </w:p>
        </w:tc>
        <w:tc>
          <w:tcPr>
            <w:tcW w:w="3909" w:type="dxa"/>
            <w:shd w:val="clear" w:color="auto" w:fill="auto"/>
            <w:vAlign w:val="center"/>
          </w:tcPr>
          <w:p>
            <w:pPr>
              <w:pStyle w:val="5"/>
              <w:spacing w:after="0"/>
              <w:jc w:val="center"/>
              <w:rPr>
                <w:bCs/>
                <w:snapToGrid w:val="0"/>
              </w:rPr>
            </w:pPr>
            <w:r>
              <w:rPr>
                <w:bCs/>
                <w:snapToGrid w:val="0"/>
              </w:rPr>
              <w:t>相对绿度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40" w:type="dxa"/>
            <w:bottom w:w="0" w:type="dxa"/>
            <w:right w:w="40" w:type="dxa"/>
          </w:tblCellMar>
        </w:tblPrEx>
        <w:trPr>
          <w:cantSplit/>
          <w:trHeight w:val="113" w:hRule="atLeast"/>
          <w:jc w:val="center"/>
        </w:trPr>
        <w:tc>
          <w:tcPr>
            <w:tcW w:w="2144" w:type="dxa"/>
            <w:shd w:val="clear" w:color="auto" w:fill="auto"/>
            <w:vAlign w:val="center"/>
          </w:tcPr>
          <w:p>
            <w:pPr>
              <w:pStyle w:val="5"/>
              <w:spacing w:after="0"/>
              <w:jc w:val="center"/>
              <w:rPr>
                <w:bCs/>
                <w:snapToGrid w:val="0"/>
              </w:rPr>
            </w:pPr>
            <w:r>
              <w:rPr>
                <w:bCs/>
                <w:snapToGrid w:val="0"/>
              </w:rPr>
              <w:t>IT018</w:t>
            </w:r>
          </w:p>
        </w:tc>
        <w:tc>
          <w:tcPr>
            <w:tcW w:w="2243" w:type="dxa"/>
          </w:tcPr>
          <w:p>
            <w:pPr>
              <w:pStyle w:val="5"/>
              <w:spacing w:after="0"/>
              <w:jc w:val="center"/>
              <w:rPr>
                <w:bCs/>
                <w:snapToGrid w:val="0"/>
              </w:rPr>
            </w:pPr>
            <w:r>
              <w:rPr>
                <w:bCs/>
                <w:snapToGrid w:val="0"/>
              </w:rPr>
              <w:t>数据流</w:t>
            </w:r>
          </w:p>
        </w:tc>
        <w:tc>
          <w:tcPr>
            <w:tcW w:w="3909" w:type="dxa"/>
            <w:shd w:val="clear" w:color="auto" w:fill="auto"/>
            <w:vAlign w:val="center"/>
          </w:tcPr>
          <w:p>
            <w:pPr>
              <w:pStyle w:val="5"/>
              <w:spacing w:after="0"/>
              <w:jc w:val="center"/>
              <w:rPr>
                <w:bCs/>
                <w:snapToGrid w:val="0"/>
              </w:rPr>
            </w:pPr>
            <w:r>
              <w:rPr>
                <w:bCs/>
                <w:snapToGrid w:val="0"/>
              </w:rPr>
              <w:t>枯草率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40" w:type="dxa"/>
            <w:bottom w:w="0" w:type="dxa"/>
            <w:right w:w="40" w:type="dxa"/>
          </w:tblCellMar>
        </w:tblPrEx>
        <w:trPr>
          <w:cantSplit/>
          <w:trHeight w:val="113" w:hRule="atLeast"/>
          <w:jc w:val="center"/>
        </w:trPr>
        <w:tc>
          <w:tcPr>
            <w:tcW w:w="2144" w:type="dxa"/>
            <w:shd w:val="clear" w:color="auto" w:fill="auto"/>
            <w:vAlign w:val="center"/>
          </w:tcPr>
          <w:p>
            <w:pPr>
              <w:pStyle w:val="5"/>
              <w:spacing w:after="0"/>
              <w:jc w:val="center"/>
              <w:rPr>
                <w:bCs/>
                <w:snapToGrid w:val="0"/>
              </w:rPr>
            </w:pPr>
            <w:r>
              <w:rPr>
                <w:bCs/>
                <w:snapToGrid w:val="0"/>
              </w:rPr>
              <w:t>IT019</w:t>
            </w:r>
          </w:p>
        </w:tc>
        <w:tc>
          <w:tcPr>
            <w:tcW w:w="2243" w:type="dxa"/>
          </w:tcPr>
          <w:p>
            <w:pPr>
              <w:pStyle w:val="5"/>
              <w:spacing w:after="0"/>
              <w:jc w:val="center"/>
              <w:rPr>
                <w:bCs/>
                <w:snapToGrid w:val="0"/>
              </w:rPr>
            </w:pPr>
            <w:r>
              <w:rPr>
                <w:bCs/>
                <w:snapToGrid w:val="0"/>
              </w:rPr>
              <w:t>数据流</w:t>
            </w:r>
          </w:p>
        </w:tc>
        <w:tc>
          <w:tcPr>
            <w:tcW w:w="3909" w:type="dxa"/>
            <w:shd w:val="clear" w:color="auto" w:fill="auto"/>
            <w:vAlign w:val="center"/>
          </w:tcPr>
          <w:p>
            <w:pPr>
              <w:pStyle w:val="5"/>
              <w:spacing w:after="0"/>
              <w:jc w:val="center"/>
              <w:rPr>
                <w:bCs/>
                <w:snapToGrid w:val="0"/>
              </w:rPr>
            </w:pPr>
            <w:r>
              <w:rPr>
                <w:bCs/>
                <w:snapToGrid w:val="0"/>
              </w:rPr>
              <w:t>活可燃物比率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40" w:type="dxa"/>
            <w:bottom w:w="0" w:type="dxa"/>
            <w:right w:w="40" w:type="dxa"/>
          </w:tblCellMar>
        </w:tblPrEx>
        <w:trPr>
          <w:cantSplit/>
          <w:trHeight w:val="113" w:hRule="atLeast"/>
          <w:jc w:val="center"/>
        </w:trPr>
        <w:tc>
          <w:tcPr>
            <w:tcW w:w="2144" w:type="dxa"/>
            <w:shd w:val="clear" w:color="auto" w:fill="auto"/>
            <w:vAlign w:val="center"/>
          </w:tcPr>
          <w:p>
            <w:pPr>
              <w:pStyle w:val="5"/>
              <w:spacing w:after="0"/>
              <w:jc w:val="center"/>
              <w:rPr>
                <w:bCs/>
                <w:snapToGrid w:val="0"/>
              </w:rPr>
            </w:pPr>
            <w:r>
              <w:rPr>
                <w:bCs/>
                <w:snapToGrid w:val="0"/>
              </w:rPr>
              <w:t>IT020</w:t>
            </w:r>
          </w:p>
        </w:tc>
        <w:tc>
          <w:tcPr>
            <w:tcW w:w="2243" w:type="dxa"/>
          </w:tcPr>
          <w:p>
            <w:pPr>
              <w:pStyle w:val="5"/>
              <w:spacing w:after="0"/>
              <w:jc w:val="center"/>
              <w:rPr>
                <w:bCs/>
                <w:snapToGrid w:val="0"/>
              </w:rPr>
            </w:pPr>
            <w:r>
              <w:rPr>
                <w:bCs/>
                <w:snapToGrid w:val="0"/>
              </w:rPr>
              <w:t>数据流</w:t>
            </w:r>
          </w:p>
        </w:tc>
        <w:tc>
          <w:tcPr>
            <w:tcW w:w="3909" w:type="dxa"/>
            <w:shd w:val="clear" w:color="auto" w:fill="auto"/>
            <w:vAlign w:val="center"/>
          </w:tcPr>
          <w:p>
            <w:pPr>
              <w:pStyle w:val="5"/>
              <w:spacing w:after="0"/>
              <w:jc w:val="center"/>
              <w:rPr>
                <w:bCs/>
                <w:snapToGrid w:val="0"/>
              </w:rPr>
            </w:pPr>
            <w:r>
              <w:rPr>
                <w:bCs/>
                <w:snapToGrid w:val="0"/>
              </w:rPr>
              <w:t>草原火灾危险性指数</w:t>
            </w:r>
          </w:p>
        </w:tc>
      </w:tr>
    </w:tbl>
    <w:p>
      <w:pPr>
        <w:pStyle w:val="5"/>
        <w:spacing w:line="360" w:lineRule="auto"/>
        <w:ind w:firstLine="420" w:firstLineChars="200"/>
      </w:pPr>
    </w:p>
    <w:p>
      <w:pPr>
        <w:jc w:val="center"/>
      </w:pPr>
      <w:r>
        <w:rPr>
          <w:rFonts w:eastAsiaTheme="minorEastAsia"/>
        </w:rPr>
        <w:drawing>
          <wp:inline distT="0" distB="0" distL="0" distR="0">
            <wp:extent cx="3566795" cy="4157345"/>
            <wp:effectExtent l="0" t="0" r="14605" b="14605"/>
            <wp:docPr id="1270" name="图片 78"/>
            <wp:cNvGraphicFramePr/>
            <a:graphic xmlns:a="http://schemas.openxmlformats.org/drawingml/2006/main">
              <a:graphicData uri="http://schemas.openxmlformats.org/drawingml/2006/picture">
                <pic:pic xmlns:pic="http://schemas.openxmlformats.org/drawingml/2006/picture">
                  <pic:nvPicPr>
                    <pic:cNvPr id="1270" name="图片 78"/>
                    <pic:cNvPicPr/>
                  </pic:nvPicPr>
                  <pic:blipFill>
                    <a:blip r:embed="rId63" cstate="print"/>
                    <a:srcRect/>
                    <a:stretch>
                      <a:fillRect/>
                    </a:stretch>
                  </pic:blipFill>
                  <pic:spPr>
                    <a:xfrm>
                      <a:off x="0" y="0"/>
                      <a:ext cx="3571766" cy="4163087"/>
                    </a:xfrm>
                    <a:prstGeom prst="rect">
                      <a:avLst/>
                    </a:prstGeom>
                  </pic:spPr>
                </pic:pic>
              </a:graphicData>
            </a:graphic>
          </wp:inline>
        </w:drawing>
      </w:r>
    </w:p>
    <w:p>
      <w:pPr>
        <w:pStyle w:val="5"/>
        <w:numPr>
          <w:ilvl w:val="0"/>
          <w:numId w:val="2"/>
        </w:numPr>
        <w:autoSpaceDE w:val="0"/>
        <w:autoSpaceDN w:val="0"/>
        <w:spacing w:after="0" w:line="360" w:lineRule="auto"/>
        <w:ind w:left="0" w:firstLine="0"/>
        <w:jc w:val="center"/>
        <w:rPr>
          <w:bCs/>
        </w:rPr>
      </w:pPr>
      <w:r>
        <w:rPr>
          <w:bCs/>
        </w:rPr>
        <w:t>草原火灾风险评估功能界面</w:t>
      </w:r>
    </w:p>
    <w:p>
      <w:pPr>
        <w:pStyle w:val="4"/>
      </w:pPr>
      <w:bookmarkStart w:id="28" w:name="_Toc72705945"/>
      <w:r>
        <w:rPr>
          <w:rFonts w:hint="eastAsia"/>
          <w:lang w:eastAsia="zh-CN"/>
        </w:rPr>
        <w:t>1.1</w:t>
      </w:r>
      <w:r>
        <w:t>.3.5生态监测与生态畜牧业专题数据库系统</w:t>
      </w:r>
      <w:bookmarkEnd w:id="28"/>
    </w:p>
    <w:p>
      <w:pPr>
        <w:pStyle w:val="11"/>
      </w:pPr>
      <w:r>
        <w:t>通过数据库集成来实现全省高分遥感数据与草地生态环境数据的统一管理。数据库包括遥感影像数据库、基础地理信息数据库、基础生态环境数据库、行业资料数据库、遥感数据产品数据库和生态环境专题产品数据库。遥感影像数据库主要存储各级各类的遥感影像产品，主要包括高分四号、一、二号卫星数据、MODIS、Landsat 资源系列卫星数据的各级遥感影像；基础地理信息数据库包括多级行政区划、地名、交通、地形地貌、地质地貌等全省基础地理信息数据；基础生态环境数据库包括地形气象观测数据、植被数据、土壤数据、河流与水文水系数据、高寒草地数据、以及光谱数据和解译标志数据等各类草地生态环境相关数据；遥感数据产品库包括直接利用高分卫星遥感及其它多源遥感数据生成的遥感数据产品，例如光谱反射率数据、植被指数、土壤指数、水体指数、地表温度、净辐射、气溶胶光学厚、土地利用/覆盖分类数据等；草地生态专题产品数据库则包括基于遥感数据产品和行业数据生产的高级草地生态环境要素数据，包括草地资源数据、湖泊与湿地数据、人工草地与种植结构、植被覆盖度、叶面积指数、生物量、土壤水分、蒸散发、沙漠化等等的生态环境要素数据。为用户提供入库、查询、更新和月除等常用功能，解决生态畜牧业相关数据信息的智能化管理。</w:t>
      </w:r>
    </w:p>
    <w:p>
      <w:pPr>
        <w:pStyle w:val="11"/>
      </w:pPr>
      <w:r>
        <w:t>本系统以生态健康评价算法为基础进行设计从而实现其功能。该系统通过对各个评价指标设置权重，得到研究区域草原的健康程度，根据评价结果指导牧民放牧，使牧民放牧更加科学合理，从而提高牧区畜牧业的发展。</w:t>
      </w:r>
    </w:p>
    <w:p>
      <w:pPr>
        <w:jc w:val="center"/>
        <w:rPr>
          <w:rFonts w:eastAsiaTheme="minorEastAsia"/>
        </w:rPr>
      </w:pPr>
      <w:r>
        <w:rPr>
          <w:rFonts w:eastAsiaTheme="minorEastAsia"/>
        </w:rPr>
        <w:drawing>
          <wp:inline distT="0" distB="0" distL="0" distR="0">
            <wp:extent cx="3328670" cy="1447800"/>
            <wp:effectExtent l="0" t="0" r="5080" b="0"/>
            <wp:docPr id="1108" name="图片 56"/>
            <wp:cNvGraphicFramePr/>
            <a:graphic xmlns:a="http://schemas.openxmlformats.org/drawingml/2006/main">
              <a:graphicData uri="http://schemas.openxmlformats.org/drawingml/2006/picture">
                <pic:pic xmlns:pic="http://schemas.openxmlformats.org/drawingml/2006/picture">
                  <pic:nvPicPr>
                    <pic:cNvPr id="1108" name="图片 56"/>
                    <pic:cNvPicPr/>
                  </pic:nvPicPr>
                  <pic:blipFill>
                    <a:blip r:embed="rId64" cstate="print"/>
                    <a:srcRect/>
                    <a:stretch>
                      <a:fillRect/>
                    </a:stretch>
                  </pic:blipFill>
                  <pic:spPr>
                    <a:xfrm>
                      <a:off x="0" y="0"/>
                      <a:ext cx="3346562" cy="1455443"/>
                    </a:xfrm>
                    <a:prstGeom prst="rect">
                      <a:avLst/>
                    </a:prstGeom>
                  </pic:spPr>
                </pic:pic>
              </a:graphicData>
            </a:graphic>
          </wp:inline>
        </w:drawing>
      </w:r>
    </w:p>
    <w:p>
      <w:pPr>
        <w:pStyle w:val="5"/>
        <w:numPr>
          <w:ilvl w:val="0"/>
          <w:numId w:val="2"/>
        </w:numPr>
        <w:autoSpaceDE w:val="0"/>
        <w:autoSpaceDN w:val="0"/>
        <w:spacing w:after="0" w:line="360" w:lineRule="auto"/>
        <w:ind w:left="0" w:firstLine="0"/>
        <w:jc w:val="center"/>
        <w:rPr>
          <w:bCs/>
        </w:rPr>
      </w:pPr>
      <w:r>
        <w:rPr>
          <w:bCs/>
        </w:rPr>
        <w:t>生态健康评估功能工作流程图</w:t>
      </w:r>
    </w:p>
    <w:p>
      <w:pPr>
        <w:pStyle w:val="11"/>
      </w:pPr>
      <w:r>
        <w:rPr>
          <w:rFonts w:hint="eastAsia" w:ascii="宋体" w:hAnsi="宋体" w:eastAsia="宋体" w:cs="宋体"/>
        </w:rPr>
        <w:t>①</w:t>
      </w:r>
      <w:r>
        <w:t>输入数据：放牧强度、草原荒漠化等级分布图、草原地上生物量预估分布图、草原干旱等级分布图。</w:t>
      </w:r>
    </w:p>
    <w:p>
      <w:pPr>
        <w:pStyle w:val="11"/>
      </w:pPr>
      <w:r>
        <w:rPr>
          <w:rFonts w:hint="eastAsia" w:ascii="宋体" w:hAnsi="宋体" w:eastAsia="宋体" w:cs="宋体"/>
        </w:rPr>
        <w:t>②</w:t>
      </w:r>
      <w:r>
        <w:t>草原生态健康评估系统：基于草原生态健康评估算法得到，从土壤稳定性、生物完整性以及干扰因素这三个方面进行指标筛选，筛选得到的指标包括：荒漠化程度和草原干旱程度（土壤稳定性）、植被地上生物量（生物完整性）、放牧强度（干扰因素）将草原生态健康状态采用数值的形式表现，实现此目标首先需要获取评价指标数值，然后对筛选的指标进行标准化赋值，通过AHP关系分析以及咨询相关专家得到各指标所占权重最后通过加权运算对草原的健康状态进行定量分级。</w:t>
      </w:r>
    </w:p>
    <w:p>
      <w:pPr>
        <w:jc w:val="center"/>
        <w:rPr>
          <w:rFonts w:eastAsiaTheme="minorEastAsia"/>
        </w:rPr>
      </w:pPr>
      <w:r>
        <w:rPr>
          <w:rFonts w:eastAsiaTheme="minorEastAsia"/>
        </w:rPr>
        <w:drawing>
          <wp:inline distT="0" distB="0" distL="0" distR="0">
            <wp:extent cx="3571875" cy="1152525"/>
            <wp:effectExtent l="0" t="0" r="9525" b="9525"/>
            <wp:docPr id="1109" name="图片 38" descr="/cryptofs/124198/upload_896038411"/>
            <wp:cNvGraphicFramePr/>
            <a:graphic xmlns:a="http://schemas.openxmlformats.org/drawingml/2006/main">
              <a:graphicData uri="http://schemas.openxmlformats.org/drawingml/2006/picture">
                <pic:pic xmlns:pic="http://schemas.openxmlformats.org/drawingml/2006/picture">
                  <pic:nvPicPr>
                    <pic:cNvPr id="1109" name="图片 38" descr="/cryptofs/124198/upload_896038411"/>
                    <pic:cNvPicPr/>
                  </pic:nvPicPr>
                  <pic:blipFill>
                    <a:blip r:embed="rId65" cstate="print"/>
                    <a:srcRect/>
                    <a:stretch>
                      <a:fillRect/>
                    </a:stretch>
                  </pic:blipFill>
                  <pic:spPr>
                    <a:xfrm>
                      <a:off x="0" y="0"/>
                      <a:ext cx="3598054" cy="1160972"/>
                    </a:xfrm>
                    <a:prstGeom prst="rect">
                      <a:avLst/>
                    </a:prstGeom>
                    <a:ln>
                      <a:noFill/>
                    </a:ln>
                  </pic:spPr>
                </pic:pic>
              </a:graphicData>
            </a:graphic>
          </wp:inline>
        </w:drawing>
      </w:r>
    </w:p>
    <w:p>
      <w:pPr>
        <w:pStyle w:val="5"/>
        <w:numPr>
          <w:ilvl w:val="0"/>
          <w:numId w:val="2"/>
        </w:numPr>
        <w:autoSpaceDE w:val="0"/>
        <w:autoSpaceDN w:val="0"/>
        <w:spacing w:after="0" w:line="360" w:lineRule="auto"/>
        <w:ind w:left="0" w:firstLine="0"/>
        <w:jc w:val="center"/>
        <w:rPr>
          <w:bCs/>
        </w:rPr>
      </w:pPr>
      <w:r>
        <w:rPr>
          <w:bCs/>
        </w:rPr>
        <w:t>生态健康评估功能输入接口图</w:t>
      </w:r>
    </w:p>
    <w:p>
      <w:pPr>
        <w:pStyle w:val="5"/>
        <w:numPr>
          <w:ilvl w:val="0"/>
          <w:numId w:val="3"/>
        </w:numPr>
        <w:autoSpaceDE w:val="0"/>
        <w:autoSpaceDN w:val="0"/>
        <w:spacing w:after="0" w:line="360" w:lineRule="auto"/>
        <w:jc w:val="center"/>
      </w:pPr>
      <w:r>
        <w:t>生态健康评估功能输入接口表</w:t>
      </w:r>
    </w:p>
    <w:tbl>
      <w:tblPr>
        <w:tblStyle w:val="6"/>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40" w:type="dxa"/>
          <w:bottom w:w="0" w:type="dxa"/>
          <w:right w:w="40" w:type="dxa"/>
        </w:tblCellMar>
      </w:tblPr>
      <w:tblGrid>
        <w:gridCol w:w="2765"/>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40" w:type="dxa"/>
            <w:bottom w:w="0" w:type="dxa"/>
            <w:right w:w="40" w:type="dxa"/>
          </w:tblCellMar>
        </w:tblPrEx>
        <w:trPr>
          <w:cantSplit/>
          <w:trHeight w:val="113" w:hRule="atLeast"/>
          <w:tblHeader/>
          <w:jc w:val="center"/>
        </w:trPr>
        <w:tc>
          <w:tcPr>
            <w:tcW w:w="2765" w:type="dxa"/>
            <w:shd w:val="clear" w:color="auto" w:fill="auto"/>
            <w:vAlign w:val="center"/>
          </w:tcPr>
          <w:p>
            <w:pPr>
              <w:pStyle w:val="5"/>
              <w:spacing w:after="0"/>
              <w:jc w:val="center"/>
              <w:rPr>
                <w:b/>
                <w:snapToGrid w:val="0"/>
              </w:rPr>
            </w:pPr>
            <w:r>
              <w:rPr>
                <w:b/>
                <w:snapToGrid w:val="0"/>
              </w:rPr>
              <w:t>接口关系</w:t>
            </w:r>
          </w:p>
        </w:tc>
        <w:tc>
          <w:tcPr>
            <w:tcW w:w="2765" w:type="dxa"/>
          </w:tcPr>
          <w:p>
            <w:pPr>
              <w:pStyle w:val="5"/>
              <w:spacing w:after="0"/>
              <w:jc w:val="center"/>
              <w:rPr>
                <w:b/>
                <w:snapToGrid w:val="0"/>
              </w:rPr>
            </w:pPr>
            <w:r>
              <w:rPr>
                <w:b/>
                <w:snapToGrid w:val="0"/>
              </w:rPr>
              <w:t>信息类别</w:t>
            </w:r>
          </w:p>
        </w:tc>
        <w:tc>
          <w:tcPr>
            <w:tcW w:w="2766" w:type="dxa"/>
            <w:shd w:val="clear" w:color="auto" w:fill="auto"/>
            <w:vAlign w:val="center"/>
          </w:tcPr>
          <w:p>
            <w:pPr>
              <w:pStyle w:val="5"/>
              <w:spacing w:after="0"/>
              <w:jc w:val="center"/>
              <w:rPr>
                <w:b/>
                <w:snapToGrid w:val="0"/>
              </w:rPr>
            </w:pPr>
            <w:r>
              <w:rPr>
                <w:b/>
                <w:snapToGrid w:val="0"/>
              </w:rPr>
              <w:t>接口内容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40" w:type="dxa"/>
            <w:bottom w:w="0" w:type="dxa"/>
            <w:right w:w="40" w:type="dxa"/>
          </w:tblCellMar>
        </w:tblPrEx>
        <w:trPr>
          <w:cantSplit/>
          <w:trHeight w:val="113" w:hRule="atLeast"/>
          <w:jc w:val="center"/>
        </w:trPr>
        <w:tc>
          <w:tcPr>
            <w:tcW w:w="2765" w:type="dxa"/>
            <w:shd w:val="clear" w:color="auto" w:fill="auto"/>
            <w:vAlign w:val="center"/>
          </w:tcPr>
          <w:p>
            <w:pPr>
              <w:pStyle w:val="5"/>
              <w:spacing w:after="0"/>
              <w:jc w:val="center"/>
              <w:rPr>
                <w:bCs/>
                <w:snapToGrid w:val="0"/>
              </w:rPr>
            </w:pPr>
            <w:r>
              <w:rPr>
                <w:bCs/>
                <w:snapToGrid w:val="0"/>
              </w:rPr>
              <w:t>IT08</w:t>
            </w:r>
          </w:p>
        </w:tc>
        <w:tc>
          <w:tcPr>
            <w:tcW w:w="2765" w:type="dxa"/>
          </w:tcPr>
          <w:p>
            <w:pPr>
              <w:pStyle w:val="5"/>
              <w:spacing w:after="0"/>
              <w:jc w:val="center"/>
              <w:rPr>
                <w:bCs/>
                <w:snapToGrid w:val="0"/>
              </w:rPr>
            </w:pPr>
            <w:r>
              <w:rPr>
                <w:bCs/>
                <w:snapToGrid w:val="0"/>
              </w:rPr>
              <w:t>数据流</w:t>
            </w:r>
          </w:p>
        </w:tc>
        <w:tc>
          <w:tcPr>
            <w:tcW w:w="2766" w:type="dxa"/>
            <w:shd w:val="clear" w:color="auto" w:fill="auto"/>
            <w:vAlign w:val="center"/>
          </w:tcPr>
          <w:p>
            <w:pPr>
              <w:pStyle w:val="5"/>
              <w:spacing w:after="0"/>
              <w:jc w:val="center"/>
              <w:rPr>
                <w:bCs/>
                <w:snapToGrid w:val="0"/>
              </w:rPr>
            </w:pPr>
            <w:r>
              <w:rPr>
                <w:bCs/>
                <w:snapToGrid w:val="0"/>
              </w:rPr>
              <w:t>植被生物量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40" w:type="dxa"/>
            <w:bottom w:w="0" w:type="dxa"/>
            <w:right w:w="40" w:type="dxa"/>
          </w:tblCellMar>
        </w:tblPrEx>
        <w:trPr>
          <w:cantSplit/>
          <w:trHeight w:val="113" w:hRule="atLeast"/>
          <w:jc w:val="center"/>
        </w:trPr>
        <w:tc>
          <w:tcPr>
            <w:tcW w:w="2765" w:type="dxa"/>
            <w:shd w:val="clear" w:color="auto" w:fill="auto"/>
            <w:vAlign w:val="center"/>
          </w:tcPr>
          <w:p>
            <w:pPr>
              <w:pStyle w:val="5"/>
              <w:spacing w:after="0"/>
              <w:jc w:val="center"/>
              <w:rPr>
                <w:bCs/>
                <w:snapToGrid w:val="0"/>
              </w:rPr>
            </w:pPr>
            <w:r>
              <w:rPr>
                <w:bCs/>
                <w:snapToGrid w:val="0"/>
              </w:rPr>
              <w:t>IT15</w:t>
            </w:r>
          </w:p>
        </w:tc>
        <w:tc>
          <w:tcPr>
            <w:tcW w:w="2765" w:type="dxa"/>
          </w:tcPr>
          <w:p>
            <w:pPr>
              <w:pStyle w:val="5"/>
              <w:spacing w:after="0"/>
              <w:jc w:val="center"/>
              <w:rPr>
                <w:bCs/>
                <w:snapToGrid w:val="0"/>
              </w:rPr>
            </w:pPr>
            <w:r>
              <w:rPr>
                <w:bCs/>
                <w:snapToGrid w:val="0"/>
              </w:rPr>
              <w:t>数据流</w:t>
            </w:r>
          </w:p>
        </w:tc>
        <w:tc>
          <w:tcPr>
            <w:tcW w:w="2766" w:type="dxa"/>
            <w:shd w:val="clear" w:color="auto" w:fill="auto"/>
            <w:vAlign w:val="center"/>
          </w:tcPr>
          <w:p>
            <w:pPr>
              <w:pStyle w:val="5"/>
              <w:spacing w:after="0"/>
              <w:jc w:val="center"/>
              <w:rPr>
                <w:bCs/>
                <w:snapToGrid w:val="0"/>
              </w:rPr>
            </w:pPr>
            <w:r>
              <w:rPr>
                <w:bCs/>
                <w:snapToGrid w:val="0"/>
              </w:rPr>
              <w:t>干旱程度草原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40" w:type="dxa"/>
            <w:bottom w:w="0" w:type="dxa"/>
            <w:right w:w="40" w:type="dxa"/>
          </w:tblCellMar>
        </w:tblPrEx>
        <w:trPr>
          <w:cantSplit/>
          <w:trHeight w:val="113" w:hRule="atLeast"/>
          <w:jc w:val="center"/>
        </w:trPr>
        <w:tc>
          <w:tcPr>
            <w:tcW w:w="2765" w:type="dxa"/>
            <w:shd w:val="clear" w:color="auto" w:fill="auto"/>
            <w:vAlign w:val="center"/>
          </w:tcPr>
          <w:p>
            <w:pPr>
              <w:pStyle w:val="5"/>
              <w:spacing w:after="0"/>
              <w:jc w:val="center"/>
              <w:rPr>
                <w:bCs/>
                <w:snapToGrid w:val="0"/>
              </w:rPr>
            </w:pPr>
            <w:r>
              <w:rPr>
                <w:bCs/>
                <w:snapToGrid w:val="0"/>
              </w:rPr>
              <w:t>IT17</w:t>
            </w:r>
          </w:p>
        </w:tc>
        <w:tc>
          <w:tcPr>
            <w:tcW w:w="2765" w:type="dxa"/>
          </w:tcPr>
          <w:p>
            <w:pPr>
              <w:pStyle w:val="5"/>
              <w:spacing w:after="0"/>
              <w:jc w:val="center"/>
              <w:rPr>
                <w:bCs/>
                <w:snapToGrid w:val="0"/>
              </w:rPr>
            </w:pPr>
            <w:r>
              <w:rPr>
                <w:bCs/>
                <w:snapToGrid w:val="0"/>
              </w:rPr>
              <w:t>数据流</w:t>
            </w:r>
          </w:p>
        </w:tc>
        <w:tc>
          <w:tcPr>
            <w:tcW w:w="2766" w:type="dxa"/>
            <w:shd w:val="clear" w:color="auto" w:fill="auto"/>
            <w:vAlign w:val="center"/>
          </w:tcPr>
          <w:p>
            <w:pPr>
              <w:pStyle w:val="5"/>
              <w:spacing w:after="0"/>
              <w:jc w:val="center"/>
              <w:rPr>
                <w:bCs/>
                <w:snapToGrid w:val="0"/>
              </w:rPr>
            </w:pPr>
            <w:r>
              <w:rPr>
                <w:bCs/>
                <w:snapToGrid w:val="0"/>
              </w:rPr>
              <w:t>荒漠化程度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40" w:type="dxa"/>
            <w:bottom w:w="0" w:type="dxa"/>
            <w:right w:w="40" w:type="dxa"/>
          </w:tblCellMar>
        </w:tblPrEx>
        <w:trPr>
          <w:cantSplit/>
          <w:trHeight w:val="113" w:hRule="atLeast"/>
          <w:jc w:val="center"/>
        </w:trPr>
        <w:tc>
          <w:tcPr>
            <w:tcW w:w="2765" w:type="dxa"/>
            <w:shd w:val="clear" w:color="auto" w:fill="auto"/>
            <w:vAlign w:val="center"/>
          </w:tcPr>
          <w:p>
            <w:pPr>
              <w:pStyle w:val="5"/>
              <w:spacing w:after="0"/>
              <w:jc w:val="center"/>
              <w:rPr>
                <w:bCs/>
                <w:snapToGrid w:val="0"/>
              </w:rPr>
            </w:pPr>
            <w:r>
              <w:rPr>
                <w:bCs/>
                <w:snapToGrid w:val="0"/>
              </w:rPr>
              <w:t>IT18</w:t>
            </w:r>
          </w:p>
        </w:tc>
        <w:tc>
          <w:tcPr>
            <w:tcW w:w="2765" w:type="dxa"/>
          </w:tcPr>
          <w:p>
            <w:pPr>
              <w:pStyle w:val="5"/>
              <w:spacing w:after="0"/>
              <w:jc w:val="center"/>
              <w:rPr>
                <w:bCs/>
                <w:snapToGrid w:val="0"/>
              </w:rPr>
            </w:pPr>
            <w:r>
              <w:rPr>
                <w:bCs/>
                <w:snapToGrid w:val="0"/>
              </w:rPr>
              <w:t>数据流</w:t>
            </w:r>
          </w:p>
        </w:tc>
        <w:tc>
          <w:tcPr>
            <w:tcW w:w="2766" w:type="dxa"/>
            <w:shd w:val="clear" w:color="auto" w:fill="auto"/>
            <w:vAlign w:val="center"/>
          </w:tcPr>
          <w:p>
            <w:pPr>
              <w:pStyle w:val="5"/>
              <w:spacing w:after="0"/>
              <w:jc w:val="center"/>
              <w:rPr>
                <w:bCs/>
                <w:snapToGrid w:val="0"/>
              </w:rPr>
            </w:pPr>
            <w:r>
              <w:rPr>
                <w:bCs/>
                <w:snapToGrid w:val="0"/>
              </w:rPr>
              <w:t>放牧家畜数量统计</w:t>
            </w:r>
          </w:p>
        </w:tc>
      </w:tr>
    </w:tbl>
    <w:p>
      <w:pPr>
        <w:jc w:val="center"/>
        <w:rPr>
          <w:rFonts w:eastAsiaTheme="minorEastAsia"/>
        </w:rPr>
      </w:pPr>
      <w:r>
        <w:rPr>
          <w:rFonts w:eastAsiaTheme="minorEastAsia"/>
        </w:rPr>
        <w:drawing>
          <wp:inline distT="0" distB="0" distL="0" distR="0">
            <wp:extent cx="1285875" cy="1466850"/>
            <wp:effectExtent l="0" t="0" r="9525" b="0"/>
            <wp:docPr id="1110" name="图片 59"/>
            <wp:cNvGraphicFramePr/>
            <a:graphic xmlns:a="http://schemas.openxmlformats.org/drawingml/2006/main">
              <a:graphicData uri="http://schemas.openxmlformats.org/drawingml/2006/picture">
                <pic:pic xmlns:pic="http://schemas.openxmlformats.org/drawingml/2006/picture">
                  <pic:nvPicPr>
                    <pic:cNvPr id="1110" name="图片 59"/>
                    <pic:cNvPicPr/>
                  </pic:nvPicPr>
                  <pic:blipFill>
                    <a:blip r:embed="rId66" cstate="print"/>
                    <a:srcRect/>
                    <a:stretch>
                      <a:fillRect/>
                    </a:stretch>
                  </pic:blipFill>
                  <pic:spPr>
                    <a:xfrm>
                      <a:off x="0" y="0"/>
                      <a:ext cx="1285875" cy="1466850"/>
                    </a:xfrm>
                    <a:prstGeom prst="rect">
                      <a:avLst/>
                    </a:prstGeom>
                  </pic:spPr>
                </pic:pic>
              </a:graphicData>
            </a:graphic>
          </wp:inline>
        </w:drawing>
      </w:r>
    </w:p>
    <w:p>
      <w:pPr>
        <w:pStyle w:val="5"/>
        <w:numPr>
          <w:ilvl w:val="0"/>
          <w:numId w:val="2"/>
        </w:numPr>
        <w:autoSpaceDE w:val="0"/>
        <w:autoSpaceDN w:val="0"/>
        <w:spacing w:after="0" w:line="360" w:lineRule="auto"/>
        <w:ind w:left="0" w:firstLine="0"/>
        <w:jc w:val="center"/>
        <w:rPr>
          <w:bCs/>
        </w:rPr>
      </w:pPr>
      <w:r>
        <w:rPr>
          <w:bCs/>
        </w:rPr>
        <w:t>生态健康评估功能输出接口图</w:t>
      </w:r>
    </w:p>
    <w:p>
      <w:pPr>
        <w:pStyle w:val="5"/>
        <w:numPr>
          <w:ilvl w:val="0"/>
          <w:numId w:val="3"/>
        </w:numPr>
        <w:autoSpaceDE w:val="0"/>
        <w:autoSpaceDN w:val="0"/>
        <w:spacing w:after="0" w:line="360" w:lineRule="auto"/>
        <w:jc w:val="center"/>
      </w:pPr>
      <w:r>
        <w:t>生态健康评估功能输出接口表</w:t>
      </w:r>
    </w:p>
    <w:tbl>
      <w:tblPr>
        <w:tblStyle w:val="6"/>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40" w:type="dxa"/>
          <w:bottom w:w="0" w:type="dxa"/>
          <w:right w:w="40" w:type="dxa"/>
        </w:tblCellMar>
      </w:tblPr>
      <w:tblGrid>
        <w:gridCol w:w="2765"/>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40" w:type="dxa"/>
            <w:bottom w:w="0" w:type="dxa"/>
            <w:right w:w="40" w:type="dxa"/>
          </w:tblCellMar>
        </w:tblPrEx>
        <w:trPr>
          <w:cantSplit/>
          <w:trHeight w:val="113" w:hRule="atLeast"/>
          <w:tblHeader/>
          <w:jc w:val="center"/>
        </w:trPr>
        <w:tc>
          <w:tcPr>
            <w:tcW w:w="2765" w:type="dxa"/>
            <w:shd w:val="clear" w:color="auto" w:fill="auto"/>
            <w:vAlign w:val="center"/>
          </w:tcPr>
          <w:p>
            <w:pPr>
              <w:pStyle w:val="5"/>
              <w:spacing w:after="0"/>
              <w:jc w:val="center"/>
              <w:rPr>
                <w:b/>
                <w:snapToGrid w:val="0"/>
              </w:rPr>
            </w:pPr>
            <w:r>
              <w:rPr>
                <w:b/>
                <w:snapToGrid w:val="0"/>
              </w:rPr>
              <w:t>接口关系</w:t>
            </w:r>
          </w:p>
        </w:tc>
        <w:tc>
          <w:tcPr>
            <w:tcW w:w="2765" w:type="dxa"/>
          </w:tcPr>
          <w:p>
            <w:pPr>
              <w:pStyle w:val="5"/>
              <w:spacing w:after="0"/>
              <w:jc w:val="center"/>
              <w:rPr>
                <w:b/>
                <w:snapToGrid w:val="0"/>
              </w:rPr>
            </w:pPr>
            <w:r>
              <w:rPr>
                <w:b/>
                <w:snapToGrid w:val="0"/>
              </w:rPr>
              <w:t>信息类别</w:t>
            </w:r>
          </w:p>
        </w:tc>
        <w:tc>
          <w:tcPr>
            <w:tcW w:w="2766" w:type="dxa"/>
            <w:shd w:val="clear" w:color="auto" w:fill="auto"/>
            <w:vAlign w:val="center"/>
          </w:tcPr>
          <w:p>
            <w:pPr>
              <w:pStyle w:val="5"/>
              <w:spacing w:after="0"/>
              <w:jc w:val="center"/>
              <w:rPr>
                <w:b/>
                <w:snapToGrid w:val="0"/>
              </w:rPr>
            </w:pPr>
            <w:r>
              <w:rPr>
                <w:b/>
                <w:snapToGrid w:val="0"/>
              </w:rPr>
              <w:t>接口内容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40" w:type="dxa"/>
            <w:bottom w:w="0" w:type="dxa"/>
            <w:right w:w="40" w:type="dxa"/>
          </w:tblCellMar>
        </w:tblPrEx>
        <w:trPr>
          <w:cantSplit/>
          <w:trHeight w:val="113" w:hRule="atLeast"/>
          <w:jc w:val="center"/>
        </w:trPr>
        <w:tc>
          <w:tcPr>
            <w:tcW w:w="2765" w:type="dxa"/>
            <w:shd w:val="clear" w:color="auto" w:fill="auto"/>
            <w:vAlign w:val="center"/>
          </w:tcPr>
          <w:p>
            <w:pPr>
              <w:pStyle w:val="5"/>
              <w:spacing w:after="0"/>
              <w:jc w:val="center"/>
              <w:rPr>
                <w:bCs/>
                <w:snapToGrid w:val="0"/>
              </w:rPr>
            </w:pPr>
            <w:r>
              <w:rPr>
                <w:bCs/>
                <w:snapToGrid w:val="0"/>
              </w:rPr>
              <w:t>IT016</w:t>
            </w:r>
          </w:p>
        </w:tc>
        <w:tc>
          <w:tcPr>
            <w:tcW w:w="2765" w:type="dxa"/>
          </w:tcPr>
          <w:p>
            <w:pPr>
              <w:pStyle w:val="5"/>
              <w:spacing w:after="0"/>
              <w:jc w:val="center"/>
              <w:rPr>
                <w:bCs/>
                <w:snapToGrid w:val="0"/>
              </w:rPr>
            </w:pPr>
            <w:r>
              <w:rPr>
                <w:bCs/>
                <w:snapToGrid w:val="0"/>
              </w:rPr>
              <w:t>数据流</w:t>
            </w:r>
          </w:p>
        </w:tc>
        <w:tc>
          <w:tcPr>
            <w:tcW w:w="2766" w:type="dxa"/>
            <w:shd w:val="clear" w:color="auto" w:fill="auto"/>
            <w:vAlign w:val="center"/>
          </w:tcPr>
          <w:p>
            <w:pPr>
              <w:pStyle w:val="5"/>
              <w:spacing w:after="0"/>
              <w:jc w:val="center"/>
              <w:rPr>
                <w:bCs/>
                <w:snapToGrid w:val="0"/>
              </w:rPr>
            </w:pPr>
            <w:r>
              <w:rPr>
                <w:bCs/>
                <w:snapToGrid w:val="0"/>
              </w:rPr>
              <w:t>生态健康等级分布图</w:t>
            </w:r>
          </w:p>
        </w:tc>
      </w:tr>
    </w:tbl>
    <w:p>
      <w:pPr>
        <w:pStyle w:val="4"/>
      </w:pPr>
      <w:bookmarkStart w:id="29" w:name="_Toc72705946"/>
      <w:r>
        <w:rPr>
          <w:rFonts w:hint="eastAsia"/>
          <w:lang w:eastAsia="zh-CN"/>
        </w:rPr>
        <w:t>1.1</w:t>
      </w:r>
      <w:r>
        <w:t>.3.6草地畜牧业生产管理物联网构建及信息实时采集</w:t>
      </w:r>
    </w:p>
    <w:p>
      <w:pPr>
        <w:pStyle w:val="11"/>
      </w:pPr>
      <w:r>
        <w:t>草地畜牧业生产管理数据的实时获取是信息化工作的基础。以放牧草场、家畜、气候、管理者、生产者为对象，采用草场网格化监测、地面多光谱数据、家畜标识、定位、体重、区域等监测信息的自动化取技术方法，通过物联网系统设计一套完整可运营应用的适应草地畜牧业生产管理的实时获取技术体系，为研究畜牧生产管理过程中草场产量、营养的动态变化规律，包括养殖模式、游牧制度、草地生态保护、草畜平衡、草畜耦合技术的集成与示范提供支撑。</w:t>
      </w:r>
    </w:p>
    <w:p>
      <w:pPr>
        <w:pStyle w:val="11"/>
      </w:pPr>
      <w:r>
        <w:t>（1）高寒草地网格化信息获取技术</w:t>
      </w:r>
    </w:p>
    <w:p>
      <w:pPr>
        <w:pStyle w:val="11"/>
      </w:pPr>
      <w:r>
        <w:t>基于定点信息和卫星信息基础上的网格化信息采集技术，是利用一次成像及分析软件形成的便携式专用装置，由当地草地管护员、科技特派员及项目示范区生产管理人员对天然草地进行网格化划分、并定时定点将草地生长信息通过互联网回传平台，结合项目区生产单位综合信息采集，获得天然草地大面积牧草生长实时数据的回传，实现区域草地牧草生长情况趋势及变化的实时反映，扩大信息采集范围，提升信息获取精准度，创新生产管理信息数据获取方式。</w:t>
      </w:r>
    </w:p>
    <w:p>
      <w:pPr>
        <w:pStyle w:val="11"/>
      </w:pPr>
      <w:r>
        <w:t>（2）草场信息地面定点获取技术</w:t>
      </w:r>
    </w:p>
    <w:p>
      <w:pPr>
        <w:pStyle w:val="11"/>
      </w:pPr>
      <w:r>
        <w:t>利用互联网传输技术，对特定草场及重点区域建立地面牧草自动监测站，按照牧草生长规律定时采集传输牧草区域生长环境的温度、湿度、雨量、风速、风向和大气压6参数，通过地下墒情探测探头，传输土壤墒情信息，以及通过图像分析，实现对牧草覆盖度、牧草产量、牧场土壤墒情及牧草生长环境的6参数的定时采集，结合地面生长量的变化，分析气象因素对牧草生长的影响情况，并通过多元传输系统上传到平台。</w:t>
      </w:r>
    </w:p>
    <w:p>
      <w:pPr>
        <w:pStyle w:val="11"/>
      </w:pPr>
      <w:r>
        <w:t>（3）牧草地面多光谱采集技术</w:t>
      </w:r>
    </w:p>
    <w:p>
      <w:pPr>
        <w:pStyle w:val="11"/>
      </w:pPr>
      <w:r>
        <w:t>利用地面多光谱采集装置，对不同类型草场不同生长期及营养的对应状态进行地面光谱数据的收集及特性分析，以不同波段特定的采集特性，通过运用处理软件对不同波段进行处理,得到各类植被指数，对图像不同波段进行波段计算，从而生成植被指数影像文件；结合中空及高空多光谱数据，在空间上形成相互校正的光谱数据采集体系，实现高空卫星系统对区域可利用草场分类以及牧草生长量的高空光谱数据反演，结合多源数据，建立草场载畜量的数学模型，为草场的划分以及利用提供数据支撑。对项目区的遥感数据进行采集，分析建模，形成了项目区遥感草地覆盖及草产量图。同时，利用光谱数据探索分析对家畜数量载荷的验证。</w:t>
      </w:r>
    </w:p>
    <w:p>
      <w:pPr>
        <w:pStyle w:val="11"/>
      </w:pPr>
      <w:r>
        <w:t>（4）家畜定位及游牧路线分析系统</w:t>
      </w:r>
    </w:p>
    <w:p>
      <w:pPr>
        <w:pStyle w:val="11"/>
      </w:pPr>
      <w:r>
        <w:t>采用卫星定位系统，以放牧群为单位，佩戴定位回传装置，实时监控家畜游牧路线，实现家畜年游牧路线的回归分析，根据畜群数量的变化和草场草情变化，制定合理的、符合生产需求的家畜游牧方案，并结合草地实时信息优化家畜游牧路线。应用多元遥感草地分析数据，结合气象信息，对项目区进行分区分析，制定框架性的载畜量，指导畜牧业生产。</w:t>
      </w:r>
    </w:p>
    <w:p>
      <w:pPr>
        <w:pStyle w:val="11"/>
      </w:pPr>
      <w:r>
        <w:t>（5）草地畜牧业生产管理及重量监测系统</w:t>
      </w:r>
    </w:p>
    <w:p>
      <w:pPr>
        <w:pStyle w:val="11"/>
      </w:pPr>
      <w:r>
        <w:t>构建草地畜牧业生产管理系统及智能称重系统，是掌握家畜群体状况的基础，称重系统配合建设相应的牛羊圈道，可实现对牧场畜群的体重监测。通过定期对畜群的体重进行监测，可实现牛羊生长状况分析，及时调整饲养水平，增加畜牧业效益。长期、海量的牧场畜群重量数据为牧场以及畜牧业各级主管部门正确的管理决策提供依据。家畜个体信息及重量监测数据，应用草地畜牧业生产管理软件，在获取家畜重量信息的基础上，实现记录家畜个体信息和生产信息、日增重情况，通过编辑分群表，开展分群管理，制定家畜重量的生长性能分析报表，实现草畜耦合，形成完善的放牧管理体系。</w:t>
      </w:r>
    </w:p>
    <w:p>
      <w:pPr>
        <w:pStyle w:val="11"/>
      </w:pPr>
      <w:r>
        <w:t>（6）畜牧业生产可视化传输系统</w:t>
      </w:r>
    </w:p>
    <w:p>
      <w:pPr>
        <w:pStyle w:val="11"/>
      </w:pPr>
      <w:r>
        <w:t>青海牧业区草场高差大，面积广、网络信号不稳定，可视化效果差；根据草场自然地理特点和牲畜监测中的通信需求，结合草场监测管理和牲畜监测管理特点，提出适用于青海生态畜牧业需求的无线宽带视频、语音、数据服务骨干网络组网方案，在此基础上，研发适用于生态畜牧监测的低功耗广域物联网组网方案。为生态畜牧业的可视化及电商需求提供基础。</w:t>
      </w:r>
    </w:p>
    <w:p>
      <w:pPr>
        <w:pStyle w:val="11"/>
      </w:pPr>
      <w:r>
        <w:t>（7）高寒草地畜牧业综合生产信息获取技术</w:t>
      </w:r>
    </w:p>
    <w:p>
      <w:pPr>
        <w:pStyle w:val="11"/>
      </w:pPr>
      <w:r>
        <w:t>利用现有行业相关单位形成省、州、县三级生产相关数据获取上传，对项目区生产管理信息进行分级汇总，并进行横向比较、综合对比；项目区内生产信息的变动及时填报，针对出栏率，母羊群、公羊群、产羔、死亡情况及预出售信息等进行统计填报，上报平台。</w:t>
      </w:r>
    </w:p>
    <w:p>
      <w:pPr>
        <w:pStyle w:val="4"/>
      </w:pPr>
      <w:r>
        <w:rPr>
          <w:rFonts w:hint="eastAsia"/>
          <w:lang w:eastAsia="zh-CN"/>
        </w:rPr>
        <w:t>1.1</w:t>
      </w:r>
      <w:r>
        <w:t>.3.7高寒草场多源遥感监测与快速提取分析</w:t>
      </w:r>
    </w:p>
    <w:p>
      <w:pPr>
        <w:pStyle w:val="11"/>
      </w:pPr>
      <w:r>
        <w:t>利用气象、资源卫星、无人机等多源遥感数据，结合地面牧草遥感数据，开展高寒草地遥感监测信息快速提取技术研究，实现草地空间分布、草地利用现状、草地载畜量现状等监测信息的快速分析提取，并将监测结果通过大数据平台进行推送服务。</w:t>
      </w:r>
    </w:p>
    <w:p>
      <w:pPr>
        <w:pStyle w:val="11"/>
      </w:pPr>
      <w:r>
        <w:t>（1）高寒草地资源信息遥感快速监测研究</w:t>
      </w:r>
    </w:p>
    <w:p>
      <w:pPr>
        <w:pStyle w:val="11"/>
      </w:pPr>
      <w:r>
        <w:rPr>
          <w:rFonts w:hint="eastAsia" w:ascii="宋体" w:hAnsi="宋体" w:eastAsia="宋体" w:cs="宋体"/>
        </w:rPr>
        <w:t>①</w:t>
      </w:r>
      <w:r>
        <w:t>基于多源遥感数据的高寒草地资源快速动态监测研究</w:t>
      </w:r>
    </w:p>
    <w:p>
      <w:pPr>
        <w:pStyle w:val="11"/>
      </w:pPr>
      <w:r>
        <w:t>研究基于CPU-GPU高性能异构处理集群，综合利用国产高分遥感数据、无人机、地面多光谱技术以及地面调查信息进行高寒草地资源的动态监测，使之能够快速的提供各类草地面积信息及草原类型分布图，并根据不同时期草原面积数据的分析, 获得草原面积动态变化数据，从而建立快速完善的草地资源监管系统,为青海省海北州政府部门和各牧场生产单位及时掌握草地资源现状，草地变化情况及其发展趋势提供技术支持。</w:t>
      </w:r>
    </w:p>
    <w:p>
      <w:pPr>
        <w:pStyle w:val="11"/>
      </w:pPr>
      <w:r>
        <w:rPr>
          <w:rFonts w:hint="eastAsia" w:ascii="宋体" w:hAnsi="宋体" w:eastAsia="宋体" w:cs="宋体"/>
        </w:rPr>
        <w:t>②</w:t>
      </w:r>
      <w:r>
        <w:t>基于高性能处理的草地生产力多源遥感快速监测研究</w:t>
      </w:r>
      <w:r>
        <w:tab/>
      </w:r>
    </w:p>
    <w:p>
      <w:pPr>
        <w:pStyle w:val="11"/>
      </w:pPr>
      <w:r>
        <w:t>针对高寒草地畜牧生产管理过程中，草畜动态分布状况，结合多源遥感数据，无人机数据，地面物联网传感器数据以及草场网格人工实测数据，研究构建高寒草地载畜量遥感估测模型，快速提取草地产量的空间格局分布，评估草地承载能力，预测草地载蓄量，为季节草场空间分布格局优化制定不同区域牧场优化养殖模式、适宜放牧制度，实现牧场放牧和饲养管理决策优化控制。</w:t>
      </w:r>
    </w:p>
    <w:p>
      <w:pPr>
        <w:pStyle w:val="11"/>
      </w:pPr>
      <w:r>
        <w:t>（2）无人机低空遥感快速监测研究</w:t>
      </w:r>
    </w:p>
    <w:p>
      <w:pPr>
        <w:pStyle w:val="11"/>
      </w:pPr>
      <w:r>
        <w:t>针对各种草地类型，选取若干重点区域（例如2km×2km），利用无人机超低空遥感获取超高分辨率的真彩色和近红外影像，通过数字摄影测量处理获取测区高精度的数字高程模型、真彩色和近红外正射影像。按照空间坐标对真彩色和近红外正射影像进行波段合成，得到RGBN四波段正射影像。利用RGBN四波段正射影像，可以计算牧草盖度、高度、植被指数等信息，同时还可以提取鼠洞等灾害信息。</w:t>
      </w:r>
    </w:p>
    <w:p>
      <w:pPr>
        <w:pStyle w:val="11"/>
      </w:pPr>
      <w:r>
        <w:t>在每年的6-9月间，定期对典型草地类型的典型区域开展无人机遥感监测，可实时监测牧草长势，评价鼠害、虫害的程度，为决策分析提供重要的参考数据。</w:t>
      </w:r>
    </w:p>
    <w:p>
      <w:pPr>
        <w:pStyle w:val="11"/>
      </w:pPr>
      <w:r>
        <w:t>（3）牧场气象监测与预报</w:t>
      </w:r>
    </w:p>
    <w:p>
      <w:pPr>
        <w:pStyle w:val="11"/>
      </w:pPr>
      <w:r>
        <w:t>利用地面气象监测台站、气象雷达、气象卫星等技术手段，全面获取牧场各种气象观测数据，经过数据分析与处理，可提供高时空分辨率的气象格点成果和气象预报成果，提供牧草长势、灾情、土壤水分、天气气候条件等畜牧气象监测和预测信息，并分析气象条件利弊，提出趋利避害的畜牧生产管理建议，并可提供灾害性天气预报与预警信息。</w:t>
      </w:r>
    </w:p>
    <w:p>
      <w:pPr>
        <w:pStyle w:val="4"/>
      </w:pPr>
      <w:r>
        <w:rPr>
          <w:rFonts w:hint="eastAsia"/>
          <w:lang w:eastAsia="zh-CN"/>
        </w:rPr>
        <w:t>1.1</w:t>
      </w:r>
      <w:r>
        <w:t>.3.8生态畜牧业生产管理大数据平台</w:t>
      </w:r>
      <w:bookmarkEnd w:id="29"/>
    </w:p>
    <w:p>
      <w:pPr>
        <w:pStyle w:val="11"/>
      </w:pPr>
      <w:r>
        <w:t>制定数据汇聚的技术标准与规范。对生态畜牧业数据资源进行融合处理，建立生态畜牧业分析大数据资源库。建立可支持多种数据展现方式、界面友好、操作便捷的大数据服务平台。</w:t>
      </w:r>
    </w:p>
    <w:p>
      <w:pPr>
        <w:pStyle w:val="11"/>
      </w:pPr>
      <w:r>
        <w:t>（1）多源空间数据处理与融合</w:t>
      </w:r>
    </w:p>
    <w:p>
      <w:pPr>
        <w:pStyle w:val="11"/>
      </w:pPr>
      <w:r>
        <w:t>生态畜牧业大数据平台处理与融合技术标准，对不同系统、不同结构、不同数学基准的畜牧业数据进行整合处理。以大数据为基础并结合北斗定位技术获取的实时牲畜定位或历史轨迹数据为用户提供背景底图、各类专题地图叠加、空间分析、数据挖掘及生态畜牧业生产管理过程的决策支持等功能服务。</w:t>
      </w:r>
    </w:p>
    <w:p>
      <w:pPr>
        <w:pStyle w:val="11"/>
      </w:pPr>
      <w:r>
        <w:t>（2）多源数据库构建</w:t>
      </w:r>
    </w:p>
    <w:p>
      <w:pPr>
        <w:pStyle w:val="11"/>
      </w:pPr>
      <w:r>
        <w:t>数据库构建包括基础地理信息库、草场信息库、畜牧信息库、牧群位置信息库、人员信息库、气象数据库及专家知识库，通过多源数据的处理与融合等技术为生态畜牧业提供地图发布与服务，信息查询、统计与专题图制作，畜群实时位置监控与轨迹查询，禁牧区进入报警，生态畜牧业气象服务，服务信息发布及用户管理等功能，建立游牧制度、信息化养殖模式及示范。</w:t>
      </w:r>
    </w:p>
    <w:p>
      <w:pPr>
        <w:pStyle w:val="11"/>
      </w:pPr>
      <w:r>
        <w:t>（3）建立生态畜牧业生产管理大数据平台</w:t>
      </w:r>
    </w:p>
    <w:p>
      <w:pPr>
        <w:pStyle w:val="11"/>
      </w:pPr>
      <w:r>
        <w:t>采用北斗卫星定位终端获取牲畜定位信息、通过野外实时数据采集设备、草场监测站等获取草场信息，通过通信网（互联网、传感器网）上传至服务器，与多源遥感监测数据、畜牧业专题数据、基础地理信息等经过空间数据处理与融合建立生态畜牧业大数据库；以数据库为支撑，实现草畜耦合、牲畜补饲、划区轮牧、游牧方案优化、草场生态保护等服务。</w:t>
      </w:r>
    </w:p>
    <w:p>
      <w:pPr>
        <w:pStyle w:val="4"/>
      </w:pPr>
      <w:bookmarkStart w:id="30" w:name="_Toc72705947"/>
      <w:r>
        <w:rPr>
          <w:rFonts w:hint="eastAsia"/>
          <w:lang w:eastAsia="zh-CN"/>
        </w:rPr>
        <w:t>1.1</w:t>
      </w:r>
      <w:bookmarkStart w:id="31" w:name="_GoBack"/>
      <w:bookmarkEnd w:id="31"/>
      <w:r>
        <w:t>.3.9生态畜牧业生产管理决策分析与服务系统</w:t>
      </w:r>
      <w:bookmarkEnd w:id="30"/>
    </w:p>
    <w:p>
      <w:pPr>
        <w:pStyle w:val="11"/>
      </w:pPr>
      <w:r>
        <w:t>以面向政府、企业、农牧民等服务对象，分析典型决策支持功能需求，重点开展放牧补饲方案、项目示范区划区轮牧、游牧方案优化及监控等大数据驱动的生态畜牧业管理决策模型，形成以生产服务、草场监测为主的决策支持方案。</w:t>
      </w:r>
    </w:p>
    <w:p>
      <w:pPr>
        <w:pStyle w:val="11"/>
      </w:pPr>
      <w:r>
        <w:t>（1）建立一个3</w:t>
      </w:r>
      <w:r>
        <w:rPr>
          <w:rFonts w:eastAsia="宋体"/>
        </w:rPr>
        <w:t>*</w:t>
      </w:r>
      <w:r>
        <w:t>3</w:t>
      </w:r>
      <w:r>
        <w:rPr>
          <w:rFonts w:eastAsia="宋体"/>
        </w:rPr>
        <w:t>*</w:t>
      </w:r>
      <w:r>
        <w:t>3的生态畜牧业决策支持功能需求体系</w:t>
      </w:r>
    </w:p>
    <w:p>
      <w:pPr>
        <w:pStyle w:val="11"/>
      </w:pPr>
      <w:r>
        <w:t>面向政府、企业、农牧民等三类服务对象，综合考虑草地、牲畜及设备等三个要素，以畜牧业产业结构升级和产业创新能力提升为发展目标，针对生态治理、草产业发展、健康养殖、有机畜产品加工等生态畜牧业全产业链条，发掘服务对象差异化管理决策功能需求，构建包含数据监测、态势分析及预测预警等三类功能的决策支持功能需求体系。</w:t>
      </w:r>
    </w:p>
    <w:p>
      <w:pPr>
        <w:pStyle w:val="11"/>
      </w:pPr>
      <w:r>
        <w:t>（2）构建大数据驱动的生态畜牧业管理决策模型与方案</w:t>
      </w:r>
    </w:p>
    <w:p>
      <w:pPr>
        <w:pStyle w:val="11"/>
      </w:pPr>
      <w:r>
        <w:t>重点开展放牧补饲方案优化、划区轮牧方案优化、游牧方案优化及监控等大数据驱动的生态畜牧业管理决策模型的研究，具体研究内容为放牧补饲方案优化；划区轮牧方案优化；游牧方案优化。</w:t>
      </w:r>
    </w:p>
    <w:p>
      <w:pPr>
        <w:pStyle w:val="11"/>
      </w:pPr>
      <w:r>
        <w:t>（3）建立面向典型用户的市场信息类的决策支持服务方案</w:t>
      </w:r>
    </w:p>
    <w:p>
      <w:pPr>
        <w:pStyle w:val="11"/>
      </w:pPr>
      <w:r>
        <w:t>面向典型用户的市场信息类的决策支持需求，构建相应的决策支持模型，提供多元化、个性化的服务方案。构建决策支持模型对市场信息进行监测，同时对畜产品产量、畜产品价格走势等进行预测。提供市场信息推送服务，定期给农牧民推送相关畜产品交易量、交易价格等数据。</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仿宋">
    <w:panose1 w:val="02010609060101010101"/>
    <w:charset w:val="86"/>
    <w:family w:val="modern"/>
    <w:pitch w:val="default"/>
    <w:sig w:usb0="800002BF" w:usb1="38CF7CFA" w:usb2="00000016" w:usb3="00000000" w:csb0="00040001" w:csb1="00000000"/>
  </w:font>
  <w:font w:name="仿宋_GB2312">
    <w:altName w:val="仿宋"/>
    <w:panose1 w:val="02010609030101010101"/>
    <w:charset w:val="86"/>
    <w:family w:val="modern"/>
    <w:pitch w:val="default"/>
    <w:sig w:usb0="00000000" w:usb1="00000000" w:usb2="0000001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8CA0A84"/>
    <w:multiLevelType w:val="multilevel"/>
    <w:tmpl w:val="28CA0A84"/>
    <w:lvl w:ilvl="0" w:tentative="0">
      <w:start w:val="1"/>
      <w:numFmt w:val="decimal"/>
      <w:lvlText w:val="图 %1 "/>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41604B12"/>
    <w:multiLevelType w:val="multilevel"/>
    <w:tmpl w:val="41604B12"/>
    <w:lvl w:ilvl="0" w:tentative="0">
      <w:start w:val="1"/>
      <w:numFmt w:val="decimal"/>
      <w:pStyle w:val="8"/>
      <w:lvlText w:val="%1"/>
      <w:lvlJc w:val="left"/>
      <w:pPr>
        <w:ind w:left="425" w:hanging="425"/>
      </w:pPr>
      <w:rPr>
        <w:rFonts w:hint="eastAsia"/>
      </w:rPr>
    </w:lvl>
    <w:lvl w:ilvl="1" w:tentative="0">
      <w:start w:val="1"/>
      <w:numFmt w:val="decimal"/>
      <w:pStyle w:val="10"/>
      <w:lvlText w:val="%1.%2"/>
      <w:lvlJc w:val="left"/>
      <w:pPr>
        <w:ind w:left="992" w:hanging="567"/>
      </w:pPr>
      <w:rPr>
        <w:rFonts w:hint="eastAsia"/>
        <w:b w:val="0"/>
        <w:bCs/>
      </w:rPr>
    </w:lvl>
    <w:lvl w:ilvl="2" w:tentative="0">
      <w:start w:val="1"/>
      <w:numFmt w:val="decimal"/>
      <w:lvlText w:val="%1.%2.%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2">
    <w:nsid w:val="426726F4"/>
    <w:multiLevelType w:val="multilevel"/>
    <w:tmpl w:val="426726F4"/>
    <w:lvl w:ilvl="0" w:tentative="0">
      <w:start w:val="1"/>
      <w:numFmt w:val="decimal"/>
      <w:lvlText w:val="表%1 "/>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FE90155"/>
    <w:rsid w:val="0FE901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3"/>
    <w:basedOn w:val="1"/>
    <w:next w:val="1"/>
    <w:unhideWhenUsed/>
    <w:qFormat/>
    <w:uiPriority w:val="0"/>
    <w:pPr>
      <w:keepNext/>
      <w:keepLines/>
      <w:spacing w:line="360" w:lineRule="auto"/>
      <w:outlineLvl w:val="2"/>
    </w:pPr>
    <w:rPr>
      <w:rFonts w:ascii="仿宋" w:hAnsi="仿宋" w:eastAsia="仿宋"/>
      <w:b/>
      <w:bCs/>
      <w:sz w:val="28"/>
      <w:szCs w:val="28"/>
    </w:rPr>
  </w:style>
  <w:style w:type="paragraph" w:styleId="4">
    <w:name w:val="heading 4"/>
    <w:basedOn w:val="1"/>
    <w:next w:val="1"/>
    <w:unhideWhenUsed/>
    <w:qFormat/>
    <w:uiPriority w:val="0"/>
    <w:pPr>
      <w:keepNext/>
      <w:keepLines/>
      <w:spacing w:line="360" w:lineRule="auto"/>
      <w:contextualSpacing/>
      <w:outlineLvl w:val="3"/>
    </w:pPr>
    <w:rPr>
      <w:rFonts w:eastAsia="仿宋" w:cstheme="majorBidi"/>
      <w:b/>
      <w:bCs/>
      <w:sz w:val="24"/>
      <w:szCs w:val="28"/>
    </w:rPr>
  </w:style>
  <w:style w:type="character" w:default="1" w:styleId="7">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5">
    <w:name w:val="Body Text"/>
    <w:basedOn w:val="1"/>
    <w:unhideWhenUsed/>
    <w:qFormat/>
    <w:uiPriority w:val="0"/>
    <w:pPr>
      <w:spacing w:after="120"/>
    </w:pPr>
  </w:style>
  <w:style w:type="paragraph" w:customStyle="1" w:styleId="8">
    <w:name w:val="一级标题"/>
    <w:basedOn w:val="9"/>
    <w:qFormat/>
    <w:uiPriority w:val="0"/>
    <w:pPr>
      <w:numPr>
        <w:ilvl w:val="0"/>
        <w:numId w:val="1"/>
      </w:numPr>
      <w:spacing w:before="0" w:after="0"/>
    </w:pPr>
  </w:style>
  <w:style w:type="paragraph" w:customStyle="1" w:styleId="9">
    <w:name w:val="标题1"/>
    <w:basedOn w:val="2"/>
    <w:qFormat/>
    <w:uiPriority w:val="0"/>
    <w:pPr>
      <w:widowControl/>
      <w:spacing w:before="240" w:after="240" w:line="360" w:lineRule="auto"/>
      <w:ind w:left="425" w:hanging="425"/>
      <w:jc w:val="left"/>
    </w:pPr>
    <w:rPr>
      <w:rFonts w:ascii="仿宋" w:hAnsi="仿宋" w:eastAsia="仿宋"/>
      <w:sz w:val="32"/>
    </w:rPr>
  </w:style>
  <w:style w:type="paragraph" w:customStyle="1" w:styleId="10">
    <w:name w:val="二级标题"/>
    <w:basedOn w:val="1"/>
    <w:qFormat/>
    <w:uiPriority w:val="0"/>
    <w:pPr>
      <w:numPr>
        <w:ilvl w:val="1"/>
        <w:numId w:val="1"/>
      </w:numPr>
      <w:spacing w:line="360" w:lineRule="auto"/>
      <w:ind w:left="0" w:firstLine="0"/>
      <w:outlineLvl w:val="1"/>
    </w:pPr>
    <w:rPr>
      <w:rFonts w:eastAsia="仿宋"/>
      <w:sz w:val="30"/>
    </w:rPr>
  </w:style>
  <w:style w:type="paragraph" w:customStyle="1" w:styleId="11">
    <w:name w:val="正文仿宋_GB2312"/>
    <w:basedOn w:val="1"/>
    <w:qFormat/>
    <w:uiPriority w:val="0"/>
    <w:pPr>
      <w:widowControl/>
      <w:spacing w:line="360" w:lineRule="auto"/>
      <w:ind w:firstLine="380" w:firstLineChars="200"/>
    </w:pPr>
    <w:rPr>
      <w:rFonts w:eastAsia="仿宋_GB2312" w:cs="微软雅黑"/>
      <w:spacing w:val="-10"/>
      <w:kern w:val="28"/>
      <w:szCs w:val="18"/>
      <w:shd w:val="clear" w:color="auto" w:fill="FFFFFF"/>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9" Type="http://schemas.openxmlformats.org/officeDocument/2006/relationships/fontTable" Target="fontTable.xml"/><Relationship Id="rId68" Type="http://schemas.openxmlformats.org/officeDocument/2006/relationships/numbering" Target="numbering.xml"/><Relationship Id="rId67" Type="http://schemas.openxmlformats.org/officeDocument/2006/relationships/customXml" Target="../customXml/item1.xml"/><Relationship Id="rId66" Type="http://schemas.openxmlformats.org/officeDocument/2006/relationships/image" Target="media/image48.png"/><Relationship Id="rId65" Type="http://schemas.openxmlformats.org/officeDocument/2006/relationships/image" Target="media/image47.png"/><Relationship Id="rId64" Type="http://schemas.openxmlformats.org/officeDocument/2006/relationships/image" Target="media/image46.png"/><Relationship Id="rId63" Type="http://schemas.openxmlformats.org/officeDocument/2006/relationships/image" Target="media/image45.png"/><Relationship Id="rId62" Type="http://schemas.openxmlformats.org/officeDocument/2006/relationships/image" Target="media/image44.png"/><Relationship Id="rId61" Type="http://schemas.openxmlformats.org/officeDocument/2006/relationships/image" Target="media/image43.png"/><Relationship Id="rId60" Type="http://schemas.openxmlformats.org/officeDocument/2006/relationships/image" Target="media/image42.png"/><Relationship Id="rId6" Type="http://schemas.openxmlformats.org/officeDocument/2006/relationships/image" Target="media/image3.jpeg"/><Relationship Id="rId59" Type="http://schemas.openxmlformats.org/officeDocument/2006/relationships/image" Target="media/image41.png"/><Relationship Id="rId58" Type="http://schemas.openxmlformats.org/officeDocument/2006/relationships/image" Target="media/image40.emf"/><Relationship Id="rId57" Type="http://schemas.openxmlformats.org/officeDocument/2006/relationships/oleObject" Target="embeddings/oleObject15.bin"/><Relationship Id="rId56" Type="http://schemas.openxmlformats.org/officeDocument/2006/relationships/image" Target="media/image39.png"/><Relationship Id="rId55" Type="http://schemas.openxmlformats.org/officeDocument/2006/relationships/image" Target="media/image38.emf"/><Relationship Id="rId54" Type="http://schemas.openxmlformats.org/officeDocument/2006/relationships/oleObject" Target="embeddings/oleObject14.bin"/><Relationship Id="rId53" Type="http://schemas.openxmlformats.org/officeDocument/2006/relationships/image" Target="media/image37.emf"/><Relationship Id="rId52" Type="http://schemas.openxmlformats.org/officeDocument/2006/relationships/oleObject" Target="embeddings/oleObject13.bin"/><Relationship Id="rId51" Type="http://schemas.openxmlformats.org/officeDocument/2006/relationships/image" Target="media/image36.emf"/><Relationship Id="rId50" Type="http://schemas.openxmlformats.org/officeDocument/2006/relationships/oleObject" Target="embeddings/oleObject12.bin"/><Relationship Id="rId5" Type="http://schemas.openxmlformats.org/officeDocument/2006/relationships/image" Target="media/image2.jpeg"/><Relationship Id="rId49" Type="http://schemas.openxmlformats.org/officeDocument/2006/relationships/image" Target="media/image35.png"/><Relationship Id="rId48" Type="http://schemas.openxmlformats.org/officeDocument/2006/relationships/image" Target="media/image34.emf"/><Relationship Id="rId47" Type="http://schemas.openxmlformats.org/officeDocument/2006/relationships/oleObject" Target="embeddings/oleObject11.bin"/><Relationship Id="rId46" Type="http://schemas.openxmlformats.org/officeDocument/2006/relationships/image" Target="media/image33.emf"/><Relationship Id="rId45" Type="http://schemas.openxmlformats.org/officeDocument/2006/relationships/oleObject" Target="embeddings/oleObject10.bin"/><Relationship Id="rId44" Type="http://schemas.openxmlformats.org/officeDocument/2006/relationships/image" Target="media/image32.emf"/><Relationship Id="rId43" Type="http://schemas.openxmlformats.org/officeDocument/2006/relationships/oleObject" Target="embeddings/oleObject9.bin"/><Relationship Id="rId42" Type="http://schemas.openxmlformats.org/officeDocument/2006/relationships/image" Target="media/image31.emf"/><Relationship Id="rId41" Type="http://schemas.openxmlformats.org/officeDocument/2006/relationships/image" Target="media/image30.emf"/><Relationship Id="rId40" Type="http://schemas.openxmlformats.org/officeDocument/2006/relationships/image" Target="media/image29.png"/><Relationship Id="rId4" Type="http://schemas.openxmlformats.org/officeDocument/2006/relationships/image" Target="media/image1.jpeg"/><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emf"/><Relationship Id="rId30" Type="http://schemas.openxmlformats.org/officeDocument/2006/relationships/oleObject" Target="embeddings/oleObject8.bin"/><Relationship Id="rId3" Type="http://schemas.openxmlformats.org/officeDocument/2006/relationships/theme" Target="theme/theme1.xml"/><Relationship Id="rId29" Type="http://schemas.openxmlformats.org/officeDocument/2006/relationships/image" Target="media/image19.png"/><Relationship Id="rId28" Type="http://schemas.openxmlformats.org/officeDocument/2006/relationships/image" Target="media/image18.emf"/><Relationship Id="rId27" Type="http://schemas.openxmlformats.org/officeDocument/2006/relationships/oleObject" Target="embeddings/oleObject7.bin"/><Relationship Id="rId26" Type="http://schemas.openxmlformats.org/officeDocument/2006/relationships/image" Target="media/image17.emf"/><Relationship Id="rId25" Type="http://schemas.openxmlformats.org/officeDocument/2006/relationships/oleObject" Target="embeddings/oleObject6.bin"/><Relationship Id="rId24" Type="http://schemas.openxmlformats.org/officeDocument/2006/relationships/image" Target="media/image16.emf"/><Relationship Id="rId23" Type="http://schemas.openxmlformats.org/officeDocument/2006/relationships/oleObject" Target="embeddings/oleObject5.bin"/><Relationship Id="rId22" Type="http://schemas.openxmlformats.org/officeDocument/2006/relationships/image" Target="media/image15.png"/><Relationship Id="rId21" Type="http://schemas.openxmlformats.org/officeDocument/2006/relationships/image" Target="media/image14.emf"/><Relationship Id="rId20" Type="http://schemas.openxmlformats.org/officeDocument/2006/relationships/oleObject" Target="embeddings/oleObject4.bin"/><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emf"/><Relationship Id="rId17" Type="http://schemas.openxmlformats.org/officeDocument/2006/relationships/oleObject" Target="embeddings/oleObject3.bin"/><Relationship Id="rId16" Type="http://schemas.openxmlformats.org/officeDocument/2006/relationships/image" Target="media/image11.emf"/><Relationship Id="rId15" Type="http://schemas.openxmlformats.org/officeDocument/2006/relationships/oleObject" Target="embeddings/oleObject2.bin"/><Relationship Id="rId14" Type="http://schemas.openxmlformats.org/officeDocument/2006/relationships/image" Target="media/image10.emf"/><Relationship Id="rId13" Type="http://schemas.openxmlformats.org/officeDocument/2006/relationships/oleObject" Target="embeddings/oleObject1.bin"/><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2021-09-29T08:36:00Z</dcterms:created>
  <dc:creator>三十三</dc:creator>
  <cp:lastModifiedBy>三十三</cp:lastModifiedBy>
  <dcterms:modified xsi:type="dcterms:W3CDTF">2021-09-29T08:38:03Z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DC98EDFB7DB34CC680DF396650494C58</vt:lpwstr>
  </property>
</Properties>
</file>