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235F9" w14:textId="77777777" w:rsidR="008F69C9" w:rsidRDefault="008F69C9"/>
    <w:p w14:paraId="43ED57BD" w14:textId="77777777" w:rsidR="008F69C9" w:rsidRDefault="008F69C9"/>
    <w:p w14:paraId="034BD60A" w14:textId="77777777" w:rsidR="008F69C9" w:rsidRDefault="008F69C9"/>
    <w:p w14:paraId="0F5EF216" w14:textId="77777777" w:rsidR="008F69C9" w:rsidRDefault="008F69C9"/>
    <w:p w14:paraId="4879EF2A" w14:textId="77777777" w:rsidR="008F69C9" w:rsidRDefault="008F69C9"/>
    <w:p w14:paraId="08D8FF72" w14:textId="77777777" w:rsidR="008F69C9" w:rsidRDefault="008F69C9"/>
    <w:p w14:paraId="07CC5C15" w14:textId="77777777" w:rsidR="008F69C9" w:rsidRDefault="008F69C9"/>
    <w:p w14:paraId="45F556CA" w14:textId="77777777" w:rsidR="008F69C9" w:rsidRDefault="008F69C9"/>
    <w:p w14:paraId="700F4FF5" w14:textId="77777777" w:rsidR="008F69C9" w:rsidRDefault="00187DF0">
      <w:pPr>
        <w:jc w:val="center"/>
        <w:rPr>
          <w:sz w:val="52"/>
          <w:szCs w:val="52"/>
        </w:rPr>
      </w:pPr>
      <w:r>
        <w:rPr>
          <w:rFonts w:hint="eastAsia"/>
          <w:sz w:val="52"/>
          <w:szCs w:val="52"/>
        </w:rPr>
        <w:t>遥感监测土壤信息</w:t>
      </w:r>
    </w:p>
    <w:p w14:paraId="167B5C46" w14:textId="77777777" w:rsidR="008F69C9" w:rsidRDefault="008F69C9">
      <w:pPr>
        <w:jc w:val="center"/>
        <w:rPr>
          <w:sz w:val="32"/>
          <w:szCs w:val="32"/>
        </w:rPr>
      </w:pPr>
    </w:p>
    <w:p w14:paraId="158F9D0F" w14:textId="77777777" w:rsidR="008F69C9" w:rsidRDefault="00187DF0">
      <w:pPr>
        <w:jc w:val="center"/>
        <w:rPr>
          <w:sz w:val="32"/>
          <w:szCs w:val="32"/>
        </w:rPr>
      </w:pPr>
      <w:r>
        <w:rPr>
          <w:rFonts w:hint="eastAsia"/>
          <w:sz w:val="32"/>
          <w:szCs w:val="32"/>
        </w:rPr>
        <w:t>（养分篇）</w:t>
      </w:r>
    </w:p>
    <w:p w14:paraId="418901B2" w14:textId="77777777" w:rsidR="008F69C9" w:rsidRDefault="008F69C9"/>
    <w:p w14:paraId="4012DAD0" w14:textId="77777777" w:rsidR="008F69C9" w:rsidRDefault="008F69C9"/>
    <w:p w14:paraId="2E612C8A" w14:textId="77777777" w:rsidR="008F69C9" w:rsidRDefault="008F69C9"/>
    <w:p w14:paraId="60F66ED7" w14:textId="77777777" w:rsidR="008F69C9" w:rsidRDefault="008F69C9"/>
    <w:p w14:paraId="69071D99" w14:textId="77777777" w:rsidR="008F69C9" w:rsidRDefault="008F69C9"/>
    <w:p w14:paraId="51075B36" w14:textId="77777777" w:rsidR="008F69C9" w:rsidRDefault="008F69C9"/>
    <w:p w14:paraId="2242FE49" w14:textId="77777777" w:rsidR="008F69C9" w:rsidRDefault="008F69C9"/>
    <w:p w14:paraId="7F21FDEC" w14:textId="77777777" w:rsidR="008F69C9" w:rsidRDefault="008F69C9"/>
    <w:p w14:paraId="56174AE8" w14:textId="77777777" w:rsidR="008F69C9" w:rsidRDefault="008F69C9"/>
    <w:p w14:paraId="56A19001" w14:textId="77777777" w:rsidR="008F69C9" w:rsidRDefault="008F69C9"/>
    <w:p w14:paraId="0F1E5B85" w14:textId="77777777" w:rsidR="008F69C9" w:rsidRDefault="008F69C9"/>
    <w:p w14:paraId="1AA9B909" w14:textId="77777777" w:rsidR="008F69C9" w:rsidRDefault="008F69C9"/>
    <w:p w14:paraId="7C2C5F30" w14:textId="77777777" w:rsidR="008F69C9" w:rsidRDefault="008F69C9"/>
    <w:p w14:paraId="4D4CBB3C" w14:textId="77777777" w:rsidR="008F69C9" w:rsidRDefault="008F69C9"/>
    <w:p w14:paraId="13B7BDF2" w14:textId="77777777" w:rsidR="008F69C9" w:rsidRDefault="008F69C9"/>
    <w:p w14:paraId="0AFEBBE4" w14:textId="77777777" w:rsidR="008F69C9" w:rsidRDefault="008F69C9"/>
    <w:p w14:paraId="697ADE89" w14:textId="77777777" w:rsidR="008F69C9" w:rsidRDefault="008F69C9"/>
    <w:p w14:paraId="29B81D44" w14:textId="77777777" w:rsidR="008F69C9" w:rsidRDefault="008F69C9"/>
    <w:p w14:paraId="174777F9" w14:textId="77777777" w:rsidR="008F69C9" w:rsidRDefault="008F69C9"/>
    <w:p w14:paraId="2BD23CC3" w14:textId="77777777" w:rsidR="008F69C9" w:rsidRDefault="008F69C9"/>
    <w:p w14:paraId="3B71CC3F" w14:textId="77777777" w:rsidR="008F69C9" w:rsidRDefault="008F69C9"/>
    <w:p w14:paraId="17B56AB3" w14:textId="77777777" w:rsidR="008F69C9" w:rsidRDefault="008F69C9"/>
    <w:p w14:paraId="25CB1864" w14:textId="77777777" w:rsidR="008F69C9" w:rsidRDefault="008F69C9"/>
    <w:p w14:paraId="7B73731D" w14:textId="77777777" w:rsidR="008F69C9" w:rsidRDefault="008F69C9"/>
    <w:p w14:paraId="171427FB" w14:textId="77777777" w:rsidR="008F69C9" w:rsidRDefault="008F69C9"/>
    <w:p w14:paraId="7B4E992E" w14:textId="77777777" w:rsidR="008F69C9" w:rsidRDefault="008F69C9"/>
    <w:p w14:paraId="1157611D" w14:textId="77777777" w:rsidR="008F69C9" w:rsidRDefault="008F69C9"/>
    <w:p w14:paraId="6035627C" w14:textId="77777777" w:rsidR="008F69C9" w:rsidRDefault="008F69C9"/>
    <w:p w14:paraId="7B101DCA" w14:textId="77777777" w:rsidR="008F69C9" w:rsidRDefault="008F69C9"/>
    <w:sdt>
      <w:sdtPr>
        <w:rPr>
          <w:rFonts w:asciiTheme="minorHAnsi" w:eastAsiaTheme="minorEastAsia" w:hAnsiTheme="minorHAnsi" w:cstheme="minorBidi"/>
          <w:color w:val="auto"/>
          <w:kern w:val="2"/>
          <w:sz w:val="21"/>
          <w:szCs w:val="22"/>
          <w:lang w:val="zh-CN"/>
        </w:rPr>
        <w:id w:val="-1543131908"/>
        <w:docPartObj>
          <w:docPartGallery w:val="Table of Contents"/>
          <w:docPartUnique/>
        </w:docPartObj>
      </w:sdtPr>
      <w:sdtEndPr>
        <w:rPr>
          <w:b/>
          <w:bCs/>
        </w:rPr>
      </w:sdtEndPr>
      <w:sdtContent>
        <w:p w14:paraId="3453BA0E" w14:textId="77777777" w:rsidR="008F69C9" w:rsidRDefault="00187DF0">
          <w:pPr>
            <w:pStyle w:val="TOC10"/>
            <w:jc w:val="center"/>
            <w:rPr>
              <w:lang w:val="zh-CN"/>
            </w:rPr>
          </w:pPr>
          <w:r>
            <w:rPr>
              <w:lang w:val="zh-CN"/>
            </w:rPr>
            <w:t>目录</w:t>
          </w:r>
        </w:p>
        <w:p w14:paraId="0B1585AE" w14:textId="77777777" w:rsidR="008F69C9" w:rsidRDefault="008F69C9">
          <w:pPr>
            <w:rPr>
              <w:lang w:val="zh-CN"/>
            </w:rPr>
          </w:pPr>
        </w:p>
        <w:p w14:paraId="53B6087A" w14:textId="77777777" w:rsidR="008F69C9" w:rsidRDefault="00187DF0">
          <w:pPr>
            <w:pStyle w:val="TOC2"/>
            <w:tabs>
              <w:tab w:val="right" w:leader="dot" w:pos="8306"/>
            </w:tabs>
            <w:rPr>
              <w:sz w:val="24"/>
              <w:szCs w:val="28"/>
            </w:rPr>
          </w:pPr>
          <w:r>
            <w:fldChar w:fldCharType="begin"/>
          </w:r>
          <w:r>
            <w:instrText xml:space="preserve"> TOC \o "1-3" \h \z \u </w:instrText>
          </w:r>
          <w:r>
            <w:fldChar w:fldCharType="separate"/>
          </w:r>
          <w:hyperlink w:anchor="_Toc16869" w:history="1">
            <w:r>
              <w:rPr>
                <w:sz w:val="24"/>
                <w:szCs w:val="28"/>
              </w:rPr>
              <w:t xml:space="preserve">1. </w:t>
            </w:r>
            <w:r>
              <w:rPr>
                <w:rFonts w:hint="eastAsia"/>
                <w:sz w:val="24"/>
                <w:szCs w:val="28"/>
              </w:rPr>
              <w:t>遥感监测土壤信息</w:t>
            </w:r>
            <w:r>
              <w:rPr>
                <w:sz w:val="24"/>
                <w:szCs w:val="28"/>
              </w:rPr>
              <w:tab/>
            </w:r>
            <w:r>
              <w:rPr>
                <w:sz w:val="24"/>
                <w:szCs w:val="28"/>
              </w:rPr>
              <w:fldChar w:fldCharType="begin"/>
            </w:r>
            <w:r>
              <w:rPr>
                <w:sz w:val="24"/>
                <w:szCs w:val="28"/>
              </w:rPr>
              <w:instrText xml:space="preserve"> PAGEREF _Toc16869 \h </w:instrText>
            </w:r>
            <w:r>
              <w:rPr>
                <w:sz w:val="24"/>
                <w:szCs w:val="28"/>
              </w:rPr>
            </w:r>
            <w:r>
              <w:rPr>
                <w:sz w:val="24"/>
                <w:szCs w:val="28"/>
              </w:rPr>
              <w:fldChar w:fldCharType="separate"/>
            </w:r>
            <w:r>
              <w:rPr>
                <w:sz w:val="24"/>
                <w:szCs w:val="28"/>
              </w:rPr>
              <w:t>1</w:t>
            </w:r>
            <w:r>
              <w:rPr>
                <w:sz w:val="24"/>
                <w:szCs w:val="28"/>
              </w:rPr>
              <w:fldChar w:fldCharType="end"/>
            </w:r>
          </w:hyperlink>
        </w:p>
        <w:p w14:paraId="097006DE" w14:textId="77777777" w:rsidR="008F69C9" w:rsidRDefault="00187DF0">
          <w:pPr>
            <w:pStyle w:val="TOC3"/>
            <w:tabs>
              <w:tab w:val="right" w:leader="dot" w:pos="8306"/>
            </w:tabs>
            <w:rPr>
              <w:sz w:val="24"/>
              <w:szCs w:val="28"/>
            </w:rPr>
          </w:pPr>
          <w:hyperlink w:anchor="_Toc24956" w:history="1">
            <w:r>
              <w:rPr>
                <w:rFonts w:hint="eastAsia"/>
                <w:sz w:val="24"/>
                <w:szCs w:val="28"/>
              </w:rPr>
              <w:t>1</w:t>
            </w:r>
            <w:r>
              <w:rPr>
                <w:sz w:val="24"/>
                <w:szCs w:val="28"/>
              </w:rPr>
              <w:t>.1</w:t>
            </w:r>
            <w:r>
              <w:rPr>
                <w:rFonts w:hint="eastAsia"/>
                <w:sz w:val="24"/>
                <w:szCs w:val="28"/>
              </w:rPr>
              <w:t>遥感监测土壤养分的优势</w:t>
            </w:r>
            <w:r>
              <w:rPr>
                <w:sz w:val="24"/>
                <w:szCs w:val="28"/>
              </w:rPr>
              <w:tab/>
            </w:r>
            <w:r>
              <w:rPr>
                <w:sz w:val="24"/>
                <w:szCs w:val="28"/>
              </w:rPr>
              <w:fldChar w:fldCharType="begin"/>
            </w:r>
            <w:r>
              <w:rPr>
                <w:sz w:val="24"/>
                <w:szCs w:val="28"/>
              </w:rPr>
              <w:instrText xml:space="preserve"> PAGEREF _Toc24956 \h </w:instrText>
            </w:r>
            <w:r>
              <w:rPr>
                <w:sz w:val="24"/>
                <w:szCs w:val="28"/>
              </w:rPr>
            </w:r>
            <w:r>
              <w:rPr>
                <w:sz w:val="24"/>
                <w:szCs w:val="28"/>
              </w:rPr>
              <w:fldChar w:fldCharType="separate"/>
            </w:r>
            <w:r>
              <w:rPr>
                <w:sz w:val="24"/>
                <w:szCs w:val="28"/>
              </w:rPr>
              <w:t>1</w:t>
            </w:r>
            <w:r>
              <w:rPr>
                <w:sz w:val="24"/>
                <w:szCs w:val="28"/>
              </w:rPr>
              <w:fldChar w:fldCharType="end"/>
            </w:r>
          </w:hyperlink>
        </w:p>
        <w:p w14:paraId="29C41E42" w14:textId="77777777" w:rsidR="008F69C9" w:rsidRDefault="00187DF0">
          <w:pPr>
            <w:pStyle w:val="TOC3"/>
            <w:tabs>
              <w:tab w:val="right" w:leader="dot" w:pos="8306"/>
            </w:tabs>
            <w:rPr>
              <w:sz w:val="24"/>
              <w:szCs w:val="28"/>
            </w:rPr>
          </w:pPr>
          <w:hyperlink w:anchor="_Toc27534" w:history="1">
            <w:r>
              <w:rPr>
                <w:rFonts w:hint="eastAsia"/>
                <w:sz w:val="24"/>
                <w:szCs w:val="28"/>
              </w:rPr>
              <w:t>1.</w:t>
            </w:r>
            <w:r>
              <w:rPr>
                <w:sz w:val="24"/>
                <w:szCs w:val="28"/>
              </w:rPr>
              <w:t>2</w:t>
            </w:r>
            <w:r>
              <w:rPr>
                <w:rFonts w:hint="eastAsia"/>
                <w:sz w:val="24"/>
                <w:szCs w:val="28"/>
              </w:rPr>
              <w:t>遥感监测的土壤养分指标</w:t>
            </w:r>
            <w:r>
              <w:rPr>
                <w:sz w:val="24"/>
                <w:szCs w:val="28"/>
              </w:rPr>
              <w:tab/>
            </w:r>
            <w:r>
              <w:rPr>
                <w:sz w:val="24"/>
                <w:szCs w:val="28"/>
              </w:rPr>
              <w:fldChar w:fldCharType="begin"/>
            </w:r>
            <w:r>
              <w:rPr>
                <w:sz w:val="24"/>
                <w:szCs w:val="28"/>
              </w:rPr>
              <w:instrText xml:space="preserve"> PAGEREF _Toc27534 \h </w:instrText>
            </w:r>
            <w:r>
              <w:rPr>
                <w:sz w:val="24"/>
                <w:szCs w:val="28"/>
              </w:rPr>
            </w:r>
            <w:r>
              <w:rPr>
                <w:sz w:val="24"/>
                <w:szCs w:val="28"/>
              </w:rPr>
              <w:fldChar w:fldCharType="separate"/>
            </w:r>
            <w:r>
              <w:rPr>
                <w:sz w:val="24"/>
                <w:szCs w:val="28"/>
              </w:rPr>
              <w:t>2</w:t>
            </w:r>
            <w:r>
              <w:rPr>
                <w:sz w:val="24"/>
                <w:szCs w:val="28"/>
              </w:rPr>
              <w:fldChar w:fldCharType="end"/>
            </w:r>
          </w:hyperlink>
        </w:p>
        <w:p w14:paraId="63C998E0" w14:textId="77777777" w:rsidR="008F69C9" w:rsidRDefault="00187DF0">
          <w:pPr>
            <w:pStyle w:val="TOC2"/>
            <w:tabs>
              <w:tab w:val="right" w:leader="dot" w:pos="8306"/>
            </w:tabs>
            <w:rPr>
              <w:sz w:val="24"/>
              <w:szCs w:val="28"/>
            </w:rPr>
          </w:pPr>
          <w:hyperlink w:anchor="_Toc25349" w:history="1">
            <w:r>
              <w:rPr>
                <w:sz w:val="24"/>
                <w:szCs w:val="28"/>
              </w:rPr>
              <w:t>2.</w:t>
            </w:r>
            <w:r>
              <w:rPr>
                <w:rFonts w:hint="eastAsia"/>
                <w:sz w:val="24"/>
                <w:szCs w:val="28"/>
              </w:rPr>
              <w:t>遥感监测土壤信息的优化</w:t>
            </w:r>
            <w:r>
              <w:rPr>
                <w:sz w:val="24"/>
                <w:szCs w:val="28"/>
              </w:rPr>
              <w:tab/>
            </w:r>
            <w:r>
              <w:rPr>
                <w:sz w:val="24"/>
                <w:szCs w:val="28"/>
              </w:rPr>
              <w:fldChar w:fldCharType="begin"/>
            </w:r>
            <w:r>
              <w:rPr>
                <w:sz w:val="24"/>
                <w:szCs w:val="28"/>
              </w:rPr>
              <w:instrText xml:space="preserve"> PAGEREF _Toc25349 \h </w:instrText>
            </w:r>
            <w:r>
              <w:rPr>
                <w:sz w:val="24"/>
                <w:szCs w:val="28"/>
              </w:rPr>
            </w:r>
            <w:r>
              <w:rPr>
                <w:sz w:val="24"/>
                <w:szCs w:val="28"/>
              </w:rPr>
              <w:fldChar w:fldCharType="separate"/>
            </w:r>
            <w:r>
              <w:rPr>
                <w:sz w:val="24"/>
                <w:szCs w:val="28"/>
              </w:rPr>
              <w:t>3</w:t>
            </w:r>
            <w:r>
              <w:rPr>
                <w:sz w:val="24"/>
                <w:szCs w:val="28"/>
              </w:rPr>
              <w:fldChar w:fldCharType="end"/>
            </w:r>
          </w:hyperlink>
        </w:p>
        <w:p w14:paraId="47FAAD7B" w14:textId="77777777" w:rsidR="008F69C9" w:rsidRDefault="00187DF0">
          <w:pPr>
            <w:pStyle w:val="TOC2"/>
            <w:tabs>
              <w:tab w:val="right" w:leader="dot" w:pos="8306"/>
            </w:tabs>
            <w:rPr>
              <w:sz w:val="24"/>
              <w:szCs w:val="28"/>
            </w:rPr>
          </w:pPr>
          <w:hyperlink w:anchor="_Toc2824" w:history="1">
            <w:r>
              <w:rPr>
                <w:sz w:val="24"/>
                <w:szCs w:val="28"/>
              </w:rPr>
              <w:t>3.</w:t>
            </w:r>
            <w:r>
              <w:rPr>
                <w:rFonts w:hint="eastAsia"/>
                <w:sz w:val="24"/>
                <w:szCs w:val="28"/>
              </w:rPr>
              <w:t>遥感监测土壤信息意义</w:t>
            </w:r>
            <w:r>
              <w:rPr>
                <w:sz w:val="24"/>
                <w:szCs w:val="28"/>
              </w:rPr>
              <w:tab/>
            </w:r>
            <w:r>
              <w:rPr>
                <w:sz w:val="24"/>
                <w:szCs w:val="28"/>
              </w:rPr>
              <w:fldChar w:fldCharType="begin"/>
            </w:r>
            <w:r>
              <w:rPr>
                <w:sz w:val="24"/>
                <w:szCs w:val="28"/>
              </w:rPr>
              <w:instrText xml:space="preserve"> PAGEREF _Toc2824 \h </w:instrText>
            </w:r>
            <w:r>
              <w:rPr>
                <w:sz w:val="24"/>
                <w:szCs w:val="28"/>
              </w:rPr>
            </w:r>
            <w:r>
              <w:rPr>
                <w:sz w:val="24"/>
                <w:szCs w:val="28"/>
              </w:rPr>
              <w:fldChar w:fldCharType="separate"/>
            </w:r>
            <w:r>
              <w:rPr>
                <w:sz w:val="24"/>
                <w:szCs w:val="28"/>
              </w:rPr>
              <w:t>5</w:t>
            </w:r>
            <w:r>
              <w:rPr>
                <w:sz w:val="24"/>
                <w:szCs w:val="28"/>
              </w:rPr>
              <w:fldChar w:fldCharType="end"/>
            </w:r>
          </w:hyperlink>
        </w:p>
        <w:p w14:paraId="76DE14EF" w14:textId="77777777" w:rsidR="008F69C9" w:rsidRDefault="00187DF0">
          <w:pPr>
            <w:pStyle w:val="TOC3"/>
            <w:tabs>
              <w:tab w:val="right" w:leader="dot" w:pos="8306"/>
            </w:tabs>
            <w:rPr>
              <w:sz w:val="24"/>
              <w:szCs w:val="28"/>
            </w:rPr>
          </w:pPr>
          <w:hyperlink w:anchor="_Toc14710" w:history="1">
            <w:r>
              <w:rPr>
                <w:sz w:val="24"/>
                <w:szCs w:val="28"/>
              </w:rPr>
              <w:t>3.1</w:t>
            </w:r>
            <w:r>
              <w:rPr>
                <w:rFonts w:hint="eastAsia"/>
                <w:sz w:val="24"/>
                <w:szCs w:val="28"/>
              </w:rPr>
              <w:t>提高肥料利用率</w:t>
            </w:r>
            <w:r>
              <w:rPr>
                <w:sz w:val="24"/>
                <w:szCs w:val="28"/>
              </w:rPr>
              <w:tab/>
            </w:r>
            <w:r>
              <w:rPr>
                <w:sz w:val="24"/>
                <w:szCs w:val="28"/>
              </w:rPr>
              <w:fldChar w:fldCharType="begin"/>
            </w:r>
            <w:r>
              <w:rPr>
                <w:sz w:val="24"/>
                <w:szCs w:val="28"/>
              </w:rPr>
              <w:instrText xml:space="preserve"> PAGEREF _Toc14710 \h </w:instrText>
            </w:r>
            <w:r>
              <w:rPr>
                <w:sz w:val="24"/>
                <w:szCs w:val="28"/>
              </w:rPr>
            </w:r>
            <w:r>
              <w:rPr>
                <w:sz w:val="24"/>
                <w:szCs w:val="28"/>
              </w:rPr>
              <w:fldChar w:fldCharType="separate"/>
            </w:r>
            <w:r>
              <w:rPr>
                <w:sz w:val="24"/>
                <w:szCs w:val="28"/>
              </w:rPr>
              <w:t>5</w:t>
            </w:r>
            <w:r>
              <w:rPr>
                <w:sz w:val="24"/>
                <w:szCs w:val="28"/>
              </w:rPr>
              <w:fldChar w:fldCharType="end"/>
            </w:r>
          </w:hyperlink>
        </w:p>
        <w:p w14:paraId="40D5F914" w14:textId="77777777" w:rsidR="008F69C9" w:rsidRDefault="00187DF0">
          <w:pPr>
            <w:pStyle w:val="TOC3"/>
            <w:tabs>
              <w:tab w:val="right" w:leader="dot" w:pos="8306"/>
            </w:tabs>
            <w:rPr>
              <w:sz w:val="24"/>
              <w:szCs w:val="28"/>
            </w:rPr>
          </w:pPr>
          <w:hyperlink w:anchor="_Toc1467" w:history="1">
            <w:r>
              <w:rPr>
                <w:sz w:val="24"/>
                <w:szCs w:val="28"/>
              </w:rPr>
              <w:t>3.2</w:t>
            </w:r>
            <w:r>
              <w:rPr>
                <w:rFonts w:hint="eastAsia"/>
                <w:sz w:val="24"/>
                <w:szCs w:val="28"/>
              </w:rPr>
              <w:t>减少化肥使用量</w:t>
            </w:r>
            <w:r>
              <w:rPr>
                <w:sz w:val="24"/>
                <w:szCs w:val="28"/>
              </w:rPr>
              <w:tab/>
            </w:r>
            <w:r>
              <w:rPr>
                <w:sz w:val="24"/>
                <w:szCs w:val="28"/>
              </w:rPr>
              <w:fldChar w:fldCharType="begin"/>
            </w:r>
            <w:r>
              <w:rPr>
                <w:sz w:val="24"/>
                <w:szCs w:val="28"/>
              </w:rPr>
              <w:instrText xml:space="preserve"> PAGEREF</w:instrText>
            </w:r>
            <w:r>
              <w:rPr>
                <w:sz w:val="24"/>
                <w:szCs w:val="28"/>
              </w:rPr>
              <w:instrText xml:space="preserve"> _Toc1467 \h </w:instrText>
            </w:r>
            <w:r>
              <w:rPr>
                <w:sz w:val="24"/>
                <w:szCs w:val="28"/>
              </w:rPr>
            </w:r>
            <w:r>
              <w:rPr>
                <w:sz w:val="24"/>
                <w:szCs w:val="28"/>
              </w:rPr>
              <w:fldChar w:fldCharType="separate"/>
            </w:r>
            <w:r>
              <w:rPr>
                <w:sz w:val="24"/>
                <w:szCs w:val="28"/>
              </w:rPr>
              <w:t>5</w:t>
            </w:r>
            <w:r>
              <w:rPr>
                <w:sz w:val="24"/>
                <w:szCs w:val="28"/>
              </w:rPr>
              <w:fldChar w:fldCharType="end"/>
            </w:r>
          </w:hyperlink>
        </w:p>
        <w:p w14:paraId="6BC14F9A" w14:textId="77777777" w:rsidR="008F69C9" w:rsidRDefault="00187DF0">
          <w:pPr>
            <w:pStyle w:val="TOC3"/>
            <w:tabs>
              <w:tab w:val="right" w:leader="dot" w:pos="8306"/>
            </w:tabs>
            <w:rPr>
              <w:sz w:val="24"/>
              <w:szCs w:val="28"/>
            </w:rPr>
          </w:pPr>
          <w:hyperlink w:anchor="_Toc31089" w:history="1">
            <w:r>
              <w:rPr>
                <w:sz w:val="24"/>
                <w:szCs w:val="28"/>
              </w:rPr>
              <w:t>3.3</w:t>
            </w:r>
            <w:r>
              <w:rPr>
                <w:rFonts w:hint="eastAsia"/>
                <w:sz w:val="24"/>
                <w:szCs w:val="28"/>
              </w:rPr>
              <w:t>农资物品提前采购规划</w:t>
            </w:r>
            <w:r>
              <w:rPr>
                <w:sz w:val="24"/>
                <w:szCs w:val="28"/>
              </w:rPr>
              <w:tab/>
            </w:r>
            <w:r>
              <w:rPr>
                <w:sz w:val="24"/>
                <w:szCs w:val="28"/>
              </w:rPr>
              <w:fldChar w:fldCharType="begin"/>
            </w:r>
            <w:r>
              <w:rPr>
                <w:sz w:val="24"/>
                <w:szCs w:val="28"/>
              </w:rPr>
              <w:instrText xml:space="preserve"> PAGEREF _Toc31089 \h </w:instrText>
            </w:r>
            <w:r>
              <w:rPr>
                <w:sz w:val="24"/>
                <w:szCs w:val="28"/>
              </w:rPr>
            </w:r>
            <w:r>
              <w:rPr>
                <w:sz w:val="24"/>
                <w:szCs w:val="28"/>
              </w:rPr>
              <w:fldChar w:fldCharType="separate"/>
            </w:r>
            <w:r>
              <w:rPr>
                <w:sz w:val="24"/>
                <w:szCs w:val="28"/>
              </w:rPr>
              <w:t>5</w:t>
            </w:r>
            <w:r>
              <w:rPr>
                <w:sz w:val="24"/>
                <w:szCs w:val="28"/>
              </w:rPr>
              <w:fldChar w:fldCharType="end"/>
            </w:r>
          </w:hyperlink>
        </w:p>
        <w:p w14:paraId="7217B0E4" w14:textId="77777777" w:rsidR="008F69C9" w:rsidRDefault="00187DF0">
          <w:pPr>
            <w:pStyle w:val="TOC3"/>
            <w:tabs>
              <w:tab w:val="right" w:leader="dot" w:pos="8306"/>
            </w:tabs>
            <w:rPr>
              <w:sz w:val="24"/>
              <w:szCs w:val="28"/>
            </w:rPr>
          </w:pPr>
          <w:hyperlink w:anchor="_Toc14126" w:history="1">
            <w:r>
              <w:rPr>
                <w:sz w:val="24"/>
                <w:szCs w:val="28"/>
              </w:rPr>
              <w:t>3.4</w:t>
            </w:r>
            <w:r>
              <w:rPr>
                <w:rFonts w:hint="eastAsia"/>
                <w:sz w:val="24"/>
                <w:szCs w:val="28"/>
              </w:rPr>
              <w:t>评价黑土地保护成果</w:t>
            </w:r>
            <w:r>
              <w:rPr>
                <w:sz w:val="24"/>
                <w:szCs w:val="28"/>
              </w:rPr>
              <w:tab/>
            </w:r>
            <w:r>
              <w:rPr>
                <w:sz w:val="24"/>
                <w:szCs w:val="28"/>
              </w:rPr>
              <w:fldChar w:fldCharType="begin"/>
            </w:r>
            <w:r>
              <w:rPr>
                <w:sz w:val="24"/>
                <w:szCs w:val="28"/>
              </w:rPr>
              <w:instrText xml:space="preserve"> PAGEREF </w:instrText>
            </w:r>
            <w:r>
              <w:rPr>
                <w:sz w:val="24"/>
                <w:szCs w:val="28"/>
              </w:rPr>
              <w:instrText xml:space="preserve">_Toc14126 \h </w:instrText>
            </w:r>
            <w:r>
              <w:rPr>
                <w:sz w:val="24"/>
                <w:szCs w:val="28"/>
              </w:rPr>
            </w:r>
            <w:r>
              <w:rPr>
                <w:sz w:val="24"/>
                <w:szCs w:val="28"/>
              </w:rPr>
              <w:fldChar w:fldCharType="separate"/>
            </w:r>
            <w:r>
              <w:rPr>
                <w:sz w:val="24"/>
                <w:szCs w:val="28"/>
              </w:rPr>
              <w:t>6</w:t>
            </w:r>
            <w:r>
              <w:rPr>
                <w:sz w:val="24"/>
                <w:szCs w:val="28"/>
              </w:rPr>
              <w:fldChar w:fldCharType="end"/>
            </w:r>
          </w:hyperlink>
        </w:p>
        <w:p w14:paraId="11EA150A" w14:textId="77777777" w:rsidR="008F69C9" w:rsidRDefault="00187DF0">
          <w:pPr>
            <w:pStyle w:val="TOC2"/>
            <w:tabs>
              <w:tab w:val="right" w:leader="dot" w:pos="8306"/>
            </w:tabs>
            <w:rPr>
              <w:sz w:val="24"/>
              <w:szCs w:val="28"/>
            </w:rPr>
          </w:pPr>
          <w:hyperlink w:anchor="_Toc3084" w:history="1">
            <w:r>
              <w:rPr>
                <w:sz w:val="24"/>
                <w:szCs w:val="28"/>
              </w:rPr>
              <w:t>4.</w:t>
            </w:r>
            <w:r>
              <w:rPr>
                <w:rFonts w:hint="eastAsia"/>
                <w:sz w:val="24"/>
                <w:szCs w:val="28"/>
              </w:rPr>
              <w:t>遥感土壤监测经济效益评价</w:t>
            </w:r>
            <w:r>
              <w:rPr>
                <w:sz w:val="24"/>
                <w:szCs w:val="28"/>
              </w:rPr>
              <w:tab/>
            </w:r>
            <w:r>
              <w:rPr>
                <w:sz w:val="24"/>
                <w:szCs w:val="28"/>
              </w:rPr>
              <w:fldChar w:fldCharType="begin"/>
            </w:r>
            <w:r>
              <w:rPr>
                <w:sz w:val="24"/>
                <w:szCs w:val="28"/>
              </w:rPr>
              <w:instrText xml:space="preserve"> PAGEREF _Toc3084 \h </w:instrText>
            </w:r>
            <w:r>
              <w:rPr>
                <w:sz w:val="24"/>
                <w:szCs w:val="28"/>
              </w:rPr>
            </w:r>
            <w:r>
              <w:rPr>
                <w:sz w:val="24"/>
                <w:szCs w:val="28"/>
              </w:rPr>
              <w:fldChar w:fldCharType="separate"/>
            </w:r>
            <w:r>
              <w:rPr>
                <w:sz w:val="24"/>
                <w:szCs w:val="28"/>
              </w:rPr>
              <w:t>6</w:t>
            </w:r>
            <w:r>
              <w:rPr>
                <w:sz w:val="24"/>
                <w:szCs w:val="28"/>
              </w:rPr>
              <w:fldChar w:fldCharType="end"/>
            </w:r>
          </w:hyperlink>
        </w:p>
        <w:p w14:paraId="5C35DDFF" w14:textId="77777777" w:rsidR="008F69C9" w:rsidRDefault="00187DF0">
          <w:pPr>
            <w:pStyle w:val="TOC3"/>
            <w:tabs>
              <w:tab w:val="right" w:leader="dot" w:pos="8306"/>
            </w:tabs>
            <w:rPr>
              <w:sz w:val="24"/>
              <w:szCs w:val="28"/>
            </w:rPr>
          </w:pPr>
          <w:hyperlink w:anchor="_Toc6434" w:history="1">
            <w:r>
              <w:rPr>
                <w:sz w:val="24"/>
                <w:szCs w:val="28"/>
              </w:rPr>
              <w:t>4.1</w:t>
            </w:r>
            <w:r>
              <w:rPr>
                <w:rFonts w:hint="eastAsia"/>
                <w:sz w:val="24"/>
                <w:szCs w:val="28"/>
              </w:rPr>
              <w:t>降低生产成本，促进节本增效</w:t>
            </w:r>
            <w:r>
              <w:rPr>
                <w:sz w:val="24"/>
                <w:szCs w:val="28"/>
              </w:rPr>
              <w:tab/>
            </w:r>
            <w:r>
              <w:rPr>
                <w:sz w:val="24"/>
                <w:szCs w:val="28"/>
              </w:rPr>
              <w:fldChar w:fldCharType="begin"/>
            </w:r>
            <w:r>
              <w:rPr>
                <w:sz w:val="24"/>
                <w:szCs w:val="28"/>
              </w:rPr>
              <w:instrText xml:space="preserve"> PAGEREF _Toc6434 \h </w:instrText>
            </w:r>
            <w:r>
              <w:rPr>
                <w:sz w:val="24"/>
                <w:szCs w:val="28"/>
              </w:rPr>
            </w:r>
            <w:r>
              <w:rPr>
                <w:sz w:val="24"/>
                <w:szCs w:val="28"/>
              </w:rPr>
              <w:fldChar w:fldCharType="separate"/>
            </w:r>
            <w:r>
              <w:rPr>
                <w:sz w:val="24"/>
                <w:szCs w:val="28"/>
              </w:rPr>
              <w:t>6</w:t>
            </w:r>
            <w:r>
              <w:rPr>
                <w:sz w:val="24"/>
                <w:szCs w:val="28"/>
              </w:rPr>
              <w:fldChar w:fldCharType="end"/>
            </w:r>
          </w:hyperlink>
        </w:p>
        <w:p w14:paraId="199276C6" w14:textId="77777777" w:rsidR="008F69C9" w:rsidRDefault="00187DF0">
          <w:pPr>
            <w:pStyle w:val="TOC3"/>
            <w:tabs>
              <w:tab w:val="right" w:leader="dot" w:pos="8306"/>
            </w:tabs>
            <w:rPr>
              <w:sz w:val="24"/>
              <w:szCs w:val="28"/>
            </w:rPr>
          </w:pPr>
          <w:hyperlink w:anchor="_Toc27900" w:history="1">
            <w:r>
              <w:rPr>
                <w:sz w:val="24"/>
                <w:szCs w:val="28"/>
              </w:rPr>
              <w:t>4.2</w:t>
            </w:r>
            <w:r>
              <w:rPr>
                <w:rFonts w:hint="eastAsia"/>
                <w:sz w:val="24"/>
                <w:szCs w:val="28"/>
              </w:rPr>
              <w:t>提高作物产量，保障粮食安全</w:t>
            </w:r>
            <w:r>
              <w:rPr>
                <w:sz w:val="24"/>
                <w:szCs w:val="28"/>
              </w:rPr>
              <w:tab/>
            </w:r>
            <w:r>
              <w:rPr>
                <w:sz w:val="24"/>
                <w:szCs w:val="28"/>
              </w:rPr>
              <w:fldChar w:fldCharType="begin"/>
            </w:r>
            <w:r>
              <w:rPr>
                <w:sz w:val="24"/>
                <w:szCs w:val="28"/>
              </w:rPr>
              <w:instrText xml:space="preserve"> PAGEREF _Toc27900 \h </w:instrText>
            </w:r>
            <w:r>
              <w:rPr>
                <w:sz w:val="24"/>
                <w:szCs w:val="28"/>
              </w:rPr>
            </w:r>
            <w:r>
              <w:rPr>
                <w:sz w:val="24"/>
                <w:szCs w:val="28"/>
              </w:rPr>
              <w:fldChar w:fldCharType="separate"/>
            </w:r>
            <w:r>
              <w:rPr>
                <w:sz w:val="24"/>
                <w:szCs w:val="28"/>
              </w:rPr>
              <w:t>6</w:t>
            </w:r>
            <w:r>
              <w:rPr>
                <w:sz w:val="24"/>
                <w:szCs w:val="28"/>
              </w:rPr>
              <w:fldChar w:fldCharType="end"/>
            </w:r>
          </w:hyperlink>
        </w:p>
        <w:p w14:paraId="22E35C6E" w14:textId="77777777" w:rsidR="008F69C9" w:rsidRDefault="00187DF0">
          <w:pPr>
            <w:pStyle w:val="TOC3"/>
            <w:tabs>
              <w:tab w:val="right" w:leader="dot" w:pos="8306"/>
            </w:tabs>
          </w:pPr>
          <w:hyperlink w:anchor="_Toc25997" w:history="1">
            <w:r>
              <w:rPr>
                <w:sz w:val="24"/>
                <w:szCs w:val="28"/>
              </w:rPr>
              <w:t>4.3</w:t>
            </w:r>
            <w:r>
              <w:rPr>
                <w:rFonts w:hint="eastAsia"/>
                <w:sz w:val="24"/>
                <w:szCs w:val="28"/>
              </w:rPr>
              <w:t>提升品质，降低农业风险</w:t>
            </w:r>
            <w:r>
              <w:rPr>
                <w:sz w:val="24"/>
                <w:szCs w:val="28"/>
              </w:rPr>
              <w:tab/>
            </w:r>
            <w:r>
              <w:rPr>
                <w:sz w:val="24"/>
                <w:szCs w:val="28"/>
              </w:rPr>
              <w:fldChar w:fldCharType="begin"/>
            </w:r>
            <w:r>
              <w:rPr>
                <w:sz w:val="24"/>
                <w:szCs w:val="28"/>
              </w:rPr>
              <w:instrText xml:space="preserve"> PAGEREF _Toc25997 \h </w:instrText>
            </w:r>
            <w:r>
              <w:rPr>
                <w:sz w:val="24"/>
                <w:szCs w:val="28"/>
              </w:rPr>
            </w:r>
            <w:r>
              <w:rPr>
                <w:sz w:val="24"/>
                <w:szCs w:val="28"/>
              </w:rPr>
              <w:fldChar w:fldCharType="separate"/>
            </w:r>
            <w:r>
              <w:rPr>
                <w:sz w:val="24"/>
                <w:szCs w:val="28"/>
              </w:rPr>
              <w:t>7</w:t>
            </w:r>
            <w:r>
              <w:rPr>
                <w:sz w:val="24"/>
                <w:szCs w:val="28"/>
              </w:rPr>
              <w:fldChar w:fldCharType="end"/>
            </w:r>
          </w:hyperlink>
        </w:p>
        <w:p w14:paraId="075D9AEA" w14:textId="77777777" w:rsidR="008F69C9" w:rsidRDefault="00187DF0">
          <w:r>
            <w:rPr>
              <w:bCs/>
              <w:lang w:val="zh-CN"/>
            </w:rPr>
            <w:fldChar w:fldCharType="end"/>
          </w:r>
        </w:p>
      </w:sdtContent>
    </w:sdt>
    <w:p w14:paraId="2D0CCA44" w14:textId="77777777" w:rsidR="008F69C9" w:rsidRDefault="008F69C9"/>
    <w:p w14:paraId="5EB86293" w14:textId="77777777" w:rsidR="008F69C9" w:rsidRDefault="008F69C9"/>
    <w:p w14:paraId="62AA935E" w14:textId="77777777" w:rsidR="008F69C9" w:rsidRDefault="008F69C9"/>
    <w:p w14:paraId="44E4618D" w14:textId="77777777" w:rsidR="008F69C9" w:rsidRDefault="008F69C9"/>
    <w:p w14:paraId="087F475A" w14:textId="77777777" w:rsidR="008F69C9" w:rsidRDefault="008F69C9"/>
    <w:p w14:paraId="15E0F51B" w14:textId="77777777" w:rsidR="008F69C9" w:rsidRDefault="008F69C9"/>
    <w:p w14:paraId="7227C321" w14:textId="77777777" w:rsidR="008F69C9" w:rsidRDefault="008F69C9"/>
    <w:p w14:paraId="7A75BD46" w14:textId="77777777" w:rsidR="008F69C9" w:rsidRDefault="008F69C9"/>
    <w:p w14:paraId="11EB230A" w14:textId="77777777" w:rsidR="008F69C9" w:rsidRDefault="008F69C9">
      <w:pPr>
        <w:widowControl/>
        <w:jc w:val="left"/>
        <w:sectPr w:rsidR="008F69C9">
          <w:footerReference w:type="default" r:id="rId9"/>
          <w:footerReference w:type="first" r:id="rId10"/>
          <w:pgSz w:w="11906" w:h="16838"/>
          <w:pgMar w:top="1440" w:right="1800" w:bottom="1440" w:left="1800" w:header="851" w:footer="992" w:gutter="0"/>
          <w:pgNumType w:start="1"/>
          <w:cols w:space="425"/>
          <w:titlePg/>
          <w:docGrid w:type="lines" w:linePitch="312"/>
        </w:sectPr>
      </w:pPr>
    </w:p>
    <w:p w14:paraId="04ABECCF" w14:textId="77777777" w:rsidR="008F69C9" w:rsidRDefault="00187DF0">
      <w:pPr>
        <w:pStyle w:val="2"/>
        <w:numPr>
          <w:ilvl w:val="0"/>
          <w:numId w:val="1"/>
        </w:numPr>
      </w:pPr>
      <w:bookmarkStart w:id="0" w:name="_Toc16869"/>
      <w:r>
        <w:rPr>
          <w:rFonts w:hint="eastAsia"/>
        </w:rPr>
        <w:lastRenderedPageBreak/>
        <w:t>遥感监测土壤信息</w:t>
      </w:r>
      <w:bookmarkEnd w:id="0"/>
    </w:p>
    <w:p w14:paraId="52A88130" w14:textId="77777777" w:rsidR="008F69C9" w:rsidRDefault="008F69C9"/>
    <w:p w14:paraId="2570ECED"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土壤不仅是人类赖以生存的物质基础和宝贵财富的源泉，</w:t>
      </w:r>
      <w:r>
        <w:rPr>
          <w:rFonts w:ascii="Times New Roman" w:eastAsia="宋体" w:hAnsi="Times New Roman" w:cs="Times New Roman" w:hint="eastAsia"/>
          <w:sz w:val="24"/>
          <w:szCs w:val="24"/>
        </w:rPr>
        <w:t>而且也</w:t>
      </w:r>
      <w:r>
        <w:rPr>
          <w:rFonts w:ascii="Times New Roman" w:eastAsia="宋体" w:hAnsi="Times New Roman" w:cs="Times New Roman"/>
          <w:sz w:val="24"/>
          <w:szCs w:val="24"/>
        </w:rPr>
        <w:t>是人类最早开发利用的生产资料</w:t>
      </w:r>
      <w:r>
        <w:rPr>
          <w:rFonts w:ascii="Times New Roman" w:eastAsia="宋体" w:hAnsi="Times New Roman" w:cs="Times New Roman" w:hint="eastAsia"/>
          <w:sz w:val="24"/>
          <w:szCs w:val="24"/>
        </w:rPr>
        <w:t>。</w:t>
      </w:r>
      <w:r>
        <w:rPr>
          <w:rFonts w:ascii="Times New Roman" w:eastAsia="宋体" w:hAnsi="Times New Roman" w:cs="Times New Roman"/>
          <w:sz w:val="24"/>
          <w:szCs w:val="24"/>
        </w:rPr>
        <w:t>同时，土壤还维持着地球上多种生命的生息繁衍</w:t>
      </w:r>
      <w:r>
        <w:rPr>
          <w:rFonts w:ascii="Times New Roman" w:eastAsia="宋体" w:hAnsi="Times New Roman" w:cs="Times New Roman" w:hint="eastAsia"/>
          <w:sz w:val="24"/>
          <w:szCs w:val="24"/>
        </w:rPr>
        <w:t>，是各种动植物的活动场所，特别是人类需求的粮食。农作物生长的根基在土壤，植物养分</w:t>
      </w:r>
      <w:r>
        <w:rPr>
          <w:rFonts w:ascii="Times New Roman" w:eastAsia="宋体" w:hAnsi="Times New Roman" w:cs="Times New Roman"/>
          <w:sz w:val="24"/>
          <w:szCs w:val="24"/>
        </w:rPr>
        <w:t>60%</w:t>
      </w:r>
      <w:r>
        <w:rPr>
          <w:rFonts w:ascii="Times New Roman" w:eastAsia="宋体" w:hAnsi="Times New Roman" w:cs="Times New Roman" w:hint="eastAsia"/>
          <w:sz w:val="24"/>
          <w:szCs w:val="24"/>
        </w:rPr>
        <w:t>-</w:t>
      </w:r>
      <w:r>
        <w:rPr>
          <w:rFonts w:ascii="Times New Roman" w:eastAsia="宋体" w:hAnsi="Times New Roman" w:cs="Times New Roman"/>
          <w:sz w:val="24"/>
          <w:szCs w:val="24"/>
        </w:rPr>
        <w:t>70%</w:t>
      </w:r>
      <w:r>
        <w:rPr>
          <w:rFonts w:ascii="Times New Roman" w:eastAsia="宋体" w:hAnsi="Times New Roman" w:cs="Times New Roman"/>
          <w:sz w:val="24"/>
          <w:szCs w:val="24"/>
        </w:rPr>
        <w:t>是从土壤中吸收的。土壤养分种类很多，如氮、磷、钾、硅、硫、铁、钙、镁、锌等。土壤中包含的这些营养元素，都是农作物生长发育所必需的。当土壤营养供应不足时，就要靠施肥来补充，以达到供肥和农作物需肥的平衡。因此</w:t>
      </w:r>
      <w:r>
        <w:rPr>
          <w:rFonts w:ascii="Times New Roman" w:eastAsia="宋体" w:hAnsi="Times New Roman" w:cs="Times New Roman" w:hint="eastAsia"/>
          <w:sz w:val="24"/>
          <w:szCs w:val="24"/>
        </w:rPr>
        <w:t>，及时地获取土壤信息和如何</w:t>
      </w:r>
      <w:r>
        <w:rPr>
          <w:rFonts w:ascii="Times New Roman" w:eastAsia="宋体" w:hAnsi="Times New Roman" w:cs="Times New Roman"/>
          <w:sz w:val="24"/>
          <w:szCs w:val="24"/>
        </w:rPr>
        <w:t>合理施肥就是农业生产中的重中之重</w:t>
      </w:r>
      <w:r>
        <w:rPr>
          <w:rFonts w:ascii="Times New Roman" w:eastAsia="宋体" w:hAnsi="Times New Roman" w:cs="Times New Roman" w:hint="eastAsia"/>
          <w:sz w:val="24"/>
          <w:szCs w:val="24"/>
        </w:rPr>
        <w:t>。</w:t>
      </w:r>
    </w:p>
    <w:p w14:paraId="783DF572"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充分利用土壤资源，服务于农业生产、生态环境改善、耕地保护等各种与土壤资源密切相关领域，则必须了解土壤资源的性质</w:t>
      </w:r>
      <w:r>
        <w:rPr>
          <w:rFonts w:ascii="Times New Roman" w:eastAsia="宋体" w:hAnsi="Times New Roman" w:cs="Times New Roman"/>
          <w:sz w:val="24"/>
          <w:szCs w:val="24"/>
        </w:rPr>
        <w:t>、数量以及空间分布情况</w:t>
      </w:r>
      <w:r>
        <w:rPr>
          <w:rFonts w:ascii="Times New Roman" w:eastAsia="宋体" w:hAnsi="Times New Roman" w:cs="Times New Roman" w:hint="eastAsia"/>
          <w:sz w:val="24"/>
          <w:szCs w:val="24"/>
        </w:rPr>
        <w:t>。</w:t>
      </w:r>
      <w:r>
        <w:rPr>
          <w:rFonts w:ascii="Times New Roman" w:eastAsia="宋体" w:hAnsi="Times New Roman" w:cs="Times New Roman"/>
          <w:sz w:val="24"/>
          <w:szCs w:val="24"/>
        </w:rPr>
        <w:t>随着科技的进步，人们对土壤的认识程度更加深刻，同时己经渐渐不在满足于以分类形式展现的土壤信息。只有更高精度的土壤信息才能满足现代精细农业、环境保护等领域的要求。</w:t>
      </w:r>
    </w:p>
    <w:p w14:paraId="7BFDFCD6"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土壤信息化与数字化管理是精准农业中精确管理的前提。对于土壤来说，土壤水分含量、土壤养分含量、土壤质地等土壤参数是精准农业实施中需求的重要信息。传统的利用实验室化验分析方法提取农田土壤信息，既耗资又费时，这就迫切要求现代农业中监测技术提供给其快速、准确的地表信息。土壤信息的采集，主要是从影响作物生长的土壤环境条件与营养水平角度</w:t>
      </w:r>
      <w:r>
        <w:rPr>
          <w:rFonts w:ascii="Times New Roman" w:eastAsia="宋体" w:hAnsi="Times New Roman" w:cs="Times New Roman"/>
          <w:sz w:val="24"/>
          <w:szCs w:val="24"/>
        </w:rPr>
        <w:t>，从而制定出有关灌水、施肥、改土、耕作、种植等处方决策。</w:t>
      </w:r>
    </w:p>
    <w:p w14:paraId="59D9A9A2" w14:textId="77777777" w:rsidR="008F69C9" w:rsidRDefault="00187DF0">
      <w:pPr>
        <w:pStyle w:val="3"/>
      </w:pPr>
      <w:bookmarkStart w:id="1" w:name="_Toc24956"/>
      <w:r>
        <w:rPr>
          <w:rFonts w:hint="eastAsia"/>
        </w:rPr>
        <w:t>1</w:t>
      </w:r>
      <w:r>
        <w:t>.1</w:t>
      </w:r>
      <w:r>
        <w:rPr>
          <w:rFonts w:hint="eastAsia"/>
        </w:rPr>
        <w:t>遥感监测土壤养分的优势</w:t>
      </w:r>
      <w:bookmarkEnd w:id="1"/>
    </w:p>
    <w:p w14:paraId="0E4D8A7D"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从影响作物生长的土壤环境条件与营养水平角度</w:t>
      </w:r>
      <w:r>
        <w:rPr>
          <w:rFonts w:ascii="Times New Roman" w:eastAsia="宋体" w:hAnsi="Times New Roman" w:cs="Times New Roman" w:hint="eastAsia"/>
          <w:sz w:val="24"/>
          <w:szCs w:val="24"/>
        </w:rPr>
        <w:t>而言</w:t>
      </w:r>
      <w:r>
        <w:rPr>
          <w:rFonts w:ascii="Times New Roman" w:eastAsia="宋体" w:hAnsi="Times New Roman" w:cs="Times New Roman"/>
          <w:sz w:val="24"/>
          <w:szCs w:val="24"/>
        </w:rPr>
        <w:t>，</w:t>
      </w:r>
      <w:r>
        <w:rPr>
          <w:rFonts w:ascii="Times New Roman" w:eastAsia="宋体" w:hAnsi="Times New Roman" w:cs="Times New Roman" w:hint="eastAsia"/>
          <w:sz w:val="24"/>
          <w:szCs w:val="24"/>
        </w:rPr>
        <w:t>准确快速有效地获取</w:t>
      </w:r>
      <w:r>
        <w:rPr>
          <w:rFonts w:ascii="Times New Roman" w:eastAsia="宋体" w:hAnsi="Times New Roman" w:cs="Times New Roman"/>
          <w:sz w:val="24"/>
          <w:szCs w:val="24"/>
        </w:rPr>
        <w:t>土壤信息，</w:t>
      </w:r>
      <w:r>
        <w:rPr>
          <w:rFonts w:ascii="Times New Roman" w:eastAsia="宋体" w:hAnsi="Times New Roman" w:cs="Times New Roman" w:hint="eastAsia"/>
          <w:sz w:val="24"/>
          <w:szCs w:val="24"/>
        </w:rPr>
        <w:t>对快速</w:t>
      </w:r>
      <w:r>
        <w:rPr>
          <w:rFonts w:ascii="Times New Roman" w:eastAsia="宋体" w:hAnsi="Times New Roman" w:cs="Times New Roman"/>
          <w:sz w:val="24"/>
          <w:szCs w:val="24"/>
        </w:rPr>
        <w:t>制定出有关施肥、改土、耕作、种植等处方决策</w:t>
      </w:r>
      <w:r>
        <w:rPr>
          <w:rFonts w:ascii="Times New Roman" w:eastAsia="宋体" w:hAnsi="Times New Roman" w:cs="Times New Roman" w:hint="eastAsia"/>
          <w:sz w:val="24"/>
          <w:szCs w:val="24"/>
        </w:rPr>
        <w:t>和指导农业生产具有重要意义。而目前获取土壤养分信息的常见方法是以</w:t>
      </w:r>
      <w:r>
        <w:rPr>
          <w:rFonts w:ascii="Times New Roman" w:eastAsia="宋体" w:hAnsi="Times New Roman" w:cs="Times New Roman"/>
          <w:sz w:val="24"/>
          <w:szCs w:val="24"/>
        </w:rPr>
        <w:t>传统的利用实验室化验分析方法</w:t>
      </w:r>
      <w:r>
        <w:rPr>
          <w:rFonts w:ascii="Times New Roman" w:eastAsia="宋体" w:hAnsi="Times New Roman" w:cs="Times New Roman" w:hint="eastAsia"/>
          <w:sz w:val="24"/>
          <w:szCs w:val="24"/>
        </w:rPr>
        <w:t>，该方法</w:t>
      </w:r>
      <w:r>
        <w:rPr>
          <w:rFonts w:ascii="Times New Roman" w:eastAsia="宋体" w:hAnsi="Times New Roman" w:cs="Times New Roman"/>
          <w:sz w:val="24"/>
          <w:szCs w:val="24"/>
        </w:rPr>
        <w:t>提取农田土壤信息，既耗资又费时，</w:t>
      </w:r>
      <w:r>
        <w:rPr>
          <w:rFonts w:ascii="Times New Roman" w:eastAsia="宋体" w:hAnsi="Times New Roman" w:cs="Times New Roman" w:hint="eastAsia"/>
          <w:sz w:val="24"/>
          <w:szCs w:val="24"/>
        </w:rPr>
        <w:t>因此，</w:t>
      </w:r>
      <w:r>
        <w:rPr>
          <w:rFonts w:ascii="Times New Roman" w:eastAsia="宋体" w:hAnsi="Times New Roman" w:cs="Times New Roman"/>
          <w:sz w:val="24"/>
          <w:szCs w:val="24"/>
        </w:rPr>
        <w:t>迫切要求现代农业中监测技术提供给其快速、准确的地表信息。</w:t>
      </w:r>
    </w:p>
    <w:p w14:paraId="4FC6A0B2"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随着现代科学技术的发展与</w:t>
      </w:r>
      <w:r>
        <w:rPr>
          <w:rFonts w:ascii="Times New Roman" w:eastAsia="宋体" w:hAnsi="Times New Roman" w:cs="Times New Roman"/>
          <w:sz w:val="24"/>
          <w:szCs w:val="24"/>
        </w:rPr>
        <w:t>“3S”</w:t>
      </w:r>
      <w:r>
        <w:rPr>
          <w:rFonts w:ascii="Times New Roman" w:eastAsia="宋体" w:hAnsi="Times New Roman" w:cs="Times New Roman"/>
          <w:sz w:val="24"/>
          <w:szCs w:val="24"/>
        </w:rPr>
        <w:t>技术（即遥感技术</w:t>
      </w:r>
      <w:r>
        <w:rPr>
          <w:rFonts w:ascii="Times New Roman" w:eastAsia="宋体" w:hAnsi="Times New Roman" w:cs="Times New Roman"/>
          <w:sz w:val="24"/>
          <w:szCs w:val="24"/>
        </w:rPr>
        <w:t>(Remote sensing</w:t>
      </w:r>
      <w:r>
        <w:rPr>
          <w:rFonts w:ascii="Times New Roman" w:eastAsia="宋体" w:hAnsi="Times New Roman" w:cs="Times New Roman" w:hint="eastAsia"/>
          <w:sz w:val="24"/>
          <w:szCs w:val="24"/>
        </w:rPr>
        <w:t>，</w:t>
      </w:r>
      <w:r>
        <w:rPr>
          <w:rFonts w:ascii="Times New Roman" w:eastAsia="宋体" w:hAnsi="Times New Roman" w:cs="Times New Roman"/>
          <w:sz w:val="24"/>
          <w:szCs w:val="24"/>
        </w:rPr>
        <w:t>RS)</w:t>
      </w:r>
      <w:r>
        <w:rPr>
          <w:rFonts w:ascii="Times New Roman" w:eastAsia="宋体" w:hAnsi="Times New Roman" w:cs="Times New Roman"/>
          <w:sz w:val="24"/>
          <w:szCs w:val="24"/>
        </w:rPr>
        <w:t>、地</w:t>
      </w:r>
      <w:r>
        <w:rPr>
          <w:rFonts w:ascii="Times New Roman" w:eastAsia="宋体" w:hAnsi="Times New Roman" w:cs="Times New Roman"/>
          <w:sz w:val="24"/>
          <w:szCs w:val="24"/>
        </w:rPr>
        <w:lastRenderedPageBreak/>
        <w:t>理信息系统</w:t>
      </w:r>
      <w:r>
        <w:rPr>
          <w:rFonts w:ascii="Times New Roman" w:eastAsia="宋体" w:hAnsi="Times New Roman" w:cs="Times New Roman"/>
          <w:sz w:val="24"/>
          <w:szCs w:val="24"/>
        </w:rPr>
        <w:t>(G</w:t>
      </w:r>
      <w:r>
        <w:rPr>
          <w:rFonts w:ascii="Times New Roman" w:eastAsia="宋体" w:hAnsi="Times New Roman" w:cs="Times New Roman"/>
          <w:sz w:val="24"/>
          <w:szCs w:val="24"/>
        </w:rPr>
        <w:t>eography information systems</w:t>
      </w:r>
      <w:r>
        <w:rPr>
          <w:rFonts w:ascii="Times New Roman" w:eastAsia="宋体" w:hAnsi="Times New Roman" w:cs="Times New Roman" w:hint="eastAsia"/>
          <w:sz w:val="24"/>
          <w:szCs w:val="24"/>
        </w:rPr>
        <w:t>，</w:t>
      </w:r>
      <w:r>
        <w:rPr>
          <w:rFonts w:ascii="Times New Roman" w:eastAsia="宋体" w:hAnsi="Times New Roman" w:cs="Times New Roman"/>
          <w:sz w:val="24"/>
          <w:szCs w:val="24"/>
        </w:rPr>
        <w:t>GIS)</w:t>
      </w:r>
      <w:r>
        <w:rPr>
          <w:rFonts w:ascii="Times New Roman" w:eastAsia="宋体" w:hAnsi="Times New Roman" w:cs="Times New Roman"/>
          <w:sz w:val="24"/>
          <w:szCs w:val="24"/>
        </w:rPr>
        <w:t>和全球定位系统</w:t>
      </w:r>
      <w:r>
        <w:rPr>
          <w:rFonts w:ascii="Times New Roman" w:eastAsia="宋体" w:hAnsi="Times New Roman" w:cs="Times New Roman"/>
          <w:sz w:val="24"/>
          <w:szCs w:val="24"/>
        </w:rPr>
        <w:t>(Global positioning systems</w:t>
      </w:r>
      <w:r>
        <w:rPr>
          <w:rFonts w:ascii="Times New Roman" w:eastAsia="宋体" w:hAnsi="Times New Roman" w:cs="Times New Roman" w:hint="eastAsia"/>
          <w:sz w:val="24"/>
          <w:szCs w:val="24"/>
        </w:rPr>
        <w:t>，</w:t>
      </w:r>
      <w:r>
        <w:rPr>
          <w:rFonts w:ascii="Times New Roman" w:eastAsia="宋体" w:hAnsi="Times New Roman" w:cs="Times New Roman"/>
          <w:sz w:val="24"/>
          <w:szCs w:val="24"/>
        </w:rPr>
        <w:t>GPS)</w:t>
      </w:r>
      <w:r>
        <w:rPr>
          <w:rFonts w:ascii="Times New Roman" w:eastAsia="宋体" w:hAnsi="Times New Roman" w:cs="Times New Roman"/>
          <w:sz w:val="24"/>
          <w:szCs w:val="24"/>
        </w:rPr>
        <w:t>的统称）的不断应用，为土壤调查及土壤信息的挖掘技术带来了一场革命。遥感技术作为精准农业实施中重要的监测手段之一，是精准农作技术体系中支持大面积、快速、非破坏性获取农田信息数据的重要工具。</w:t>
      </w:r>
    </w:p>
    <w:p w14:paraId="120FAADA" w14:textId="77777777" w:rsidR="008F69C9" w:rsidRDefault="00187DF0">
      <w:pPr>
        <w:spacing w:line="360" w:lineRule="auto"/>
        <w:ind w:firstLineChars="200" w:firstLine="480"/>
        <w:rPr>
          <w:rFonts w:ascii="宋体" w:eastAsia="宋体" w:hAnsi="宋体"/>
          <w:sz w:val="24"/>
          <w:szCs w:val="24"/>
        </w:rPr>
      </w:pPr>
      <w:r>
        <w:rPr>
          <w:rFonts w:ascii="宋体" w:eastAsia="宋体" w:hAnsi="宋体"/>
          <w:sz w:val="24"/>
          <w:szCs w:val="24"/>
        </w:rPr>
        <w:t>土壤供肥量是配方施肥中关键的参数</w:t>
      </w:r>
      <w:r>
        <w:rPr>
          <w:rFonts w:ascii="宋体" w:eastAsia="宋体" w:hAnsi="宋体" w:hint="eastAsia"/>
          <w:sz w:val="24"/>
          <w:szCs w:val="24"/>
        </w:rPr>
        <w:t>，</w:t>
      </w:r>
      <w:r>
        <w:rPr>
          <w:rFonts w:ascii="宋体" w:eastAsia="宋体" w:hAnsi="宋体"/>
          <w:sz w:val="24"/>
          <w:szCs w:val="24"/>
        </w:rPr>
        <w:t>决定平衡施肥的精度</w:t>
      </w:r>
      <w:r>
        <w:rPr>
          <w:rFonts w:ascii="宋体" w:eastAsia="宋体" w:hAnsi="宋体" w:hint="eastAsia"/>
          <w:sz w:val="24"/>
          <w:szCs w:val="24"/>
        </w:rPr>
        <w:t>。</w:t>
      </w:r>
      <w:r>
        <w:rPr>
          <w:rFonts w:ascii="宋体" w:eastAsia="宋体" w:hAnsi="宋体"/>
          <w:sz w:val="24"/>
          <w:szCs w:val="24"/>
        </w:rPr>
        <w:t>以田间试验所设的缺素区产量代替无肥区产量</w:t>
      </w:r>
      <w:r>
        <w:rPr>
          <w:rFonts w:ascii="宋体" w:eastAsia="宋体" w:hAnsi="宋体" w:hint="eastAsia"/>
          <w:sz w:val="24"/>
          <w:szCs w:val="24"/>
        </w:rPr>
        <w:t>，</w:t>
      </w:r>
      <w:r>
        <w:rPr>
          <w:rFonts w:ascii="宋体" w:eastAsia="宋体" w:hAnsi="宋体"/>
          <w:sz w:val="24"/>
          <w:szCs w:val="24"/>
        </w:rPr>
        <w:t>所建立的定产式更逼近实际</w:t>
      </w:r>
      <w:r>
        <w:rPr>
          <w:rFonts w:ascii="宋体" w:eastAsia="宋体" w:hAnsi="宋体" w:hint="eastAsia"/>
          <w:sz w:val="24"/>
          <w:szCs w:val="24"/>
        </w:rPr>
        <w:t>，</w:t>
      </w:r>
      <w:r>
        <w:rPr>
          <w:rFonts w:ascii="宋体" w:eastAsia="宋体" w:hAnsi="宋体"/>
          <w:sz w:val="24"/>
          <w:szCs w:val="24"/>
        </w:rPr>
        <w:t>增加土壤供肥量的计算量</w:t>
      </w:r>
      <w:r>
        <w:rPr>
          <w:rFonts w:ascii="宋体" w:eastAsia="宋体" w:hAnsi="宋体" w:hint="eastAsia"/>
          <w:sz w:val="24"/>
          <w:szCs w:val="24"/>
        </w:rPr>
        <w:t>，</w:t>
      </w:r>
      <w:r>
        <w:rPr>
          <w:rFonts w:ascii="宋体" w:eastAsia="宋体" w:hAnsi="宋体"/>
          <w:sz w:val="24"/>
          <w:szCs w:val="24"/>
        </w:rPr>
        <w:t>减少施肥量。缺素区产量及其养分吸收量是计算土壤供肥量</w:t>
      </w:r>
      <w:r>
        <w:rPr>
          <w:rFonts w:ascii="宋体" w:eastAsia="宋体" w:hAnsi="宋体" w:hint="eastAsia"/>
          <w:sz w:val="24"/>
          <w:szCs w:val="24"/>
        </w:rPr>
        <w:t>、</w:t>
      </w:r>
      <w:r>
        <w:rPr>
          <w:rFonts w:ascii="宋体" w:eastAsia="宋体" w:hAnsi="宋体"/>
          <w:sz w:val="24"/>
          <w:szCs w:val="24"/>
        </w:rPr>
        <w:t>土壤有效养分校正系数与相对产量等的基础参数</w:t>
      </w:r>
      <w:r>
        <w:rPr>
          <w:rFonts w:ascii="宋体" w:eastAsia="宋体" w:hAnsi="宋体" w:hint="eastAsia"/>
          <w:sz w:val="24"/>
          <w:szCs w:val="24"/>
        </w:rPr>
        <w:t>。传统的</w:t>
      </w:r>
      <w:r>
        <w:rPr>
          <w:rFonts w:ascii="宋体" w:eastAsia="宋体" w:hAnsi="宋体"/>
          <w:sz w:val="24"/>
          <w:szCs w:val="24"/>
        </w:rPr>
        <w:t>测土配方施肥技术在实践和推广过程中存在很多问题</w:t>
      </w:r>
      <w:r>
        <w:rPr>
          <w:rFonts w:ascii="宋体" w:eastAsia="宋体" w:hAnsi="宋体" w:hint="eastAsia"/>
          <w:sz w:val="24"/>
          <w:szCs w:val="24"/>
        </w:rPr>
        <w:t>，</w:t>
      </w:r>
      <w:r>
        <w:rPr>
          <w:rFonts w:ascii="宋体" w:eastAsia="宋体" w:hAnsi="宋体"/>
          <w:sz w:val="24"/>
          <w:szCs w:val="24"/>
        </w:rPr>
        <w:t>给土肥工作带来诸多不便</w:t>
      </w:r>
      <w:r>
        <w:rPr>
          <w:rFonts w:ascii="宋体" w:eastAsia="宋体" w:hAnsi="宋体" w:hint="eastAsia"/>
          <w:sz w:val="24"/>
          <w:szCs w:val="24"/>
        </w:rPr>
        <w:t>，</w:t>
      </w:r>
      <w:r>
        <w:rPr>
          <w:rFonts w:ascii="宋体" w:eastAsia="宋体" w:hAnsi="宋体"/>
          <w:sz w:val="24"/>
          <w:szCs w:val="24"/>
        </w:rPr>
        <w:t>通过对测土配方施肥的限制因素的研究</w:t>
      </w:r>
      <w:r>
        <w:rPr>
          <w:rFonts w:ascii="宋体" w:eastAsia="宋体" w:hAnsi="宋体" w:hint="eastAsia"/>
          <w:sz w:val="24"/>
          <w:szCs w:val="24"/>
        </w:rPr>
        <w:t>，</w:t>
      </w:r>
      <w:r>
        <w:rPr>
          <w:rFonts w:ascii="宋体" w:eastAsia="宋体" w:hAnsi="宋体"/>
          <w:sz w:val="24"/>
          <w:szCs w:val="24"/>
        </w:rPr>
        <w:t>只有根据土壤类型、地势、地力来确定土样代表面积</w:t>
      </w:r>
      <w:r>
        <w:rPr>
          <w:rFonts w:ascii="宋体" w:eastAsia="宋体" w:hAnsi="宋体" w:hint="eastAsia"/>
          <w:sz w:val="24"/>
          <w:szCs w:val="24"/>
        </w:rPr>
        <w:t>，</w:t>
      </w:r>
      <w:r>
        <w:rPr>
          <w:rFonts w:ascii="宋体" w:eastAsia="宋体" w:hAnsi="宋体"/>
          <w:sz w:val="24"/>
          <w:szCs w:val="24"/>
        </w:rPr>
        <w:t>避免人为规定代表面积带来的误差</w:t>
      </w:r>
      <w:r>
        <w:rPr>
          <w:rFonts w:ascii="宋体" w:eastAsia="宋体" w:hAnsi="宋体" w:hint="eastAsia"/>
          <w:sz w:val="24"/>
          <w:szCs w:val="24"/>
        </w:rPr>
        <w:t>；从而</w:t>
      </w:r>
      <w:r>
        <w:rPr>
          <w:rFonts w:ascii="宋体" w:eastAsia="宋体" w:hAnsi="宋体"/>
          <w:sz w:val="24"/>
          <w:szCs w:val="24"/>
        </w:rPr>
        <w:t>通过试验得到适应当地的土壤养分校正系数和不同作物的土壤有效养分的丰缺指标</w:t>
      </w:r>
      <w:r>
        <w:rPr>
          <w:rFonts w:ascii="宋体" w:eastAsia="宋体" w:hAnsi="宋体" w:hint="eastAsia"/>
          <w:sz w:val="24"/>
          <w:szCs w:val="24"/>
        </w:rPr>
        <w:t>；同时测土配方施肥。</w:t>
      </w:r>
    </w:p>
    <w:p w14:paraId="7E1A2D08" w14:textId="77777777" w:rsidR="008F69C9" w:rsidRDefault="00187DF0">
      <w:pPr>
        <w:pStyle w:val="3"/>
      </w:pPr>
      <w:bookmarkStart w:id="2" w:name="_Toc27534"/>
      <w:r>
        <w:rPr>
          <w:rFonts w:hint="eastAsia"/>
        </w:rPr>
        <w:t>1.</w:t>
      </w:r>
      <w:r>
        <w:t>2</w:t>
      </w:r>
      <w:r>
        <w:rPr>
          <w:rFonts w:hint="eastAsia"/>
        </w:rPr>
        <w:t>遥感监测的土壤养分指标</w:t>
      </w:r>
      <w:bookmarkEnd w:id="2"/>
    </w:p>
    <w:p w14:paraId="4D3E82D1"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土壤</w:t>
      </w:r>
      <w:r>
        <w:rPr>
          <w:rFonts w:ascii="Times New Roman" w:eastAsia="宋体" w:hAnsi="Times New Roman" w:cs="Times New Roman" w:hint="eastAsia"/>
          <w:sz w:val="24"/>
          <w:szCs w:val="24"/>
        </w:rPr>
        <w:t>养分信息</w:t>
      </w:r>
      <w:r>
        <w:rPr>
          <w:rFonts w:ascii="Times New Roman" w:eastAsia="宋体" w:hAnsi="Times New Roman" w:cs="Times New Roman"/>
          <w:sz w:val="24"/>
          <w:szCs w:val="24"/>
        </w:rPr>
        <w:t>是制定肥料配方的重要依据之一，随着我国种植业结构的不断调整，高产作物品种不断涌现</w:t>
      </w:r>
      <w:r>
        <w:rPr>
          <w:rFonts w:ascii="Times New Roman" w:eastAsia="宋体" w:hAnsi="Times New Roman" w:cs="Times New Roman"/>
          <w:sz w:val="24"/>
          <w:szCs w:val="24"/>
        </w:rPr>
        <w:t>，施肥结构和数量发生了很大的变化，土壤养分库也发生了明显改变。</w:t>
      </w:r>
      <w:r>
        <w:rPr>
          <w:rFonts w:ascii="Times New Roman" w:eastAsia="宋体" w:hAnsi="Times New Roman" w:cs="Times New Roman" w:hint="eastAsia"/>
          <w:sz w:val="24"/>
          <w:szCs w:val="24"/>
        </w:rPr>
        <w:t>通过遥感监测可以及时</w:t>
      </w:r>
      <w:r>
        <w:rPr>
          <w:rFonts w:ascii="Times New Roman" w:eastAsia="宋体" w:hAnsi="Times New Roman" w:cs="Times New Roman"/>
          <w:sz w:val="24"/>
          <w:szCs w:val="24"/>
        </w:rPr>
        <w:t>了解土壤供肥能力状况。结合测土配方施肥及作物养分吸收规律及利用率，提高肥料利用率。</w:t>
      </w:r>
      <w:r>
        <w:rPr>
          <w:rFonts w:ascii="Times New Roman" w:eastAsia="宋体" w:hAnsi="Times New Roman" w:cs="Times New Roman" w:hint="eastAsia"/>
          <w:sz w:val="24"/>
          <w:szCs w:val="24"/>
        </w:rPr>
        <w:t>土壤养分主要</w:t>
      </w:r>
      <w:proofErr w:type="gramStart"/>
      <w:r>
        <w:rPr>
          <w:rFonts w:ascii="Times New Roman" w:eastAsia="宋体" w:hAnsi="Times New Roman" w:cs="Times New Roman" w:hint="eastAsia"/>
          <w:sz w:val="24"/>
          <w:szCs w:val="24"/>
        </w:rPr>
        <w:t>包括包括</w:t>
      </w:r>
      <w:proofErr w:type="gramEnd"/>
      <w:r>
        <w:rPr>
          <w:rFonts w:ascii="Times New Roman" w:eastAsia="宋体" w:hAnsi="Times New Roman" w:cs="Times New Roman" w:hint="eastAsia"/>
          <w:sz w:val="24"/>
          <w:szCs w:val="24"/>
        </w:rPr>
        <w:t>有机质、碱解氮、速效磷、速效钾、等。</w:t>
      </w:r>
    </w:p>
    <w:p w14:paraId="722D6FF4"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color w:val="0D0D0D"/>
          <w:sz w:val="24"/>
          <w:szCs w:val="24"/>
        </w:rPr>
        <w:t>碱解氮也称土壤水解</w:t>
      </w:r>
      <w:proofErr w:type="gramStart"/>
      <w:r>
        <w:rPr>
          <w:rFonts w:ascii="Times New Roman" w:eastAsia="宋体" w:hAnsi="Times New Roman" w:cs="Times New Roman"/>
          <w:color w:val="0D0D0D"/>
          <w:sz w:val="24"/>
          <w:szCs w:val="24"/>
        </w:rPr>
        <w:t>性氮或</w:t>
      </w:r>
      <w:proofErr w:type="gramEnd"/>
      <w:r>
        <w:rPr>
          <w:rFonts w:ascii="Times New Roman" w:eastAsia="宋体" w:hAnsi="Times New Roman" w:cs="Times New Roman"/>
          <w:color w:val="0D0D0D"/>
          <w:sz w:val="24"/>
          <w:szCs w:val="24"/>
        </w:rPr>
        <w:t>有效氮，一定程度上能够反映土壤近期内提供氮素的状况，它包括无机态氮</w:t>
      </w:r>
      <w:r>
        <w:rPr>
          <w:rFonts w:ascii="Times New Roman" w:eastAsia="宋体" w:hAnsi="Times New Roman" w:cs="Times New Roman"/>
          <w:color w:val="0D0D0D"/>
          <w:sz w:val="24"/>
          <w:szCs w:val="24"/>
        </w:rPr>
        <w:t>(</w:t>
      </w:r>
      <w:r>
        <w:rPr>
          <w:rFonts w:ascii="Times New Roman" w:eastAsia="宋体" w:hAnsi="Times New Roman" w:cs="Times New Roman"/>
          <w:color w:val="0D0D0D"/>
          <w:sz w:val="24"/>
          <w:szCs w:val="24"/>
        </w:rPr>
        <w:t>铵态氮、硝态氮</w:t>
      </w:r>
      <w:r>
        <w:rPr>
          <w:rFonts w:ascii="Times New Roman" w:eastAsia="宋体" w:hAnsi="Times New Roman" w:cs="Times New Roman"/>
          <w:color w:val="0D0D0D"/>
          <w:sz w:val="24"/>
          <w:szCs w:val="24"/>
        </w:rPr>
        <w:t>)</w:t>
      </w:r>
      <w:r>
        <w:rPr>
          <w:rFonts w:ascii="Times New Roman" w:eastAsia="宋体" w:hAnsi="Times New Roman" w:cs="Times New Roman"/>
          <w:color w:val="0D0D0D"/>
          <w:sz w:val="24"/>
          <w:szCs w:val="24"/>
        </w:rPr>
        <w:t>及易水解和直接吸收的有机态氮</w:t>
      </w:r>
      <w:r>
        <w:rPr>
          <w:rFonts w:ascii="Times New Roman" w:eastAsia="宋体" w:hAnsi="Times New Roman" w:cs="Times New Roman"/>
          <w:color w:val="0D0D0D"/>
          <w:sz w:val="24"/>
          <w:szCs w:val="24"/>
        </w:rPr>
        <w:t>(</w:t>
      </w:r>
      <w:r>
        <w:rPr>
          <w:rFonts w:ascii="Times New Roman" w:eastAsia="宋体" w:hAnsi="Times New Roman" w:cs="Times New Roman"/>
          <w:color w:val="0D0D0D"/>
          <w:sz w:val="24"/>
          <w:szCs w:val="24"/>
        </w:rPr>
        <w:t>氨基酸、酰胺和易水解蛋白质</w:t>
      </w:r>
      <w:r>
        <w:rPr>
          <w:rFonts w:ascii="Times New Roman" w:eastAsia="宋体" w:hAnsi="Times New Roman" w:cs="Times New Roman"/>
          <w:color w:val="0D0D0D"/>
          <w:sz w:val="24"/>
          <w:szCs w:val="24"/>
        </w:rPr>
        <w:t>)</w:t>
      </w:r>
      <w:r>
        <w:rPr>
          <w:rFonts w:ascii="Times New Roman" w:eastAsia="宋体" w:hAnsi="Times New Roman" w:cs="Times New Roman"/>
          <w:color w:val="0D0D0D"/>
          <w:sz w:val="24"/>
          <w:szCs w:val="24"/>
        </w:rPr>
        <w:t>。磷是作物生长发育所必需的大量营养元素之一，即使作物体内重要有机化合物的组分，还以多种方式参与作物体内各种代谢过程，土壤中的</w:t>
      </w:r>
      <w:r>
        <w:rPr>
          <w:rFonts w:ascii="Times New Roman" w:eastAsia="宋体" w:hAnsi="Times New Roman" w:cs="Times New Roman"/>
          <w:color w:val="0D0D0D"/>
          <w:sz w:val="24"/>
          <w:szCs w:val="24"/>
        </w:rPr>
        <w:t>磷是作物磷养分的主要来源。因此，测定了土壤中可以被作物吸收磷组分中的有效磷。钾素</w:t>
      </w:r>
      <w:r>
        <w:rPr>
          <w:rFonts w:ascii="Times New Roman" w:eastAsia="宋体" w:hAnsi="Times New Roman" w:cs="Times New Roman"/>
          <w:color w:val="0D0D0D"/>
          <w:sz w:val="24"/>
          <w:szCs w:val="24"/>
          <w:shd w:val="clear" w:color="auto" w:fill="FFFFFF"/>
        </w:rPr>
        <w:t>能促进作物进行光合作用，作物蛋白质的合成，使作物枝叶更坚韧和厚实；提高作物的抗病性、抗寒性、抗旱、抗倒伏、抗盐等性能，能改善作物的品质和质量，提高作物的吸收氮素的能力。土壤有机质含量与土壤肥力有着密切的关系，是作物养分的主要来源，促进作物生长，改善土壤结构，提高土壤保肥保水的能力，促进微生物的活动，对土壤形状、作物生长和肥料施用量</w:t>
      </w:r>
      <w:r>
        <w:rPr>
          <w:rFonts w:ascii="Times New Roman" w:eastAsia="宋体" w:hAnsi="Times New Roman" w:cs="Times New Roman"/>
          <w:color w:val="0D0D0D"/>
          <w:sz w:val="24"/>
          <w:szCs w:val="24"/>
          <w:shd w:val="clear" w:color="auto" w:fill="FFFFFF"/>
        </w:rPr>
        <w:lastRenderedPageBreak/>
        <w:t>具有很大的影响。</w:t>
      </w:r>
      <w:r>
        <w:rPr>
          <w:rFonts w:ascii="Times New Roman" w:eastAsia="宋体" w:hAnsi="Times New Roman" w:cs="Times New Roman" w:hint="eastAsia"/>
          <w:sz w:val="24"/>
          <w:szCs w:val="24"/>
        </w:rPr>
        <w:t>土壤氮（</w:t>
      </w:r>
      <w:r>
        <w:rPr>
          <w:rFonts w:ascii="Times New Roman" w:eastAsia="宋体" w:hAnsi="Times New Roman" w:cs="Times New Roman" w:hint="eastAsia"/>
          <w:sz w:val="24"/>
          <w:szCs w:val="24"/>
        </w:rPr>
        <w:t xml:space="preserve">Soil </w:t>
      </w:r>
      <w:r>
        <w:rPr>
          <w:rFonts w:ascii="Times New Roman" w:eastAsia="宋体" w:hAnsi="Times New Roman" w:cs="Times New Roman"/>
          <w:sz w:val="24"/>
          <w:szCs w:val="24"/>
        </w:rPr>
        <w:t>Total nitrogen</w:t>
      </w:r>
      <w:r>
        <w:rPr>
          <w:rFonts w:ascii="Times New Roman" w:eastAsia="宋体" w:hAnsi="Times New Roman" w:cs="Times New Roman" w:hint="eastAsia"/>
          <w:sz w:val="24"/>
          <w:szCs w:val="24"/>
        </w:rPr>
        <w:t>，</w:t>
      </w:r>
      <w:r>
        <w:rPr>
          <w:rFonts w:ascii="Times New Roman" w:eastAsia="宋体" w:hAnsi="Times New Roman" w:cs="Times New Roman"/>
          <w:sz w:val="24"/>
          <w:szCs w:val="24"/>
        </w:rPr>
        <w:t>SN</w:t>
      </w:r>
      <w:r>
        <w:rPr>
          <w:rFonts w:ascii="Times New Roman" w:eastAsia="宋体" w:hAnsi="Times New Roman" w:cs="Times New Roman" w:hint="eastAsia"/>
          <w:sz w:val="24"/>
          <w:szCs w:val="24"/>
        </w:rPr>
        <w:t>）和土壤有机质（</w:t>
      </w:r>
      <w:r>
        <w:rPr>
          <w:rFonts w:ascii="Times New Roman" w:eastAsia="宋体" w:hAnsi="Times New Roman" w:cs="Times New Roman" w:hint="eastAsia"/>
          <w:sz w:val="24"/>
          <w:szCs w:val="24"/>
        </w:rPr>
        <w:t>Soil Org</w:t>
      </w:r>
      <w:r>
        <w:rPr>
          <w:rFonts w:ascii="Times New Roman" w:eastAsia="宋体" w:hAnsi="Times New Roman" w:cs="Times New Roman" w:hint="eastAsia"/>
          <w:sz w:val="24"/>
          <w:szCs w:val="24"/>
        </w:rPr>
        <w:t>anic Matter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SOM</w:t>
      </w:r>
      <w:r>
        <w:rPr>
          <w:rFonts w:ascii="Times New Roman" w:eastAsia="宋体" w:hAnsi="Times New Roman" w:cs="Times New Roman" w:hint="eastAsia"/>
          <w:sz w:val="24"/>
          <w:szCs w:val="24"/>
        </w:rPr>
        <w:t>）不仅是作物生长的主要养分，而且还是土壤微生物活动的主要能量来源。</w:t>
      </w:r>
      <w:r>
        <w:rPr>
          <w:rFonts w:ascii="Times New Roman" w:eastAsia="宋体" w:hAnsi="Times New Roman" w:cs="Times New Roman"/>
          <w:sz w:val="24"/>
          <w:szCs w:val="24"/>
        </w:rPr>
        <w:t>SN</w:t>
      </w:r>
      <w:r>
        <w:rPr>
          <w:rFonts w:ascii="Times New Roman" w:eastAsia="宋体" w:hAnsi="Times New Roman" w:cs="Times New Roman" w:hint="eastAsia"/>
          <w:sz w:val="24"/>
          <w:szCs w:val="24"/>
        </w:rPr>
        <w:t>其丰缺状况直接影响作物生长及产量和品质的形成。</w:t>
      </w:r>
      <w:r>
        <w:rPr>
          <w:rFonts w:ascii="Times New Roman" w:eastAsia="宋体" w:hAnsi="Times New Roman" w:cs="Times New Roman" w:hint="eastAsia"/>
          <w:sz w:val="24"/>
          <w:szCs w:val="24"/>
        </w:rPr>
        <w:t>SOM</w:t>
      </w:r>
      <w:r>
        <w:rPr>
          <w:rFonts w:ascii="Times New Roman" w:eastAsia="宋体" w:hAnsi="Times New Roman" w:cs="Times New Roman" w:hint="eastAsia"/>
          <w:sz w:val="24"/>
          <w:szCs w:val="24"/>
        </w:rPr>
        <w:t>在土壤中起着至关重要的作用，其含量是土壤肥力和土壤安全的关键指标，也是陆地生态系统的重要组成部分。</w:t>
      </w:r>
      <w:r>
        <w:rPr>
          <w:rFonts w:ascii="Times New Roman" w:eastAsia="宋体" w:hAnsi="Times New Roman" w:cs="Times New Roman" w:hint="eastAsia"/>
          <w:sz w:val="24"/>
          <w:szCs w:val="24"/>
        </w:rPr>
        <w:t>SOM</w:t>
      </w:r>
      <w:r>
        <w:rPr>
          <w:rFonts w:ascii="Times New Roman" w:eastAsia="宋体" w:hAnsi="Times New Roman" w:cs="Times New Roman" w:hint="eastAsia"/>
          <w:sz w:val="24"/>
          <w:szCs w:val="24"/>
        </w:rPr>
        <w:t>能保留土壤中的养分和污染物，进而改善植物生长并保护水质。因此，准确地测定和绘制土壤养分对防止因土地管理不当而造成的土壤退化、可持续农业和土壤利用管理至关重要，对土地生产力和生态系统健康具有显著贡献。</w:t>
      </w:r>
      <w:r>
        <w:rPr>
          <w:rFonts w:ascii="Times New Roman" w:eastAsia="宋体" w:hAnsi="Times New Roman" w:cs="Times New Roman"/>
          <w:sz w:val="24"/>
          <w:szCs w:val="24"/>
        </w:rPr>
        <w:t>应国家倡导质量兴农和绿色兴农的重大需求下，如何快速无损地获</w:t>
      </w:r>
      <w:r>
        <w:rPr>
          <w:rFonts w:ascii="Times New Roman" w:eastAsia="宋体" w:hAnsi="Times New Roman" w:cs="Times New Roman"/>
          <w:sz w:val="24"/>
          <w:szCs w:val="24"/>
        </w:rPr>
        <w:t>取与预测农田</w:t>
      </w:r>
      <w:r>
        <w:rPr>
          <w:rFonts w:ascii="Times New Roman" w:eastAsia="宋体" w:hAnsi="Times New Roman" w:cs="Times New Roman" w:hint="eastAsia"/>
          <w:sz w:val="24"/>
          <w:szCs w:val="24"/>
        </w:rPr>
        <w:t>土壤养分信息</w:t>
      </w:r>
      <w:r>
        <w:rPr>
          <w:rFonts w:ascii="Times New Roman" w:eastAsia="宋体" w:hAnsi="Times New Roman" w:cs="Times New Roman"/>
          <w:sz w:val="24"/>
          <w:szCs w:val="24"/>
        </w:rPr>
        <w:t>，有效评价土壤质量，实现藏粮于地和</w:t>
      </w:r>
      <w:proofErr w:type="gramStart"/>
      <w:r>
        <w:rPr>
          <w:rFonts w:ascii="Times New Roman" w:eastAsia="宋体" w:hAnsi="Times New Roman" w:cs="Times New Roman"/>
          <w:sz w:val="24"/>
          <w:szCs w:val="24"/>
        </w:rPr>
        <w:t>藏粮于技的</w:t>
      </w:r>
      <w:proofErr w:type="gramEnd"/>
      <w:r>
        <w:rPr>
          <w:rFonts w:ascii="Times New Roman" w:eastAsia="宋体" w:hAnsi="Times New Roman" w:cs="Times New Roman"/>
          <w:sz w:val="24"/>
          <w:szCs w:val="24"/>
        </w:rPr>
        <w:t>目标，是当前农田土壤肥力评价面临的主要问题</w:t>
      </w:r>
      <w:r>
        <w:rPr>
          <w:rFonts w:ascii="Times New Roman" w:eastAsia="宋体" w:hAnsi="Times New Roman" w:cs="Times New Roman" w:hint="eastAsia"/>
          <w:sz w:val="24"/>
          <w:szCs w:val="24"/>
        </w:rPr>
        <w:t>。</w:t>
      </w:r>
    </w:p>
    <w:p w14:paraId="542CD049" w14:textId="77777777" w:rsidR="008F69C9" w:rsidRDefault="00187DF0">
      <w:pPr>
        <w:pStyle w:val="2"/>
      </w:pPr>
      <w:bookmarkStart w:id="3" w:name="_Toc25349"/>
      <w:r>
        <w:t>2.</w:t>
      </w:r>
      <w:r>
        <w:rPr>
          <w:rFonts w:hint="eastAsia"/>
        </w:rPr>
        <w:t>遥感监测土壤信息的优化</w:t>
      </w:r>
      <w:bookmarkEnd w:id="3"/>
    </w:p>
    <w:p w14:paraId="563F690B" w14:textId="77777777" w:rsidR="008F69C9" w:rsidRDefault="00187DF0">
      <w:pPr>
        <w:spacing w:line="360" w:lineRule="auto"/>
        <w:ind w:firstLineChars="200" w:firstLine="480"/>
        <w:rPr>
          <w:rFonts w:ascii="宋体" w:eastAsia="宋体" w:hAnsi="宋体"/>
          <w:sz w:val="24"/>
          <w:szCs w:val="24"/>
        </w:rPr>
      </w:pPr>
      <w:r>
        <w:rPr>
          <w:rFonts w:ascii="宋体" w:eastAsia="宋体" w:hAnsi="宋体"/>
          <w:sz w:val="24"/>
          <w:szCs w:val="24"/>
        </w:rPr>
        <w:t>遥感技术反演</w:t>
      </w:r>
      <w:r>
        <w:rPr>
          <w:rFonts w:ascii="Times New Roman" w:eastAsia="宋体" w:hAnsi="Times New Roman" w:cs="Times New Roman" w:hint="eastAsia"/>
          <w:sz w:val="24"/>
          <w:szCs w:val="24"/>
        </w:rPr>
        <w:t>土壤养分（</w:t>
      </w:r>
      <w:r>
        <w:rPr>
          <w:rFonts w:ascii="Times New Roman" w:eastAsia="宋体" w:hAnsi="Times New Roman" w:cs="Times New Roman"/>
          <w:sz w:val="24"/>
          <w:szCs w:val="24"/>
        </w:rPr>
        <w:t>碱解氮</w:t>
      </w:r>
      <w:r>
        <w:rPr>
          <w:rFonts w:ascii="Times New Roman" w:eastAsia="宋体" w:hAnsi="Times New Roman" w:cs="Times New Roman" w:hint="eastAsia"/>
          <w:sz w:val="24"/>
          <w:szCs w:val="24"/>
        </w:rPr>
        <w:t>、</w:t>
      </w:r>
      <w:r>
        <w:rPr>
          <w:rFonts w:ascii="Times New Roman" w:eastAsia="宋体" w:hAnsi="Times New Roman" w:cs="Times New Roman"/>
          <w:sz w:val="24"/>
          <w:szCs w:val="24"/>
        </w:rPr>
        <w:t>有效磷</w:t>
      </w:r>
      <w:r>
        <w:rPr>
          <w:rFonts w:ascii="Times New Roman" w:eastAsia="宋体" w:hAnsi="Times New Roman" w:cs="Times New Roman" w:hint="eastAsia"/>
          <w:sz w:val="24"/>
          <w:szCs w:val="24"/>
        </w:rPr>
        <w:t>、</w:t>
      </w:r>
      <w:r>
        <w:rPr>
          <w:rFonts w:ascii="Times New Roman" w:eastAsia="宋体" w:hAnsi="Times New Roman" w:cs="Times New Roman"/>
          <w:sz w:val="24"/>
          <w:szCs w:val="24"/>
        </w:rPr>
        <w:t>速效钾和土壤有机质</w:t>
      </w:r>
      <w:r>
        <w:rPr>
          <w:rFonts w:ascii="Times New Roman" w:eastAsia="宋体" w:hAnsi="Times New Roman" w:cs="Times New Roman" w:hint="eastAsia"/>
          <w:sz w:val="24"/>
          <w:szCs w:val="24"/>
        </w:rPr>
        <w:t>）</w:t>
      </w:r>
      <w:r>
        <w:rPr>
          <w:rFonts w:ascii="宋体" w:eastAsia="宋体" w:hAnsi="宋体"/>
          <w:sz w:val="24"/>
          <w:szCs w:val="24"/>
        </w:rPr>
        <w:t>的特性，并探讨这些关系应用于作物科学生产、管理技术中的潜力，做到因土施肥、精确管理，提高肥料利用率，增加经济效益和环境效益</w:t>
      </w:r>
      <w:r>
        <w:rPr>
          <w:rFonts w:ascii="宋体" w:eastAsia="宋体" w:hAnsi="宋体" w:hint="eastAsia"/>
          <w:sz w:val="24"/>
          <w:szCs w:val="24"/>
        </w:rPr>
        <w:t>。模型反演主要</w:t>
      </w:r>
      <w:r>
        <w:rPr>
          <w:rFonts w:ascii="宋体" w:eastAsia="宋体" w:hAnsi="宋体"/>
          <w:sz w:val="24"/>
          <w:szCs w:val="24"/>
        </w:rPr>
        <w:t>是针对当地类似的土壤质地，当这些模型应用于其他地区时，则</w:t>
      </w:r>
      <w:r>
        <w:rPr>
          <w:rFonts w:ascii="宋体" w:eastAsia="宋体" w:hAnsi="宋体" w:hint="eastAsia"/>
          <w:sz w:val="24"/>
          <w:szCs w:val="24"/>
        </w:rPr>
        <w:t>会产生一定的</w:t>
      </w:r>
      <w:r>
        <w:rPr>
          <w:rFonts w:ascii="宋体" w:eastAsia="宋体" w:hAnsi="宋体"/>
          <w:sz w:val="24"/>
          <w:szCs w:val="24"/>
        </w:rPr>
        <w:t>误差。</w:t>
      </w:r>
      <w:r>
        <w:rPr>
          <w:rFonts w:ascii="宋体" w:eastAsia="宋体" w:hAnsi="宋体" w:hint="eastAsia"/>
          <w:sz w:val="24"/>
          <w:szCs w:val="24"/>
        </w:rPr>
        <w:t>为提高遥感监测土壤信息的精度，在呼伦贝尔进行多点位的土壤样品采集，利用</w:t>
      </w:r>
      <w:r>
        <w:rPr>
          <w:rFonts w:ascii="Times New Roman" w:eastAsia="宋体" w:hAnsi="Times New Roman" w:cs="Times New Roman" w:hint="eastAsia"/>
          <w:color w:val="0D0D0D"/>
          <w:sz w:val="24"/>
          <w:szCs w:val="24"/>
        </w:rPr>
        <w:t>多光谱遥感数据，对波段进行了多种形式变换，结合实地随机土壤采样，使用机器学习方法对土壤养分信息进行估算。同时</w:t>
      </w:r>
      <w:r>
        <w:rPr>
          <w:rFonts w:ascii="宋体" w:eastAsia="宋体" w:hAnsi="宋体" w:hint="eastAsia"/>
          <w:sz w:val="24"/>
          <w:szCs w:val="24"/>
        </w:rPr>
        <w:t>依据世界土壤数据库</w:t>
      </w:r>
      <w:r>
        <w:rPr>
          <w:rFonts w:ascii="Times New Roman" w:eastAsia="宋体" w:hAnsi="Times New Roman" w:cs="Times New Roman"/>
          <w:sz w:val="24"/>
          <w:szCs w:val="24"/>
        </w:rPr>
        <w:t>HWSD</w:t>
      </w:r>
      <w:r>
        <w:rPr>
          <w:rFonts w:ascii="宋体" w:eastAsia="宋体" w:hAnsi="宋体"/>
          <w:sz w:val="24"/>
          <w:szCs w:val="24"/>
        </w:rPr>
        <w:t>，选出与建立模型样点区域土壤质地不一致的范围进行土壤采集，</w:t>
      </w:r>
      <w:r>
        <w:rPr>
          <w:rFonts w:ascii="Times New Roman" w:eastAsia="宋体" w:hAnsi="Times New Roman" w:cs="Times New Roman" w:hint="eastAsia"/>
          <w:color w:val="0D0D0D"/>
          <w:sz w:val="24"/>
          <w:szCs w:val="24"/>
        </w:rPr>
        <w:t>对</w:t>
      </w:r>
      <w:r>
        <w:rPr>
          <w:rFonts w:ascii="Times New Roman" w:eastAsia="宋体" w:hAnsi="Times New Roman" w:cs="Times New Roman" w:hint="eastAsia"/>
          <w:color w:val="0D0D0D"/>
          <w:sz w:val="24"/>
          <w:szCs w:val="24"/>
        </w:rPr>
        <w:t>24</w:t>
      </w:r>
      <w:r>
        <w:rPr>
          <w:rFonts w:ascii="Times New Roman" w:eastAsia="宋体" w:hAnsi="Times New Roman" w:cs="Times New Roman" w:hint="eastAsia"/>
          <w:color w:val="0D0D0D"/>
          <w:sz w:val="24"/>
          <w:szCs w:val="24"/>
        </w:rPr>
        <w:t>个农场的土壤</w:t>
      </w:r>
      <w:proofErr w:type="gramStart"/>
      <w:r>
        <w:rPr>
          <w:rFonts w:ascii="Times New Roman" w:eastAsia="宋体" w:hAnsi="Times New Roman" w:cs="Times New Roman" w:hint="eastAsia"/>
          <w:color w:val="0D0D0D"/>
          <w:sz w:val="24"/>
          <w:szCs w:val="24"/>
        </w:rPr>
        <w:t>养进行</w:t>
      </w:r>
      <w:proofErr w:type="gramEnd"/>
      <w:r>
        <w:rPr>
          <w:rFonts w:ascii="Times New Roman" w:eastAsia="宋体" w:hAnsi="Times New Roman" w:cs="Times New Roman" w:hint="eastAsia"/>
          <w:color w:val="0D0D0D"/>
          <w:sz w:val="24"/>
          <w:szCs w:val="24"/>
        </w:rPr>
        <w:t>针对性的采集，优化模型的普适性。</w:t>
      </w:r>
    </w:p>
    <w:p w14:paraId="59ADB3BF" w14:textId="77777777" w:rsidR="008F69C9" w:rsidRDefault="008F69C9">
      <w:pPr>
        <w:ind w:firstLineChars="100" w:firstLine="210"/>
      </w:pP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0"/>
      </w:tblGrid>
      <w:tr w:rsidR="008F69C9" w14:paraId="54434723" w14:textId="77777777">
        <w:trPr>
          <w:trHeight w:val="4017"/>
          <w:jc w:val="center"/>
        </w:trPr>
        <w:tc>
          <w:tcPr>
            <w:tcW w:w="5620" w:type="dxa"/>
          </w:tcPr>
          <w:p w14:paraId="77D57DAD" w14:textId="77777777" w:rsidR="008F69C9" w:rsidRDefault="00187DF0">
            <w:pPr>
              <w:spacing w:line="360"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lastRenderedPageBreak/>
              <w:drawing>
                <wp:inline distT="0" distB="0" distL="0" distR="0" wp14:anchorId="4C0B4991" wp14:editId="681222F4">
                  <wp:extent cx="2978785" cy="2506980"/>
                  <wp:effectExtent l="0" t="0" r="12065" b="7620"/>
                  <wp:docPr id="1" name="图片 1" descr="C:\Users\CROPPH~1\AppData\Local\Temp\WeChat Files\b23cbc52503b6929f998503531582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CROPPH~1\AppData\Local\Temp\WeChat Files\b23cbc52503b6929f998503531582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8785" cy="2506980"/>
                          </a:xfrm>
                          <a:prstGeom prst="rect">
                            <a:avLst/>
                          </a:prstGeom>
                          <a:noFill/>
                          <a:ln>
                            <a:noFill/>
                          </a:ln>
                        </pic:spPr>
                      </pic:pic>
                    </a:graphicData>
                  </a:graphic>
                </wp:inline>
              </w:drawing>
            </w:r>
          </w:p>
        </w:tc>
      </w:tr>
    </w:tbl>
    <w:p w14:paraId="340CFC22" w14:textId="77777777" w:rsidR="008F69C9" w:rsidRDefault="00187DF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t xml:space="preserve"> </w:t>
      </w:r>
      <w:r>
        <w:rPr>
          <w:rFonts w:hint="eastAsia"/>
        </w:rPr>
        <w:t>呼伦贝尔农垦</w:t>
      </w:r>
      <w:r>
        <w:rPr>
          <w:rFonts w:ascii="Times New Roman" w:hAnsi="Times New Roman" w:cs="Times New Roman"/>
        </w:rPr>
        <w:t>６００</w:t>
      </w:r>
      <w:r>
        <w:rPr>
          <w:rFonts w:hint="eastAsia"/>
        </w:rPr>
        <w:t>万亩农田的土壤质地矩形分布图</w:t>
      </w:r>
    </w:p>
    <w:p w14:paraId="713165D6" w14:textId="77777777" w:rsidR="008F69C9" w:rsidRDefault="008F69C9"/>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8F69C9" w14:paraId="553F0887" w14:textId="77777777">
        <w:trPr>
          <w:trHeight w:val="2456"/>
        </w:trPr>
        <w:tc>
          <w:tcPr>
            <w:tcW w:w="4261" w:type="dxa"/>
          </w:tcPr>
          <w:p w14:paraId="0F1CB982" w14:textId="64A17831" w:rsidR="008F69C9" w:rsidRDefault="005D1600">
            <w:pPr>
              <w:spacing w:line="360" w:lineRule="auto"/>
              <w:rPr>
                <w:rFonts w:ascii="Times New Roman" w:eastAsia="宋体" w:hAnsi="Times New Roman" w:cs="Times New Roman"/>
                <w:sz w:val="24"/>
                <w:szCs w:val="24"/>
              </w:rPr>
            </w:pPr>
            <w:r>
              <w:rPr>
                <w:noProof/>
              </w:rPr>
              <w:drawing>
                <wp:inline distT="0" distB="0" distL="0" distR="0" wp14:anchorId="7A8892F0" wp14:editId="0A72793B">
                  <wp:extent cx="2568575" cy="233235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8575" cy="2332355"/>
                          </a:xfrm>
                          <a:prstGeom prst="rect">
                            <a:avLst/>
                          </a:prstGeom>
                          <a:noFill/>
                          <a:ln>
                            <a:noFill/>
                          </a:ln>
                        </pic:spPr>
                      </pic:pic>
                    </a:graphicData>
                  </a:graphic>
                </wp:inline>
              </w:drawing>
            </w:r>
          </w:p>
        </w:tc>
        <w:tc>
          <w:tcPr>
            <w:tcW w:w="4261" w:type="dxa"/>
          </w:tcPr>
          <w:p w14:paraId="5C055FF4" w14:textId="230BA1F1" w:rsidR="008F69C9" w:rsidRDefault="005D1600">
            <w:pPr>
              <w:spacing w:line="360" w:lineRule="auto"/>
              <w:rPr>
                <w:rFonts w:ascii="Times New Roman" w:eastAsia="宋体" w:hAnsi="Times New Roman" w:cs="Times New Roman"/>
                <w:sz w:val="24"/>
                <w:szCs w:val="24"/>
              </w:rPr>
            </w:pPr>
            <w:r>
              <w:rPr>
                <w:noProof/>
              </w:rPr>
              <w:drawing>
                <wp:inline distT="0" distB="0" distL="0" distR="0" wp14:anchorId="1907905A" wp14:editId="0DD798BF">
                  <wp:extent cx="2568575" cy="2267585"/>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68575" cy="2267585"/>
                          </a:xfrm>
                          <a:prstGeom prst="rect">
                            <a:avLst/>
                          </a:prstGeom>
                          <a:noFill/>
                          <a:ln>
                            <a:noFill/>
                          </a:ln>
                        </pic:spPr>
                      </pic:pic>
                    </a:graphicData>
                  </a:graphic>
                </wp:inline>
              </w:drawing>
            </w:r>
          </w:p>
        </w:tc>
      </w:tr>
      <w:tr w:rsidR="008F69C9" w14:paraId="50EE105A" w14:textId="77777777">
        <w:trPr>
          <w:trHeight w:val="307"/>
        </w:trPr>
        <w:tc>
          <w:tcPr>
            <w:tcW w:w="4261" w:type="dxa"/>
          </w:tcPr>
          <w:p w14:paraId="6E370AAB" w14:textId="77777777" w:rsidR="008F69C9" w:rsidRDefault="00187DF0">
            <w:pPr>
              <w:spacing w:line="360" w:lineRule="auto"/>
              <w:jc w:val="center"/>
            </w:pPr>
            <w:r>
              <w:rPr>
                <w:rFonts w:hint="eastAsia"/>
              </w:rPr>
              <w:t>土壤有机质</w:t>
            </w:r>
          </w:p>
        </w:tc>
        <w:tc>
          <w:tcPr>
            <w:tcW w:w="4261" w:type="dxa"/>
          </w:tcPr>
          <w:p w14:paraId="50A123FA" w14:textId="77777777" w:rsidR="008F69C9" w:rsidRDefault="00187DF0">
            <w:pPr>
              <w:spacing w:line="360" w:lineRule="auto"/>
              <w:ind w:firstLineChars="700" w:firstLine="1470"/>
            </w:pPr>
            <w:r>
              <w:rPr>
                <w:rFonts w:hint="eastAsia"/>
              </w:rPr>
              <w:t>土壤碱解氮</w:t>
            </w:r>
          </w:p>
        </w:tc>
      </w:tr>
      <w:tr w:rsidR="008F69C9" w14:paraId="1BAEC16D" w14:textId="77777777">
        <w:trPr>
          <w:trHeight w:val="2456"/>
        </w:trPr>
        <w:tc>
          <w:tcPr>
            <w:tcW w:w="4261" w:type="dxa"/>
          </w:tcPr>
          <w:p w14:paraId="57F62110" w14:textId="22A3620F" w:rsidR="008F69C9" w:rsidRDefault="005D1600">
            <w:pPr>
              <w:spacing w:line="360" w:lineRule="auto"/>
              <w:rPr>
                <w:rFonts w:ascii="Times New Roman" w:eastAsia="宋体" w:hAnsi="Times New Roman" w:cs="Times New Roman"/>
                <w:sz w:val="24"/>
                <w:szCs w:val="24"/>
              </w:rPr>
            </w:pPr>
            <w:r>
              <w:rPr>
                <w:noProof/>
              </w:rPr>
              <w:drawing>
                <wp:inline distT="0" distB="0" distL="0" distR="0" wp14:anchorId="63444EC9" wp14:editId="62BA5D8A">
                  <wp:extent cx="2568575" cy="2332355"/>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8575" cy="2332355"/>
                          </a:xfrm>
                          <a:prstGeom prst="rect">
                            <a:avLst/>
                          </a:prstGeom>
                          <a:noFill/>
                          <a:ln>
                            <a:noFill/>
                          </a:ln>
                        </pic:spPr>
                      </pic:pic>
                    </a:graphicData>
                  </a:graphic>
                </wp:inline>
              </w:drawing>
            </w:r>
          </w:p>
        </w:tc>
        <w:tc>
          <w:tcPr>
            <w:tcW w:w="4261" w:type="dxa"/>
          </w:tcPr>
          <w:p w14:paraId="185F50E3" w14:textId="14B96D55" w:rsidR="008F69C9" w:rsidRDefault="005D1600">
            <w:pPr>
              <w:spacing w:line="360" w:lineRule="auto"/>
              <w:rPr>
                <w:rFonts w:ascii="Times New Roman" w:eastAsia="宋体" w:hAnsi="Times New Roman" w:cs="Times New Roman"/>
                <w:sz w:val="24"/>
                <w:szCs w:val="24"/>
              </w:rPr>
            </w:pPr>
            <w:r>
              <w:rPr>
                <w:noProof/>
              </w:rPr>
              <w:drawing>
                <wp:inline distT="0" distB="0" distL="0" distR="0" wp14:anchorId="099CC816" wp14:editId="1A7EFCEA">
                  <wp:extent cx="2568575" cy="229362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68575" cy="2293620"/>
                          </a:xfrm>
                          <a:prstGeom prst="rect">
                            <a:avLst/>
                          </a:prstGeom>
                          <a:noFill/>
                          <a:ln>
                            <a:noFill/>
                          </a:ln>
                        </pic:spPr>
                      </pic:pic>
                    </a:graphicData>
                  </a:graphic>
                </wp:inline>
              </w:drawing>
            </w:r>
          </w:p>
        </w:tc>
      </w:tr>
      <w:tr w:rsidR="008F69C9" w14:paraId="657F29AA" w14:textId="77777777">
        <w:trPr>
          <w:trHeight w:val="307"/>
        </w:trPr>
        <w:tc>
          <w:tcPr>
            <w:tcW w:w="4261" w:type="dxa"/>
          </w:tcPr>
          <w:p w14:paraId="1A3F257A" w14:textId="77777777" w:rsidR="008F69C9" w:rsidRDefault="00187DF0">
            <w:pPr>
              <w:spacing w:line="360" w:lineRule="auto"/>
              <w:jc w:val="center"/>
            </w:pPr>
            <w:r>
              <w:rPr>
                <w:rFonts w:hint="eastAsia"/>
              </w:rPr>
              <w:t>土壤有效磷</w:t>
            </w:r>
          </w:p>
        </w:tc>
        <w:tc>
          <w:tcPr>
            <w:tcW w:w="4261" w:type="dxa"/>
          </w:tcPr>
          <w:p w14:paraId="038D799D" w14:textId="77777777" w:rsidR="008F69C9" w:rsidRDefault="00187DF0">
            <w:pPr>
              <w:spacing w:line="360" w:lineRule="auto"/>
              <w:jc w:val="center"/>
            </w:pPr>
            <w:r>
              <w:rPr>
                <w:rFonts w:hint="eastAsia"/>
              </w:rPr>
              <w:t xml:space="preserve"> </w:t>
            </w:r>
            <w:r>
              <w:rPr>
                <w:rFonts w:hint="eastAsia"/>
              </w:rPr>
              <w:t>土壤速效钾</w:t>
            </w:r>
          </w:p>
        </w:tc>
      </w:tr>
    </w:tbl>
    <w:p w14:paraId="5A6E5059" w14:textId="77777777" w:rsidR="008F69C9" w:rsidRDefault="00187DF0">
      <w:pPr>
        <w:pStyle w:val="a3"/>
        <w:jc w:val="cente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遥感估算土壤养分的精度</w:t>
      </w:r>
    </w:p>
    <w:p w14:paraId="550D4E42" w14:textId="77777777" w:rsidR="008F69C9" w:rsidRDefault="00187DF0">
      <w:pPr>
        <w:pStyle w:val="2"/>
      </w:pPr>
      <w:bookmarkStart w:id="4" w:name="_Toc2824"/>
      <w:r>
        <w:lastRenderedPageBreak/>
        <w:t>3.</w:t>
      </w:r>
      <w:r>
        <w:rPr>
          <w:rFonts w:hint="eastAsia"/>
        </w:rPr>
        <w:t>遥感监测土壤信息意义</w:t>
      </w:r>
      <w:bookmarkEnd w:id="4"/>
    </w:p>
    <w:p w14:paraId="7A801157" w14:textId="77777777" w:rsidR="008F69C9" w:rsidRDefault="00187DF0">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土壤是植物赖以生存的环境条件，而土壤养分则是其中很重要的一方面。土壤提供的植物生长所必须的营养元素，是土壤中能直接或经转化后被植物根系吸收的矿质营养成分。在耕作土壤中，来源除了自身的</w:t>
      </w:r>
      <w:r>
        <w:rPr>
          <w:rFonts w:ascii="Times New Roman" w:eastAsia="宋体" w:hAnsi="Times New Roman" w:cs="Times New Roman"/>
          <w:sz w:val="24"/>
          <w:szCs w:val="24"/>
        </w:rPr>
        <w:t>土壤矿物质和土壤有机质</w:t>
      </w:r>
      <w:r>
        <w:rPr>
          <w:rFonts w:ascii="Times New Roman" w:eastAsia="宋体" w:hAnsi="Times New Roman" w:cs="Times New Roman" w:hint="eastAsia"/>
          <w:sz w:val="24"/>
          <w:szCs w:val="24"/>
        </w:rPr>
        <w:t>外，很大一部分来源于种植过程中人为的施肥和灌溉。人为因素的扰动会对土壤原本的结构和供肥能力产生影响。因此，对土壤养分的持续监测就显得尤为重要</w:t>
      </w:r>
    </w:p>
    <w:p w14:paraId="1E262EDE" w14:textId="77777777" w:rsidR="008F69C9" w:rsidRDefault="00187DF0">
      <w:pPr>
        <w:pStyle w:val="3"/>
      </w:pPr>
      <w:bookmarkStart w:id="5" w:name="_Toc14710"/>
      <w:r>
        <w:t>3.1</w:t>
      </w:r>
      <w:r>
        <w:rPr>
          <w:rFonts w:hint="eastAsia"/>
        </w:rPr>
        <w:t>提高肥料利用率</w:t>
      </w:r>
      <w:bookmarkEnd w:id="5"/>
    </w:p>
    <w:p w14:paraId="39E0C2A8" w14:textId="77777777" w:rsidR="008F69C9" w:rsidRDefault="00187DF0">
      <w:pPr>
        <w:widowControl/>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目前我国每年化肥利用率平均仅为</w:t>
      </w:r>
      <w:r>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，氮肥的利用率一般为</w:t>
      </w:r>
      <w:r>
        <w:rPr>
          <w:rFonts w:ascii="Times New Roman" w:eastAsia="宋体" w:hAnsi="Times New Roman" w:cs="Times New Roman"/>
          <w:kern w:val="0"/>
          <w:sz w:val="24"/>
          <w:szCs w:val="24"/>
        </w:rPr>
        <w:t>30%-50%</w:t>
      </w:r>
      <w:r>
        <w:rPr>
          <w:rFonts w:ascii="Times New Roman" w:eastAsia="宋体" w:hAnsi="Times New Roman" w:cs="Times New Roman"/>
          <w:kern w:val="0"/>
          <w:sz w:val="24"/>
          <w:szCs w:val="24"/>
        </w:rPr>
        <w:t>，磷肥的利用率一般为</w:t>
      </w:r>
      <w:r>
        <w:rPr>
          <w:rFonts w:ascii="Times New Roman" w:eastAsia="宋体" w:hAnsi="Times New Roman" w:cs="Times New Roman"/>
          <w:kern w:val="0"/>
          <w:sz w:val="24"/>
          <w:szCs w:val="24"/>
        </w:rPr>
        <w:t>10%-15%</w:t>
      </w:r>
      <w:r>
        <w:rPr>
          <w:rFonts w:ascii="Times New Roman" w:eastAsia="宋体" w:hAnsi="Times New Roman" w:cs="Times New Roman"/>
          <w:kern w:val="0"/>
          <w:sz w:val="24"/>
          <w:szCs w:val="24"/>
        </w:rPr>
        <w:t>，钾肥的利用率一般为</w:t>
      </w:r>
      <w:r>
        <w:rPr>
          <w:rFonts w:ascii="Times New Roman" w:eastAsia="宋体" w:hAnsi="Times New Roman" w:cs="Times New Roman"/>
          <w:kern w:val="0"/>
          <w:sz w:val="24"/>
          <w:szCs w:val="24"/>
        </w:rPr>
        <w:t>40%-70%</w:t>
      </w:r>
      <w:r>
        <w:rPr>
          <w:rFonts w:ascii="Times New Roman" w:eastAsia="宋体" w:hAnsi="Times New Roman" w:cs="Times New Roman"/>
          <w:kern w:val="0"/>
          <w:sz w:val="24"/>
          <w:szCs w:val="24"/>
        </w:rPr>
        <w:t>。导致化肥利用率偏低的原因很多，但施肥量和施肥比例不合理，是其中的主要因素。结合土壤</w:t>
      </w:r>
      <w:r>
        <w:rPr>
          <w:rFonts w:ascii="Times New Roman" w:eastAsia="宋体" w:hAnsi="Times New Roman" w:cs="Times New Roman" w:hint="eastAsia"/>
          <w:kern w:val="0"/>
          <w:sz w:val="24"/>
          <w:szCs w:val="24"/>
        </w:rPr>
        <w:t>养分遥感监测，</w:t>
      </w:r>
      <w:r>
        <w:rPr>
          <w:rFonts w:ascii="Times New Roman" w:eastAsia="宋体" w:hAnsi="Times New Roman" w:cs="Times New Roman"/>
          <w:kern w:val="0"/>
          <w:sz w:val="24"/>
          <w:szCs w:val="24"/>
        </w:rPr>
        <w:t>准确掌握土壤供肥特性、</w:t>
      </w:r>
      <w:r>
        <w:rPr>
          <w:rFonts w:ascii="Times New Roman" w:eastAsia="宋体" w:hAnsi="Times New Roman" w:cs="Times New Roman" w:hint="eastAsia"/>
          <w:kern w:val="0"/>
          <w:sz w:val="24"/>
          <w:szCs w:val="24"/>
        </w:rPr>
        <w:t>根据作物的茬口，种植方式，</w:t>
      </w:r>
      <w:r>
        <w:rPr>
          <w:rFonts w:ascii="Times New Roman" w:eastAsia="宋体" w:hAnsi="Times New Roman" w:cs="Times New Roman"/>
          <w:kern w:val="0"/>
          <w:sz w:val="24"/>
          <w:szCs w:val="24"/>
        </w:rPr>
        <w:t>以及关键生育期的养分吸收规律，制定出合理的</w:t>
      </w:r>
      <w:r>
        <w:rPr>
          <w:rFonts w:ascii="Times New Roman" w:eastAsia="宋体" w:hAnsi="Times New Roman" w:cs="Times New Roman" w:hint="eastAsia"/>
          <w:kern w:val="0"/>
          <w:sz w:val="24"/>
          <w:szCs w:val="24"/>
        </w:rPr>
        <w:t>植物</w:t>
      </w:r>
      <w:r>
        <w:rPr>
          <w:rFonts w:ascii="Times New Roman" w:eastAsia="宋体" w:hAnsi="Times New Roman" w:cs="Times New Roman"/>
          <w:kern w:val="0"/>
          <w:sz w:val="24"/>
          <w:szCs w:val="24"/>
        </w:rPr>
        <w:t>营养方案</w:t>
      </w: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科学调控其营养均衡供应，提高</w:t>
      </w:r>
      <w:r>
        <w:rPr>
          <w:rFonts w:ascii="Times New Roman" w:eastAsia="宋体" w:hAnsi="Times New Roman" w:cs="Times New Roman" w:hint="eastAsia"/>
          <w:kern w:val="0"/>
          <w:sz w:val="24"/>
          <w:szCs w:val="24"/>
        </w:rPr>
        <w:t>肥料利用率。</w:t>
      </w:r>
    </w:p>
    <w:p w14:paraId="7E986FDC" w14:textId="77777777" w:rsidR="008F69C9" w:rsidRDefault="00187DF0">
      <w:pPr>
        <w:pStyle w:val="3"/>
      </w:pPr>
      <w:bookmarkStart w:id="6" w:name="_Toc1467"/>
      <w:r>
        <w:t>3.2</w:t>
      </w:r>
      <w:r>
        <w:rPr>
          <w:rFonts w:hint="eastAsia"/>
        </w:rPr>
        <w:t>减少化肥使用量</w:t>
      </w:r>
      <w:bookmarkEnd w:id="6"/>
    </w:p>
    <w:p w14:paraId="39083A0B" w14:textId="77777777" w:rsidR="008F69C9" w:rsidRDefault="00187DF0">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以遥感监测为基础，最大限度地利用土壤基础养分，在提高肥料利用率的基础上，</w:t>
      </w:r>
      <w:r>
        <w:rPr>
          <w:rFonts w:ascii="Times New Roman" w:eastAsia="宋体" w:hAnsi="Times New Roman" w:cs="Times New Roman"/>
          <w:kern w:val="0"/>
          <w:sz w:val="24"/>
          <w:szCs w:val="24"/>
        </w:rPr>
        <w:t>同时有针对性地补充作物所需的营养元素</w:t>
      </w:r>
      <w:r>
        <w:rPr>
          <w:rFonts w:ascii="Times New Roman" w:eastAsia="宋体" w:hAnsi="Times New Roman" w:cs="Times New Roman"/>
          <w:kern w:val="0"/>
          <w:sz w:val="24"/>
          <w:szCs w:val="24"/>
        </w:rPr>
        <w:t>，作物缺什么元素就补充什么元素，需要多少补多少，实现各种养分平衡供应，满足作物的需要</w:t>
      </w:r>
      <w:r>
        <w:rPr>
          <w:rFonts w:ascii="Times New Roman" w:eastAsia="宋体" w:hAnsi="Times New Roman" w:cs="Times New Roman" w:hint="eastAsia"/>
          <w:kern w:val="0"/>
          <w:sz w:val="24"/>
          <w:szCs w:val="24"/>
        </w:rPr>
        <w:t>。降低肥料的使用量。</w:t>
      </w:r>
    </w:p>
    <w:p w14:paraId="0BA779DD" w14:textId="77777777" w:rsidR="008F69C9" w:rsidRDefault="00187DF0">
      <w:pPr>
        <w:pStyle w:val="3"/>
      </w:pPr>
      <w:bookmarkStart w:id="7" w:name="_Toc31089"/>
      <w:r>
        <w:t>3.3</w:t>
      </w:r>
      <w:r>
        <w:rPr>
          <w:rFonts w:hint="eastAsia"/>
        </w:rPr>
        <w:t>农资物品提前采购规划</w:t>
      </w:r>
      <w:bookmarkEnd w:id="7"/>
    </w:p>
    <w:p w14:paraId="32FAB9CD" w14:textId="77777777" w:rsidR="008F69C9" w:rsidRDefault="00187DF0">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与传统的</w:t>
      </w:r>
      <w:r>
        <w:rPr>
          <w:rFonts w:ascii="Times New Roman" w:eastAsia="宋体" w:hAnsi="Times New Roman" w:cs="Times New Roman" w:hint="eastAsia"/>
          <w:kern w:val="0"/>
          <w:sz w:val="24"/>
          <w:szCs w:val="24"/>
        </w:rPr>
        <w:t>土壤养分监测相比，</w:t>
      </w:r>
      <w:r>
        <w:rPr>
          <w:rFonts w:ascii="Times New Roman" w:eastAsia="宋体" w:hAnsi="Times New Roman" w:cs="Times New Roman"/>
          <w:kern w:val="0"/>
          <w:sz w:val="24"/>
          <w:szCs w:val="24"/>
        </w:rPr>
        <w:t>遥感监测技术具有宏观性、经济性、动态性、时效性等特征</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可以及时、准确的反映出春播前农场区域的土壤养分动态。结合遥感作物识别模型及农场的种植计划以及不同作物的营养方案。对不同区域，作物所需的肥料，及时快速的做出统筹，提前采购化肥等农用物资，保证春播的效益进度。</w:t>
      </w:r>
    </w:p>
    <w:p w14:paraId="57B6AEE2" w14:textId="77777777" w:rsidR="008F69C9" w:rsidRDefault="00187DF0">
      <w:pPr>
        <w:pStyle w:val="3"/>
      </w:pPr>
      <w:bookmarkStart w:id="8" w:name="_Toc14126"/>
      <w:r>
        <w:lastRenderedPageBreak/>
        <w:t>3.4</w:t>
      </w:r>
      <w:r>
        <w:rPr>
          <w:rFonts w:hint="eastAsia"/>
        </w:rPr>
        <w:t>评价黑土地保护成果</w:t>
      </w:r>
      <w:bookmarkEnd w:id="8"/>
    </w:p>
    <w:p w14:paraId="166003E6" w14:textId="77777777" w:rsidR="008F69C9" w:rsidRDefault="00187DF0">
      <w:pPr>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以土壤遥感监测为基础，实现精准施肥，</w:t>
      </w:r>
      <w:r>
        <w:rPr>
          <w:rFonts w:ascii="Times New Roman" w:eastAsia="宋体" w:hAnsi="Times New Roman" w:cs="Times New Roman"/>
          <w:kern w:val="0"/>
          <w:sz w:val="24"/>
          <w:szCs w:val="24"/>
        </w:rPr>
        <w:t>可有效控制化肥的投入量，减少肥</w:t>
      </w:r>
      <w:r>
        <w:rPr>
          <w:rFonts w:ascii="Times New Roman" w:eastAsia="宋体" w:hAnsi="Times New Roman" w:cs="Times New Roman"/>
          <w:kern w:val="0"/>
          <w:sz w:val="24"/>
          <w:szCs w:val="24"/>
        </w:rPr>
        <w:t>料的面源污染，从而达到养分供应和作物需求的时空一致性，实现作物高产和生态环境保护相协调的目标。坚持用地和养地相结合，有机肥和无机肥相结合。在逐年提高农作物连作单产的基础上，不断改善田土的理化性状，达到培肥改土，提高土壤综合生产能力的可持续发展的目的。</w:t>
      </w:r>
      <w:r>
        <w:rPr>
          <w:rFonts w:ascii="Times New Roman" w:eastAsia="宋体" w:hAnsi="Times New Roman" w:cs="Times New Roman" w:hint="eastAsia"/>
          <w:kern w:val="0"/>
          <w:sz w:val="24"/>
          <w:szCs w:val="24"/>
        </w:rPr>
        <w:t>通过对每个种植季在播种前的持续动态监测，分析评判土壤的养分供应能力，同时给出有机质的变幅曲线，进而评价黑土地保护成果。</w:t>
      </w:r>
    </w:p>
    <w:p w14:paraId="7C824254" w14:textId="77777777" w:rsidR="008F69C9" w:rsidRDefault="00187DF0">
      <w:pPr>
        <w:pStyle w:val="2"/>
      </w:pPr>
      <w:bookmarkStart w:id="9" w:name="_Toc3084"/>
      <w:r>
        <w:t>4.</w:t>
      </w:r>
      <w:r>
        <w:rPr>
          <w:rFonts w:hint="eastAsia"/>
        </w:rPr>
        <w:t>遥感土壤监测经济效益评价</w:t>
      </w:r>
      <w:bookmarkEnd w:id="9"/>
    </w:p>
    <w:p w14:paraId="2C377E10" w14:textId="77777777" w:rsidR="008F69C9" w:rsidRDefault="00187DF0">
      <w:pPr>
        <w:pStyle w:val="3"/>
      </w:pPr>
      <w:bookmarkStart w:id="10" w:name="_Toc6434"/>
      <w:r>
        <w:t>4.1</w:t>
      </w:r>
      <w:r>
        <w:rPr>
          <w:rFonts w:hint="eastAsia"/>
        </w:rPr>
        <w:t>降低生产成本，促进节本增效</w:t>
      </w:r>
      <w:bookmarkEnd w:id="10"/>
    </w:p>
    <w:p w14:paraId="67EBF4DE" w14:textId="77777777" w:rsidR="008F69C9" w:rsidRDefault="00187DF0">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土壤遥感监测相比传统的土壤养分监测而言，降低了人工采样，运输，检验的经济成本，缩短了用时。以此为依托制定的植物营养方案，在最大限度发挥耕地的生产潜力的同时，通过提高肥料利用率，减少了肥料使用量，降低农业生产投入。目前旱作农业</w:t>
      </w:r>
      <w:r>
        <w:rPr>
          <w:rFonts w:ascii="Times New Roman" w:eastAsia="宋体" w:hAnsi="Times New Roman" w:cs="Times New Roman"/>
          <w:kern w:val="0"/>
          <w:sz w:val="24"/>
          <w:szCs w:val="24"/>
        </w:rPr>
        <w:t>氮肥的利用率一般为</w:t>
      </w:r>
      <w:r>
        <w:rPr>
          <w:rFonts w:ascii="Times New Roman" w:eastAsia="宋体" w:hAnsi="Times New Roman" w:cs="Times New Roman"/>
          <w:kern w:val="0"/>
          <w:sz w:val="24"/>
          <w:szCs w:val="24"/>
        </w:rPr>
        <w:t>30%-50%</w:t>
      </w:r>
      <w:r>
        <w:rPr>
          <w:rFonts w:ascii="Times New Roman" w:eastAsia="宋体" w:hAnsi="Times New Roman" w:cs="Times New Roman"/>
          <w:kern w:val="0"/>
          <w:sz w:val="24"/>
          <w:szCs w:val="24"/>
        </w:rPr>
        <w:t>，磷肥的利用率一般为</w:t>
      </w:r>
      <w:r>
        <w:rPr>
          <w:rFonts w:ascii="Times New Roman" w:eastAsia="宋体" w:hAnsi="Times New Roman" w:cs="Times New Roman"/>
          <w:kern w:val="0"/>
          <w:sz w:val="24"/>
          <w:szCs w:val="24"/>
        </w:rPr>
        <w:t>10%-15%</w:t>
      </w:r>
      <w:r>
        <w:rPr>
          <w:rFonts w:ascii="Times New Roman" w:eastAsia="宋体" w:hAnsi="Times New Roman" w:cs="Times New Roman"/>
          <w:kern w:val="0"/>
          <w:sz w:val="24"/>
          <w:szCs w:val="24"/>
        </w:rPr>
        <w:t>，钾肥的利用率一般为</w:t>
      </w:r>
      <w:r>
        <w:rPr>
          <w:rFonts w:ascii="Times New Roman" w:eastAsia="宋体" w:hAnsi="Times New Roman" w:cs="Times New Roman"/>
          <w:kern w:val="0"/>
          <w:sz w:val="24"/>
          <w:szCs w:val="24"/>
        </w:rPr>
        <w:t>40%-70%</w:t>
      </w:r>
      <w:r>
        <w:rPr>
          <w:rFonts w:ascii="Times New Roman" w:eastAsia="宋体" w:hAnsi="Times New Roman" w:cs="Times New Roman" w:hint="eastAsia"/>
          <w:kern w:val="0"/>
          <w:sz w:val="24"/>
          <w:szCs w:val="24"/>
        </w:rPr>
        <w:t>，节本增效潜力巨大。</w:t>
      </w:r>
    </w:p>
    <w:p w14:paraId="621DC64F" w14:textId="77777777" w:rsidR="008F69C9" w:rsidRDefault="00187DF0">
      <w:pPr>
        <w:pStyle w:val="3"/>
      </w:pPr>
      <w:bookmarkStart w:id="11" w:name="_Toc27900"/>
      <w:r>
        <w:t>4.2</w:t>
      </w:r>
      <w:r>
        <w:rPr>
          <w:rFonts w:hint="eastAsia"/>
        </w:rPr>
        <w:t>提高作物产量，保障粮食安全</w:t>
      </w:r>
      <w:bookmarkEnd w:id="11"/>
    </w:p>
    <w:p w14:paraId="2B4DA07D" w14:textId="77777777" w:rsidR="008F69C9" w:rsidRDefault="00187DF0">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在粮食安全方面，测土配方施肥是基础保障。肥料是粮食生产的物质基础，粮食产量的一半来自化肥，科学施肥对于稳固国家粮食安全具有基础保障作</w:t>
      </w:r>
      <w:r>
        <w:rPr>
          <w:rFonts w:ascii="Times New Roman" w:eastAsia="宋体" w:hAnsi="Times New Roman" w:cs="Times New Roman" w:hint="eastAsia"/>
          <w:kern w:val="0"/>
          <w:sz w:val="24"/>
          <w:szCs w:val="24"/>
        </w:rPr>
        <w:t>用。在绿色发展，质量兴农方面，测土配方施肥是核心要素。养分是构成农产品品质的核心，合理施肥是提质增效的关键措施。利用土壤遥感监测可以为测土配方提供数据支撑，能够有效促进农业增产增收，实现可持续发展。</w:t>
      </w:r>
    </w:p>
    <w:p w14:paraId="5C12A271" w14:textId="77777777" w:rsidR="008F69C9" w:rsidRDefault="00187DF0">
      <w:pPr>
        <w:pStyle w:val="3"/>
      </w:pPr>
      <w:bookmarkStart w:id="12" w:name="_Toc25997"/>
      <w:r>
        <w:t>4.3</w:t>
      </w:r>
      <w:r>
        <w:rPr>
          <w:rFonts w:hint="eastAsia"/>
        </w:rPr>
        <w:t>提升品质，降低农业风险</w:t>
      </w:r>
      <w:bookmarkEnd w:id="12"/>
    </w:p>
    <w:p w14:paraId="51EEAA62" w14:textId="77777777" w:rsidR="008F69C9" w:rsidRDefault="00187DF0">
      <w:pPr>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通过科学的养分管理，结合作物的吸肥规律。避免过量施肥造成的徒长，倒</w:t>
      </w:r>
      <w:r>
        <w:rPr>
          <w:rFonts w:ascii="Times New Roman" w:eastAsia="宋体" w:hAnsi="Times New Roman" w:cs="Times New Roman" w:hint="eastAsia"/>
          <w:kern w:val="0"/>
          <w:sz w:val="24"/>
          <w:szCs w:val="24"/>
        </w:rPr>
        <w:lastRenderedPageBreak/>
        <w:t>伏现象，增强地域自然灾害的能力。合理的培</w:t>
      </w:r>
      <w:proofErr w:type="gramStart"/>
      <w:r>
        <w:rPr>
          <w:rFonts w:ascii="Times New Roman" w:eastAsia="宋体" w:hAnsi="Times New Roman" w:cs="Times New Roman" w:hint="eastAsia"/>
          <w:kern w:val="0"/>
          <w:sz w:val="24"/>
          <w:szCs w:val="24"/>
        </w:rPr>
        <w:t>肥技术</w:t>
      </w:r>
      <w:proofErr w:type="gramEnd"/>
      <w:r>
        <w:rPr>
          <w:rFonts w:ascii="Times New Roman" w:eastAsia="宋体" w:hAnsi="Times New Roman" w:cs="Times New Roman" w:hint="eastAsia"/>
          <w:kern w:val="0"/>
          <w:sz w:val="24"/>
          <w:szCs w:val="24"/>
        </w:rPr>
        <w:t>在，保证作物产量的同时还能增强抗病虫害能力，减少农药施用量，提升农产品品质。</w:t>
      </w:r>
    </w:p>
    <w:sectPr w:rsidR="008F69C9">
      <w:footerReference w:type="default" r:id="rId16"/>
      <w:footerReference w:type="firs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24B79" w14:textId="77777777" w:rsidR="00187DF0" w:rsidRDefault="00187DF0">
      <w:r>
        <w:separator/>
      </w:r>
    </w:p>
  </w:endnote>
  <w:endnote w:type="continuationSeparator" w:id="0">
    <w:p w14:paraId="4A32D514" w14:textId="77777777" w:rsidR="00187DF0" w:rsidRDefault="00187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E744F" w14:textId="77777777" w:rsidR="008F69C9" w:rsidRDefault="008F69C9">
    <w:pPr>
      <w:pStyle w:val="a4"/>
      <w:jc w:val="center"/>
    </w:pPr>
  </w:p>
  <w:p w14:paraId="3AA0DAC2" w14:textId="77777777" w:rsidR="008F69C9" w:rsidRDefault="008F69C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FA427" w14:textId="77777777" w:rsidR="008F69C9" w:rsidRDefault="008F69C9">
    <w:pPr>
      <w:pStyle w:val="a4"/>
      <w:jc w:val="center"/>
    </w:pPr>
  </w:p>
  <w:p w14:paraId="58D93320" w14:textId="77777777" w:rsidR="008F69C9" w:rsidRDefault="008F69C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095568"/>
      <w:docPartObj>
        <w:docPartGallery w:val="AutoText"/>
      </w:docPartObj>
    </w:sdtPr>
    <w:sdtEndPr/>
    <w:sdtContent>
      <w:p w14:paraId="3949C1FF" w14:textId="77777777" w:rsidR="008F69C9" w:rsidRDefault="00187DF0">
        <w:pPr>
          <w:pStyle w:val="a4"/>
          <w:jc w:val="center"/>
        </w:pPr>
        <w:r>
          <w:fldChar w:fldCharType="begin"/>
        </w:r>
        <w:r>
          <w:instrText>PAGE   \* MERGE</w:instrText>
        </w:r>
        <w:r>
          <w:instrText>FORMAT</w:instrText>
        </w:r>
        <w:r>
          <w:fldChar w:fldCharType="separate"/>
        </w:r>
        <w:r>
          <w:rPr>
            <w:lang w:val="zh-CN"/>
          </w:rPr>
          <w:t>2</w:t>
        </w:r>
        <w:r>
          <w:fldChar w:fldCharType="end"/>
        </w:r>
      </w:p>
    </w:sdtContent>
  </w:sdt>
  <w:p w14:paraId="5DA4368A" w14:textId="77777777" w:rsidR="008F69C9" w:rsidRDefault="008F69C9">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907834"/>
      <w:docPartObj>
        <w:docPartGallery w:val="AutoText"/>
      </w:docPartObj>
    </w:sdtPr>
    <w:sdtEndPr/>
    <w:sdtContent>
      <w:p w14:paraId="009D6070" w14:textId="77777777" w:rsidR="008F69C9" w:rsidRDefault="00187DF0">
        <w:pPr>
          <w:pStyle w:val="a4"/>
          <w:jc w:val="center"/>
        </w:pPr>
        <w:r>
          <w:fldChar w:fldCharType="begin"/>
        </w:r>
        <w:r>
          <w:instrText>PAGE   \* MERGEFORMAT</w:instrText>
        </w:r>
        <w:r>
          <w:fldChar w:fldCharType="separate"/>
        </w:r>
        <w:r>
          <w:rPr>
            <w:lang w:val="zh-CN"/>
          </w:rPr>
          <w:t>2</w:t>
        </w:r>
        <w:r>
          <w:fldChar w:fldCharType="end"/>
        </w:r>
      </w:p>
    </w:sdtContent>
  </w:sdt>
  <w:p w14:paraId="308957AB" w14:textId="77777777" w:rsidR="008F69C9" w:rsidRDefault="008F69C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D295C" w14:textId="77777777" w:rsidR="00187DF0" w:rsidRDefault="00187DF0">
      <w:r>
        <w:separator/>
      </w:r>
    </w:p>
  </w:footnote>
  <w:footnote w:type="continuationSeparator" w:id="0">
    <w:p w14:paraId="65190F22" w14:textId="77777777" w:rsidR="00187DF0" w:rsidRDefault="00187D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E3CA6"/>
    <w:multiLevelType w:val="multilevel"/>
    <w:tmpl w:val="089E3CA6"/>
    <w:lvl w:ilvl="0">
      <w:start w:val="1"/>
      <w:numFmt w:val="decimal"/>
      <w:lvlText w:val="%1."/>
      <w:lvlJc w:val="left"/>
      <w:pPr>
        <w:ind w:left="516" w:hanging="360"/>
      </w:pPr>
      <w:rPr>
        <w:rFonts w:hint="default"/>
      </w:rPr>
    </w:lvl>
    <w:lvl w:ilvl="1">
      <w:start w:val="1"/>
      <w:numFmt w:val="lowerLetter"/>
      <w:lvlText w:val="%2)"/>
      <w:lvlJc w:val="left"/>
      <w:pPr>
        <w:ind w:left="996" w:hanging="420"/>
      </w:pPr>
    </w:lvl>
    <w:lvl w:ilvl="2">
      <w:start w:val="1"/>
      <w:numFmt w:val="lowerRoman"/>
      <w:lvlText w:val="%3."/>
      <w:lvlJc w:val="right"/>
      <w:pPr>
        <w:ind w:left="1416" w:hanging="420"/>
      </w:pPr>
    </w:lvl>
    <w:lvl w:ilvl="3">
      <w:start w:val="1"/>
      <w:numFmt w:val="decimal"/>
      <w:lvlText w:val="%4."/>
      <w:lvlJc w:val="left"/>
      <w:pPr>
        <w:ind w:left="1836" w:hanging="420"/>
      </w:pPr>
    </w:lvl>
    <w:lvl w:ilvl="4">
      <w:start w:val="1"/>
      <w:numFmt w:val="lowerLetter"/>
      <w:lvlText w:val="%5)"/>
      <w:lvlJc w:val="left"/>
      <w:pPr>
        <w:ind w:left="2256" w:hanging="420"/>
      </w:pPr>
    </w:lvl>
    <w:lvl w:ilvl="5">
      <w:start w:val="1"/>
      <w:numFmt w:val="lowerRoman"/>
      <w:lvlText w:val="%6."/>
      <w:lvlJc w:val="right"/>
      <w:pPr>
        <w:ind w:left="2676" w:hanging="420"/>
      </w:pPr>
    </w:lvl>
    <w:lvl w:ilvl="6">
      <w:start w:val="1"/>
      <w:numFmt w:val="decimal"/>
      <w:lvlText w:val="%7."/>
      <w:lvlJc w:val="left"/>
      <w:pPr>
        <w:ind w:left="3096" w:hanging="420"/>
      </w:pPr>
    </w:lvl>
    <w:lvl w:ilvl="7">
      <w:start w:val="1"/>
      <w:numFmt w:val="lowerLetter"/>
      <w:lvlText w:val="%8)"/>
      <w:lvlJc w:val="left"/>
      <w:pPr>
        <w:ind w:left="3516" w:hanging="420"/>
      </w:pPr>
    </w:lvl>
    <w:lvl w:ilvl="8">
      <w:start w:val="1"/>
      <w:numFmt w:val="lowerRoman"/>
      <w:lvlText w:val="%9."/>
      <w:lvlJc w:val="right"/>
      <w:pPr>
        <w:ind w:left="393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8EC"/>
    <w:rsid w:val="000045DB"/>
    <w:rsid w:val="00004D17"/>
    <w:rsid w:val="00014B97"/>
    <w:rsid w:val="000558F9"/>
    <w:rsid w:val="000A7CF8"/>
    <w:rsid w:val="000E0AC3"/>
    <w:rsid w:val="0010362E"/>
    <w:rsid w:val="00103BC7"/>
    <w:rsid w:val="00131010"/>
    <w:rsid w:val="001727F9"/>
    <w:rsid w:val="00174E5F"/>
    <w:rsid w:val="00182D5A"/>
    <w:rsid w:val="00187DF0"/>
    <w:rsid w:val="00190348"/>
    <w:rsid w:val="00197344"/>
    <w:rsid w:val="001E3337"/>
    <w:rsid w:val="001F15AC"/>
    <w:rsid w:val="0023426B"/>
    <w:rsid w:val="0024208F"/>
    <w:rsid w:val="00280F4D"/>
    <w:rsid w:val="003114D9"/>
    <w:rsid w:val="00362B00"/>
    <w:rsid w:val="00371671"/>
    <w:rsid w:val="003C2376"/>
    <w:rsid w:val="0043516A"/>
    <w:rsid w:val="004473A1"/>
    <w:rsid w:val="00450240"/>
    <w:rsid w:val="004B56CC"/>
    <w:rsid w:val="004E2211"/>
    <w:rsid w:val="004F542A"/>
    <w:rsid w:val="005103AA"/>
    <w:rsid w:val="0052491F"/>
    <w:rsid w:val="005409A4"/>
    <w:rsid w:val="00546E9B"/>
    <w:rsid w:val="00562882"/>
    <w:rsid w:val="00564ED0"/>
    <w:rsid w:val="005A506C"/>
    <w:rsid w:val="005B3AAB"/>
    <w:rsid w:val="005C05B6"/>
    <w:rsid w:val="005D1600"/>
    <w:rsid w:val="005E38FC"/>
    <w:rsid w:val="00631387"/>
    <w:rsid w:val="00632C5C"/>
    <w:rsid w:val="00634CD6"/>
    <w:rsid w:val="00684EF8"/>
    <w:rsid w:val="006C2533"/>
    <w:rsid w:val="006D201B"/>
    <w:rsid w:val="006F5889"/>
    <w:rsid w:val="00764FBC"/>
    <w:rsid w:val="0076735D"/>
    <w:rsid w:val="0077476E"/>
    <w:rsid w:val="00786362"/>
    <w:rsid w:val="007C3E30"/>
    <w:rsid w:val="00803B14"/>
    <w:rsid w:val="008433FD"/>
    <w:rsid w:val="00847273"/>
    <w:rsid w:val="00895835"/>
    <w:rsid w:val="008C2C55"/>
    <w:rsid w:val="008F69C9"/>
    <w:rsid w:val="00903DD6"/>
    <w:rsid w:val="00924178"/>
    <w:rsid w:val="00945C80"/>
    <w:rsid w:val="00953EAD"/>
    <w:rsid w:val="0098749B"/>
    <w:rsid w:val="009A29A3"/>
    <w:rsid w:val="009A7CD8"/>
    <w:rsid w:val="009B2061"/>
    <w:rsid w:val="009C2E47"/>
    <w:rsid w:val="00A857D5"/>
    <w:rsid w:val="00A914F7"/>
    <w:rsid w:val="00B019C2"/>
    <w:rsid w:val="00B03AD1"/>
    <w:rsid w:val="00B379F0"/>
    <w:rsid w:val="00B74B9F"/>
    <w:rsid w:val="00B978BD"/>
    <w:rsid w:val="00BC1238"/>
    <w:rsid w:val="00BC7992"/>
    <w:rsid w:val="00BD721B"/>
    <w:rsid w:val="00C24719"/>
    <w:rsid w:val="00C4682E"/>
    <w:rsid w:val="00C642E3"/>
    <w:rsid w:val="00C86B2B"/>
    <w:rsid w:val="00CC08EC"/>
    <w:rsid w:val="00D135D4"/>
    <w:rsid w:val="00D57E0A"/>
    <w:rsid w:val="00D65FB3"/>
    <w:rsid w:val="00D74107"/>
    <w:rsid w:val="00DC3559"/>
    <w:rsid w:val="00DE69BE"/>
    <w:rsid w:val="00E07899"/>
    <w:rsid w:val="00E37A7B"/>
    <w:rsid w:val="00E919B5"/>
    <w:rsid w:val="00EA0A26"/>
    <w:rsid w:val="00EB111D"/>
    <w:rsid w:val="00ED44CB"/>
    <w:rsid w:val="00EE093A"/>
    <w:rsid w:val="00F27CFF"/>
    <w:rsid w:val="00F3118D"/>
    <w:rsid w:val="00F46CDD"/>
    <w:rsid w:val="00F67E46"/>
    <w:rsid w:val="00F84CE7"/>
    <w:rsid w:val="00F94082"/>
    <w:rsid w:val="00F947C8"/>
    <w:rsid w:val="34F25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7711"/>
  <w15:docId w15:val="{0161D427-15B9-44AF-AA2B-DC880415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黑体"/>
      <w:b/>
      <w:bCs/>
      <w:sz w:val="30"/>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pPr>
      <w:ind w:leftChars="400" w:left="840"/>
    </w:p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pPr>
      <w:ind w:leftChars="200" w:left="420"/>
    </w:p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000FF"/>
      <w:u w:val="single"/>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qFormat/>
    <w:rPr>
      <w:sz w:val="18"/>
      <w:szCs w:val="18"/>
    </w:rPr>
  </w:style>
  <w:style w:type="paragraph" w:styleId="aa">
    <w:name w:val="List Paragraph"/>
    <w:basedOn w:val="a"/>
    <w:uiPriority w:val="34"/>
    <w:qFormat/>
    <w:pPr>
      <w:widowControl/>
      <w:ind w:firstLineChars="200" w:firstLine="420"/>
      <w:jc w:val="left"/>
    </w:pPr>
    <w:rPr>
      <w:rFonts w:ascii="宋体" w:eastAsia="宋体" w:hAnsi="宋体" w:cs="宋体"/>
      <w:kern w:val="0"/>
      <w:sz w:val="24"/>
      <w:szCs w:val="24"/>
    </w:rPr>
  </w:style>
  <w:style w:type="character" w:customStyle="1" w:styleId="20">
    <w:name w:val="标题 2 字符"/>
    <w:basedOn w:val="a0"/>
    <w:link w:val="2"/>
    <w:uiPriority w:val="9"/>
    <w:qFormat/>
    <w:rPr>
      <w:rFonts w:asciiTheme="majorHAnsi" w:eastAsia="黑体" w:hAnsiTheme="majorHAnsi" w:cstheme="majorBidi"/>
      <w:b/>
      <w:bCs/>
      <w:sz w:val="32"/>
      <w:szCs w:val="32"/>
    </w:rPr>
  </w:style>
  <w:style w:type="character" w:customStyle="1" w:styleId="30">
    <w:name w:val="标题 3 字符"/>
    <w:basedOn w:val="a0"/>
    <w:link w:val="3"/>
    <w:uiPriority w:val="9"/>
    <w:rPr>
      <w:rFonts w:eastAsia="黑体"/>
      <w:b/>
      <w:bCs/>
      <w:sz w:val="30"/>
      <w:szCs w:val="32"/>
    </w:rPr>
  </w:style>
  <w:style w:type="character" w:customStyle="1" w:styleId="40">
    <w:name w:val="标题 4 字符"/>
    <w:basedOn w:val="a0"/>
    <w:link w:val="4"/>
    <w:uiPriority w:val="9"/>
    <w:qFormat/>
    <w:rPr>
      <w:rFonts w:asciiTheme="majorHAnsi" w:eastAsia="黑体" w:hAnsiTheme="majorHAnsi" w:cstheme="majorBidi"/>
      <w:b/>
      <w:bCs/>
      <w:sz w:val="28"/>
      <w:szCs w:val="28"/>
    </w:rPr>
  </w:style>
  <w:style w:type="character" w:customStyle="1" w:styleId="10">
    <w:name w:val="标题 1 字符"/>
    <w:basedOn w:val="a0"/>
    <w:link w:val="1"/>
    <w:uiPriority w:val="9"/>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965DADC4-B5DB-4E61-A7FB-2F71888F6EC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slkj</dc:creator>
  <cp:lastModifiedBy>Think</cp:lastModifiedBy>
  <cp:revision>203</cp:revision>
  <cp:lastPrinted>2021-10-26T09:21:00Z</cp:lastPrinted>
  <dcterms:created xsi:type="dcterms:W3CDTF">2021-10-25T08:36:00Z</dcterms:created>
  <dcterms:modified xsi:type="dcterms:W3CDTF">2021-10-26T10:47:00Z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430212FE1BC840DE875127704A751BA0</vt:lpwstr>
  </property>
</Properties>
</file>