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A1A45" w14:textId="77777777" w:rsidR="00AC0869" w:rsidRDefault="00000000">
      <w:pPr>
        <w:pStyle w:val="Title"/>
        <w:jc w:val="center"/>
      </w:pPr>
      <w:r>
        <w:t>AI Powered Household Energy Consumption Prediction and Monitoring System</w:t>
      </w:r>
    </w:p>
    <w:p w14:paraId="4D7EB018" w14:textId="77777777" w:rsidR="00AC0869" w:rsidRDefault="00000000">
      <w:pPr>
        <w:jc w:val="center"/>
        <w:rPr>
          <w:rFonts w:hint="eastAsia"/>
        </w:rPr>
      </w:pPr>
      <w:r>
        <w:rPr>
          <w:b/>
          <w:sz w:val="24"/>
        </w:rPr>
        <w:t>Capstone Project Step 1 Problem Understanding and Framing</w:t>
      </w:r>
    </w:p>
    <w:p w14:paraId="10365932" w14:textId="77777777" w:rsidR="00AC0869" w:rsidRDefault="00000000">
      <w:pPr>
        <w:spacing w:after="280"/>
        <w:jc w:val="center"/>
        <w:rPr>
          <w:rFonts w:hint="eastAsia"/>
        </w:rPr>
      </w:pPr>
      <w:r>
        <w:t>Final | September 2026 | Edixon D. Yu Jr.</w:t>
      </w:r>
    </w:p>
    <w:p w14:paraId="100889CA" w14:textId="77777777" w:rsidR="00AC0869" w:rsidRDefault="00000000">
      <w:pPr>
        <w:rPr>
          <w:rFonts w:hint="eastAsia"/>
        </w:rPr>
      </w:pPr>
      <w:r>
        <w:rPr>
          <w:b/>
        </w:rPr>
        <w:t>Purpose.</w:t>
      </w:r>
      <w:r>
        <w:t xml:space="preserve"> This document defines the household electricity problem addressed by the capstone, translates it into a measurable data science task, and records the technical and business criteria used to evaluate the completed forecasting prototype. It distinguishes verified evidence from assumptions and clearly limits the system to consumption forecasting rather than official utility billing.</w:t>
      </w:r>
    </w:p>
    <w:p w14:paraId="329ACDD2" w14:textId="77777777" w:rsidR="00AC0869" w:rsidRDefault="00000000">
      <w:pPr>
        <w:pStyle w:val="Heading1"/>
      </w:pPr>
      <w:r>
        <w:t>1 Background and Philippine Context</w:t>
      </w:r>
    </w:p>
    <w:p w14:paraId="77D6B70B" w14:textId="77777777" w:rsidR="00AC0869" w:rsidRDefault="00000000">
      <w:pPr>
        <w:rPr>
          <w:rFonts w:hint="eastAsia"/>
        </w:rPr>
      </w:pPr>
      <w:r>
        <w:t>Electricity is an essential and widely used energy source in the Philippines. According to the Philippine Statistics Authority and Department of Energy 2023 Household Energy Consumption Survey, approximately 26.47 million Filipino households used electricity in 2023, equivalent to 94.8 percent of households. This was an increase from 18.28 million households in 2011 [1].</w:t>
      </w:r>
    </w:p>
    <w:p w14:paraId="03392553" w14:textId="77777777" w:rsidR="00AC0869" w:rsidRDefault="00000000">
      <w:pPr>
        <w:rPr>
          <w:rFonts w:hint="eastAsia"/>
        </w:rPr>
      </w:pPr>
      <w:r>
        <w:t>The financial effect of household energy use is especially relevant in Metro Manila. Preliminary results from the 2025 Family Income and Expenditure Survey show that housing, water, electricity, gas, and other fuels accounted for 27.3 percent of total family expenditure in the National Capital Region. This was the region's largest expenditure category, although the published percentage combines electricity with housing and other utilities [2].</w:t>
      </w:r>
    </w:p>
    <w:p w14:paraId="42598C3C" w14:textId="77777777" w:rsidR="00AC0869" w:rsidRDefault="00000000">
      <w:pPr>
        <w:rPr>
          <w:rFonts w:hint="eastAsia"/>
        </w:rPr>
      </w:pPr>
      <w:r>
        <w:t>Meralco is the principal electricity distributor in Metro Manila and surrounding provinces. Its franchise area covers 39 cities and 72 municipalities and serves more than eight million residential, commercial, and industrial customers [3].</w:t>
      </w:r>
    </w:p>
    <w:p w14:paraId="0065C4A7" w14:textId="77777777" w:rsidR="00AC0869" w:rsidRDefault="00000000">
      <w:pPr>
        <w:pStyle w:val="Heading2"/>
      </w:pPr>
      <w:r>
        <w:t>1.1 Limited consumption visibility</w:t>
      </w:r>
    </w:p>
    <w:p w14:paraId="5B35DF88" w14:textId="77777777" w:rsidR="00AC0869" w:rsidRDefault="00000000">
      <w:pPr>
        <w:rPr>
          <w:rFonts w:hint="eastAsia"/>
        </w:rPr>
      </w:pPr>
      <w:r>
        <w:t>A conventional Meralco meter continuously records electricity consumption in kilowatt-hours (kWh). However, the official meter reading used to prepare the bill is normally collected monthly. The household's monthly consumption is calculated as the difference between the current and previous meter readings [4].</w:t>
      </w:r>
    </w:p>
    <w:p w14:paraId="3CCD4C55" w14:textId="77777777" w:rsidR="00AC0869" w:rsidRDefault="00000000">
      <w:pPr>
        <w:rPr>
          <w:rFonts w:hint="eastAsia"/>
        </w:rPr>
      </w:pPr>
      <w:r>
        <w:t>Unless household members regularly inspect their meter or manually estimate appliance use, they may have limited visibility into accumulated consumption during the billing period. An increase may therefore be recognized only after much of the electricity has already been used or when the monthly bill becomes available. This is a consumer visibility problem, not an allegation that Meralco fails to measure or calculate bills correctly.</w:t>
      </w:r>
    </w:p>
    <w:p w14:paraId="2AF63EA2" w14:textId="77777777" w:rsidR="00AC0869" w:rsidRDefault="00000000">
      <w:pPr>
        <w:rPr>
          <w:rFonts w:hint="eastAsia"/>
        </w:rPr>
      </w:pPr>
      <w:r>
        <w:t>Meralco provides an Appliance Calculator that estimates hourly, daily, weekly, and monthly appliance consumption based on appliance type and reported usage duration. Meralco notes, however, that calculator results may differ from actual consumption, particularly for cooling appliances during warmer months [5]. This creates an opportunity for a data-driven system that learns from historical total consumption and warns households before projected use becomes unusually high.</w:t>
      </w:r>
    </w:p>
    <w:p w14:paraId="43CD99F4" w14:textId="77777777" w:rsidR="00AC0869" w:rsidRDefault="00000000">
      <w:pPr>
        <w:pStyle w:val="Heading2"/>
      </w:pPr>
      <w:r>
        <w:t>1.2 Evidence summary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399"/>
        <w:gridCol w:w="1622"/>
        <w:gridCol w:w="4421"/>
      </w:tblGrid>
      <w:tr w:rsidR="00AC0869" w14:paraId="191B97A0" w14:textId="77777777">
        <w:trPr>
          <w:cantSplit/>
          <w:tblHeader/>
          <w:jc w:val="center"/>
        </w:trPr>
        <w:tc>
          <w:tcPr>
            <w:tcW w:w="3528" w:type="dxa"/>
            <w:shd w:val="clear" w:color="auto" w:fill="17365D"/>
            <w:tcMar>
              <w:top w:w="100" w:type="dxa"/>
              <w:left w:w="120" w:type="dxa"/>
              <w:bottom w:w="100" w:type="dxa"/>
              <w:right w:w="120" w:type="dxa"/>
            </w:tcMar>
            <w:vAlign w:val="center"/>
          </w:tcPr>
          <w:p w14:paraId="4197FBF5" w14:textId="77777777" w:rsidR="00AC0869" w:rsidRDefault="00000000">
            <w:pPr>
              <w:spacing w:after="0" w:line="259" w:lineRule="auto"/>
              <w:jc w:val="center"/>
              <w:rPr>
                <w:rFonts w:hint="eastAsia"/>
              </w:rPr>
            </w:pPr>
            <w:r>
              <w:rPr>
                <w:b/>
                <w:color w:val="FFFFFF"/>
                <w:sz w:val="19"/>
              </w:rPr>
              <w:t>Evidence</w:t>
            </w:r>
          </w:p>
        </w:tc>
        <w:tc>
          <w:tcPr>
            <w:tcW w:w="1656" w:type="dxa"/>
            <w:shd w:val="clear" w:color="auto" w:fill="17365D"/>
            <w:tcMar>
              <w:top w:w="100" w:type="dxa"/>
              <w:left w:w="120" w:type="dxa"/>
              <w:bottom w:w="100" w:type="dxa"/>
              <w:right w:w="120" w:type="dxa"/>
            </w:tcMar>
            <w:vAlign w:val="center"/>
          </w:tcPr>
          <w:p w14:paraId="7EA9C96E" w14:textId="77777777" w:rsidR="00AC0869" w:rsidRDefault="00000000">
            <w:pPr>
              <w:spacing w:after="0" w:line="259" w:lineRule="auto"/>
              <w:jc w:val="center"/>
              <w:rPr>
                <w:rFonts w:hint="eastAsia"/>
              </w:rPr>
            </w:pPr>
            <w:r>
              <w:rPr>
                <w:b/>
                <w:color w:val="FFFFFF"/>
                <w:sz w:val="19"/>
              </w:rPr>
              <w:t>Statistic</w:t>
            </w:r>
          </w:p>
        </w:tc>
        <w:tc>
          <w:tcPr>
            <w:tcW w:w="4608" w:type="dxa"/>
            <w:shd w:val="clear" w:color="auto" w:fill="17365D"/>
            <w:tcMar>
              <w:top w:w="100" w:type="dxa"/>
              <w:left w:w="120" w:type="dxa"/>
              <w:bottom w:w="100" w:type="dxa"/>
              <w:right w:w="120" w:type="dxa"/>
            </w:tcMar>
            <w:vAlign w:val="center"/>
          </w:tcPr>
          <w:p w14:paraId="52A18296" w14:textId="77777777" w:rsidR="00AC0869" w:rsidRDefault="00000000">
            <w:pPr>
              <w:spacing w:after="0" w:line="259" w:lineRule="auto"/>
              <w:jc w:val="center"/>
              <w:rPr>
                <w:rFonts w:hint="eastAsia"/>
              </w:rPr>
            </w:pPr>
            <w:r>
              <w:rPr>
                <w:b/>
                <w:color w:val="FFFFFF"/>
                <w:sz w:val="19"/>
              </w:rPr>
              <w:t>Relevance</w:t>
            </w:r>
          </w:p>
        </w:tc>
      </w:tr>
      <w:tr w:rsidR="00AC0869" w14:paraId="592006D9" w14:textId="77777777">
        <w:trPr>
          <w:cantSplit/>
          <w:jc w:val="center"/>
        </w:trPr>
        <w:tc>
          <w:tcPr>
            <w:tcW w:w="3528" w:type="dxa"/>
            <w:tcMar>
              <w:top w:w="100" w:type="dxa"/>
              <w:left w:w="120" w:type="dxa"/>
              <w:bottom w:w="100" w:type="dxa"/>
              <w:right w:w="120" w:type="dxa"/>
            </w:tcMar>
            <w:vAlign w:val="center"/>
          </w:tcPr>
          <w:p w14:paraId="52949483" w14:textId="77777777" w:rsidR="00AC0869" w:rsidRDefault="00000000">
            <w:pPr>
              <w:spacing w:after="0" w:line="259" w:lineRule="auto"/>
              <w:rPr>
                <w:rFonts w:hint="eastAsia"/>
              </w:rPr>
            </w:pPr>
            <w:r>
              <w:rPr>
                <w:sz w:val="19"/>
              </w:rPr>
              <w:t>Filipino households using electricity in 2023</w:t>
            </w:r>
          </w:p>
        </w:tc>
        <w:tc>
          <w:tcPr>
            <w:tcW w:w="1656" w:type="dxa"/>
            <w:tcMar>
              <w:top w:w="100" w:type="dxa"/>
              <w:left w:w="120" w:type="dxa"/>
              <w:bottom w:w="100" w:type="dxa"/>
              <w:right w:w="120" w:type="dxa"/>
            </w:tcMar>
            <w:vAlign w:val="center"/>
          </w:tcPr>
          <w:p w14:paraId="2912590E" w14:textId="77777777" w:rsidR="00AC0869" w:rsidRDefault="00000000">
            <w:pPr>
              <w:spacing w:after="0" w:line="259" w:lineRule="auto"/>
              <w:jc w:val="center"/>
              <w:rPr>
                <w:rFonts w:hint="eastAsia"/>
              </w:rPr>
            </w:pPr>
            <w:r>
              <w:rPr>
                <w:sz w:val="19"/>
              </w:rPr>
              <w:t>26.47 million</w:t>
            </w:r>
          </w:p>
        </w:tc>
        <w:tc>
          <w:tcPr>
            <w:tcW w:w="4608" w:type="dxa"/>
            <w:tcMar>
              <w:top w:w="100" w:type="dxa"/>
              <w:left w:w="120" w:type="dxa"/>
              <w:bottom w:w="100" w:type="dxa"/>
              <w:right w:w="120" w:type="dxa"/>
            </w:tcMar>
            <w:vAlign w:val="center"/>
          </w:tcPr>
          <w:p w14:paraId="3FEF4467" w14:textId="77777777" w:rsidR="00AC0869" w:rsidRDefault="00000000">
            <w:pPr>
              <w:spacing w:after="0" w:line="259" w:lineRule="auto"/>
              <w:rPr>
                <w:rFonts w:hint="eastAsia"/>
              </w:rPr>
            </w:pPr>
            <w:r>
              <w:rPr>
                <w:sz w:val="19"/>
              </w:rPr>
              <w:t>Shows the number of households potentially affected</w:t>
            </w:r>
          </w:p>
        </w:tc>
      </w:tr>
      <w:tr w:rsidR="00AC0869" w14:paraId="0C034ED1" w14:textId="77777777">
        <w:trPr>
          <w:cantSplit/>
          <w:jc w:val="center"/>
        </w:trPr>
        <w:tc>
          <w:tcPr>
            <w:tcW w:w="3528" w:type="dxa"/>
            <w:shd w:val="clear" w:color="auto" w:fill="EEF4F8"/>
            <w:tcMar>
              <w:top w:w="100" w:type="dxa"/>
              <w:left w:w="120" w:type="dxa"/>
              <w:bottom w:w="100" w:type="dxa"/>
              <w:right w:w="120" w:type="dxa"/>
            </w:tcMar>
            <w:vAlign w:val="center"/>
          </w:tcPr>
          <w:p w14:paraId="3CB38E18" w14:textId="77777777" w:rsidR="00AC0869" w:rsidRDefault="00000000">
            <w:pPr>
              <w:spacing w:after="0" w:line="259" w:lineRule="auto"/>
              <w:rPr>
                <w:rFonts w:hint="eastAsia"/>
              </w:rPr>
            </w:pPr>
            <w:r>
              <w:rPr>
                <w:sz w:val="19"/>
              </w:rPr>
              <w:t>Share of households using electricity</w:t>
            </w:r>
          </w:p>
        </w:tc>
        <w:tc>
          <w:tcPr>
            <w:tcW w:w="1656" w:type="dxa"/>
            <w:shd w:val="clear" w:color="auto" w:fill="EEF4F8"/>
            <w:tcMar>
              <w:top w:w="100" w:type="dxa"/>
              <w:left w:w="120" w:type="dxa"/>
              <w:bottom w:w="100" w:type="dxa"/>
              <w:right w:w="120" w:type="dxa"/>
            </w:tcMar>
            <w:vAlign w:val="center"/>
          </w:tcPr>
          <w:p w14:paraId="4F5F11B3" w14:textId="77777777" w:rsidR="00AC0869" w:rsidRDefault="00000000">
            <w:pPr>
              <w:spacing w:after="0" w:line="259" w:lineRule="auto"/>
              <w:jc w:val="center"/>
              <w:rPr>
                <w:rFonts w:hint="eastAsia"/>
              </w:rPr>
            </w:pPr>
            <w:r>
              <w:rPr>
                <w:sz w:val="19"/>
              </w:rPr>
              <w:t>94.8%</w:t>
            </w:r>
          </w:p>
        </w:tc>
        <w:tc>
          <w:tcPr>
            <w:tcW w:w="4608" w:type="dxa"/>
            <w:shd w:val="clear" w:color="auto" w:fill="EEF4F8"/>
            <w:tcMar>
              <w:top w:w="100" w:type="dxa"/>
              <w:left w:w="120" w:type="dxa"/>
              <w:bottom w:w="100" w:type="dxa"/>
              <w:right w:w="120" w:type="dxa"/>
            </w:tcMar>
            <w:vAlign w:val="center"/>
          </w:tcPr>
          <w:p w14:paraId="0D36D7D9" w14:textId="77777777" w:rsidR="00AC0869" w:rsidRDefault="00000000">
            <w:pPr>
              <w:spacing w:after="0" w:line="259" w:lineRule="auto"/>
              <w:rPr>
                <w:rFonts w:hint="eastAsia"/>
              </w:rPr>
            </w:pPr>
            <w:r>
              <w:rPr>
                <w:sz w:val="19"/>
              </w:rPr>
              <w:t>Establishes electricity as a widespread household concern</w:t>
            </w:r>
          </w:p>
        </w:tc>
      </w:tr>
      <w:tr w:rsidR="00AC0869" w14:paraId="314080ED" w14:textId="77777777">
        <w:trPr>
          <w:cantSplit/>
          <w:jc w:val="center"/>
        </w:trPr>
        <w:tc>
          <w:tcPr>
            <w:tcW w:w="3528" w:type="dxa"/>
            <w:tcMar>
              <w:top w:w="100" w:type="dxa"/>
              <w:left w:w="120" w:type="dxa"/>
              <w:bottom w:w="100" w:type="dxa"/>
              <w:right w:w="120" w:type="dxa"/>
            </w:tcMar>
            <w:vAlign w:val="center"/>
          </w:tcPr>
          <w:p w14:paraId="75F35721" w14:textId="77777777" w:rsidR="00AC0869" w:rsidRDefault="00000000">
            <w:pPr>
              <w:spacing w:after="0" w:line="259" w:lineRule="auto"/>
              <w:rPr>
                <w:rFonts w:hint="eastAsia"/>
              </w:rPr>
            </w:pPr>
            <w:r>
              <w:rPr>
                <w:sz w:val="19"/>
              </w:rPr>
              <w:lastRenderedPageBreak/>
              <w:t>Meralco customer base</w:t>
            </w:r>
          </w:p>
        </w:tc>
        <w:tc>
          <w:tcPr>
            <w:tcW w:w="1656" w:type="dxa"/>
            <w:tcMar>
              <w:top w:w="100" w:type="dxa"/>
              <w:left w:w="120" w:type="dxa"/>
              <w:bottom w:w="100" w:type="dxa"/>
              <w:right w:w="120" w:type="dxa"/>
            </w:tcMar>
            <w:vAlign w:val="center"/>
          </w:tcPr>
          <w:p w14:paraId="13627777" w14:textId="77777777" w:rsidR="00AC0869" w:rsidRDefault="00000000">
            <w:pPr>
              <w:spacing w:after="0" w:line="259" w:lineRule="auto"/>
              <w:jc w:val="center"/>
              <w:rPr>
                <w:rFonts w:hint="eastAsia"/>
              </w:rPr>
            </w:pPr>
            <w:r>
              <w:rPr>
                <w:sz w:val="19"/>
              </w:rPr>
              <w:t>More than 8 million</w:t>
            </w:r>
          </w:p>
        </w:tc>
        <w:tc>
          <w:tcPr>
            <w:tcW w:w="4608" w:type="dxa"/>
            <w:tcMar>
              <w:top w:w="100" w:type="dxa"/>
              <w:left w:w="120" w:type="dxa"/>
              <w:bottom w:w="100" w:type="dxa"/>
              <w:right w:w="120" w:type="dxa"/>
            </w:tcMar>
            <w:vAlign w:val="center"/>
          </w:tcPr>
          <w:p w14:paraId="438DC80D" w14:textId="77777777" w:rsidR="00AC0869" w:rsidRDefault="00000000">
            <w:pPr>
              <w:spacing w:after="0" w:line="259" w:lineRule="auto"/>
              <w:rPr>
                <w:rFonts w:hint="eastAsia"/>
              </w:rPr>
            </w:pPr>
            <w:r>
              <w:rPr>
                <w:sz w:val="19"/>
              </w:rPr>
              <w:t>Shows the scale of relevance within its franchise area</w:t>
            </w:r>
          </w:p>
        </w:tc>
      </w:tr>
      <w:tr w:rsidR="00AC0869" w14:paraId="64843838" w14:textId="77777777">
        <w:trPr>
          <w:cantSplit/>
          <w:jc w:val="center"/>
        </w:trPr>
        <w:tc>
          <w:tcPr>
            <w:tcW w:w="3528" w:type="dxa"/>
            <w:shd w:val="clear" w:color="auto" w:fill="EEF4F8"/>
            <w:tcMar>
              <w:top w:w="100" w:type="dxa"/>
              <w:left w:w="120" w:type="dxa"/>
              <w:bottom w:w="100" w:type="dxa"/>
              <w:right w:w="120" w:type="dxa"/>
            </w:tcMar>
            <w:vAlign w:val="center"/>
          </w:tcPr>
          <w:p w14:paraId="129ED4A6" w14:textId="77777777" w:rsidR="00AC0869" w:rsidRDefault="00000000">
            <w:pPr>
              <w:spacing w:after="0" w:line="259" w:lineRule="auto"/>
              <w:rPr>
                <w:rFonts w:hint="eastAsia"/>
              </w:rPr>
            </w:pPr>
            <w:r>
              <w:rPr>
                <w:sz w:val="19"/>
              </w:rPr>
              <w:t>NCR housing and utility expenditure</w:t>
            </w:r>
          </w:p>
        </w:tc>
        <w:tc>
          <w:tcPr>
            <w:tcW w:w="1656" w:type="dxa"/>
            <w:shd w:val="clear" w:color="auto" w:fill="EEF4F8"/>
            <w:tcMar>
              <w:top w:w="100" w:type="dxa"/>
              <w:left w:w="120" w:type="dxa"/>
              <w:bottom w:w="100" w:type="dxa"/>
              <w:right w:w="120" w:type="dxa"/>
            </w:tcMar>
            <w:vAlign w:val="center"/>
          </w:tcPr>
          <w:p w14:paraId="7250A1E5" w14:textId="77777777" w:rsidR="00AC0869" w:rsidRDefault="00000000">
            <w:pPr>
              <w:spacing w:after="0" w:line="259" w:lineRule="auto"/>
              <w:jc w:val="center"/>
              <w:rPr>
                <w:rFonts w:hint="eastAsia"/>
              </w:rPr>
            </w:pPr>
            <w:r>
              <w:rPr>
                <w:sz w:val="19"/>
              </w:rPr>
              <w:t>27.3%</w:t>
            </w:r>
          </w:p>
        </w:tc>
        <w:tc>
          <w:tcPr>
            <w:tcW w:w="4608" w:type="dxa"/>
            <w:shd w:val="clear" w:color="auto" w:fill="EEF4F8"/>
            <w:tcMar>
              <w:top w:w="100" w:type="dxa"/>
              <w:left w:w="120" w:type="dxa"/>
              <w:bottom w:w="100" w:type="dxa"/>
              <w:right w:w="120" w:type="dxa"/>
            </w:tcMar>
            <w:vAlign w:val="center"/>
          </w:tcPr>
          <w:p w14:paraId="1A5FB3DF" w14:textId="77777777" w:rsidR="00AC0869" w:rsidRDefault="00000000">
            <w:pPr>
              <w:spacing w:after="0" w:line="259" w:lineRule="auto"/>
              <w:rPr>
                <w:rFonts w:hint="eastAsia"/>
              </w:rPr>
            </w:pPr>
            <w:r>
              <w:rPr>
                <w:sz w:val="19"/>
              </w:rPr>
              <w:t>Demonstrates the financial importance of housing and utilities</w:t>
            </w:r>
          </w:p>
        </w:tc>
      </w:tr>
      <w:tr w:rsidR="00AC0869" w14:paraId="7A7E8725" w14:textId="77777777">
        <w:trPr>
          <w:cantSplit/>
          <w:jc w:val="center"/>
        </w:trPr>
        <w:tc>
          <w:tcPr>
            <w:tcW w:w="3528" w:type="dxa"/>
            <w:tcMar>
              <w:top w:w="100" w:type="dxa"/>
              <w:left w:w="120" w:type="dxa"/>
              <w:bottom w:w="100" w:type="dxa"/>
              <w:right w:w="120" w:type="dxa"/>
            </w:tcMar>
            <w:vAlign w:val="center"/>
          </w:tcPr>
          <w:p w14:paraId="3F6D9DC0" w14:textId="77777777" w:rsidR="00AC0869" w:rsidRDefault="00000000">
            <w:pPr>
              <w:spacing w:after="0" w:line="259" w:lineRule="auto"/>
              <w:rPr>
                <w:rFonts w:hint="eastAsia"/>
              </w:rPr>
            </w:pPr>
            <w:r>
              <w:rPr>
                <w:sz w:val="19"/>
              </w:rPr>
              <w:t>Conventional meter reading</w:t>
            </w:r>
          </w:p>
        </w:tc>
        <w:tc>
          <w:tcPr>
            <w:tcW w:w="1656" w:type="dxa"/>
            <w:tcMar>
              <w:top w:w="100" w:type="dxa"/>
              <w:left w:w="120" w:type="dxa"/>
              <w:bottom w:w="100" w:type="dxa"/>
              <w:right w:w="120" w:type="dxa"/>
            </w:tcMar>
            <w:vAlign w:val="center"/>
          </w:tcPr>
          <w:p w14:paraId="6B49ADAF" w14:textId="77777777" w:rsidR="00AC0869" w:rsidRDefault="00000000">
            <w:pPr>
              <w:spacing w:after="0" w:line="259" w:lineRule="auto"/>
              <w:jc w:val="center"/>
              <w:rPr>
                <w:rFonts w:hint="eastAsia"/>
              </w:rPr>
            </w:pPr>
            <w:r>
              <w:rPr>
                <w:sz w:val="19"/>
              </w:rPr>
              <w:t>Monthly</w:t>
            </w:r>
          </w:p>
        </w:tc>
        <w:tc>
          <w:tcPr>
            <w:tcW w:w="4608" w:type="dxa"/>
            <w:tcMar>
              <w:top w:w="100" w:type="dxa"/>
              <w:left w:w="120" w:type="dxa"/>
              <w:bottom w:w="100" w:type="dxa"/>
              <w:right w:w="120" w:type="dxa"/>
            </w:tcMar>
            <w:vAlign w:val="center"/>
          </w:tcPr>
          <w:p w14:paraId="0498F1BD" w14:textId="77777777" w:rsidR="00AC0869" w:rsidRDefault="00000000">
            <w:pPr>
              <w:spacing w:after="0" w:line="259" w:lineRule="auto"/>
              <w:rPr>
                <w:rFonts w:hint="eastAsia"/>
              </w:rPr>
            </w:pPr>
            <w:r>
              <w:rPr>
                <w:sz w:val="19"/>
              </w:rPr>
              <w:t>Supports the problem of delayed consumption visibility</w:t>
            </w:r>
          </w:p>
        </w:tc>
      </w:tr>
      <w:tr w:rsidR="00AC0869" w14:paraId="04C3BC2B" w14:textId="77777777">
        <w:trPr>
          <w:cantSplit/>
          <w:jc w:val="center"/>
        </w:trPr>
        <w:tc>
          <w:tcPr>
            <w:tcW w:w="3528" w:type="dxa"/>
            <w:shd w:val="clear" w:color="auto" w:fill="EEF4F8"/>
            <w:tcMar>
              <w:top w:w="100" w:type="dxa"/>
              <w:left w:w="120" w:type="dxa"/>
              <w:bottom w:w="100" w:type="dxa"/>
              <w:right w:w="120" w:type="dxa"/>
            </w:tcMar>
            <w:vAlign w:val="center"/>
          </w:tcPr>
          <w:p w14:paraId="63138C14" w14:textId="77777777" w:rsidR="00AC0869" w:rsidRDefault="00000000">
            <w:pPr>
              <w:spacing w:after="0" w:line="259" w:lineRule="auto"/>
              <w:rPr>
                <w:rFonts w:hint="eastAsia"/>
              </w:rPr>
            </w:pPr>
            <w:r>
              <w:rPr>
                <w:sz w:val="19"/>
              </w:rPr>
              <w:t>Existing monitoring support</w:t>
            </w:r>
          </w:p>
        </w:tc>
        <w:tc>
          <w:tcPr>
            <w:tcW w:w="1656" w:type="dxa"/>
            <w:shd w:val="clear" w:color="auto" w:fill="EEF4F8"/>
            <w:tcMar>
              <w:top w:w="100" w:type="dxa"/>
              <w:left w:w="120" w:type="dxa"/>
              <w:bottom w:w="100" w:type="dxa"/>
              <w:right w:w="120" w:type="dxa"/>
            </w:tcMar>
            <w:vAlign w:val="center"/>
          </w:tcPr>
          <w:p w14:paraId="7FF1BBFF" w14:textId="77777777" w:rsidR="00AC0869" w:rsidRDefault="00000000">
            <w:pPr>
              <w:spacing w:after="0" w:line="259" w:lineRule="auto"/>
              <w:jc w:val="center"/>
              <w:rPr>
                <w:rFonts w:hint="eastAsia"/>
              </w:rPr>
            </w:pPr>
            <w:r>
              <w:rPr>
                <w:sz w:val="19"/>
              </w:rPr>
              <w:t>Estimated appliance use</w:t>
            </w:r>
          </w:p>
        </w:tc>
        <w:tc>
          <w:tcPr>
            <w:tcW w:w="4608" w:type="dxa"/>
            <w:shd w:val="clear" w:color="auto" w:fill="EEF4F8"/>
            <w:tcMar>
              <w:top w:w="100" w:type="dxa"/>
              <w:left w:w="120" w:type="dxa"/>
              <w:bottom w:w="100" w:type="dxa"/>
              <w:right w:w="120" w:type="dxa"/>
            </w:tcMar>
            <w:vAlign w:val="center"/>
          </w:tcPr>
          <w:p w14:paraId="77C61294" w14:textId="77777777" w:rsidR="00AC0869" w:rsidRDefault="00000000">
            <w:pPr>
              <w:spacing w:after="0" w:line="259" w:lineRule="auto"/>
              <w:rPr>
                <w:rFonts w:hint="eastAsia"/>
              </w:rPr>
            </w:pPr>
            <w:r>
              <w:rPr>
                <w:sz w:val="19"/>
              </w:rPr>
              <w:t>Shows that support exists but is not an automatic forecast of total household use</w:t>
            </w:r>
          </w:p>
        </w:tc>
      </w:tr>
    </w:tbl>
    <w:p w14:paraId="64166F99" w14:textId="77777777" w:rsidR="00AC0869" w:rsidRDefault="00AC0869">
      <w:pPr>
        <w:spacing w:after="0"/>
        <w:rPr>
          <w:rFonts w:hint="eastAsia"/>
        </w:rPr>
      </w:pPr>
    </w:p>
    <w:p w14:paraId="4BC42057" w14:textId="77777777" w:rsidR="00AC0869" w:rsidRDefault="00000000">
      <w:pPr>
        <w:pStyle w:val="Heading2"/>
      </w:pPr>
      <w:r>
        <w:t>1.3 Evidence limitation</w:t>
      </w:r>
    </w:p>
    <w:p w14:paraId="3E1988B1" w14:textId="77777777" w:rsidR="00AC0869" w:rsidRDefault="00000000">
      <w:pPr>
        <w:rPr>
          <w:rFonts w:hint="eastAsia"/>
        </w:rPr>
      </w:pPr>
      <w:r>
        <w:t>No authoritative Philippine statistic was identified that establishes that most households do not monitor their electricity consumption. The project therefore does not present that claim as a verified fact. Instead, it uses the defensible observation that monthly meter reading can delay consumption visibility unless a household performs additional monitoring.</w:t>
      </w:r>
    </w:p>
    <w:p w14:paraId="749DB508" w14:textId="77777777" w:rsidR="00AC0869" w:rsidRDefault="00000000">
      <w:pPr>
        <w:pStyle w:val="Heading2"/>
      </w:pPr>
      <w:r>
        <w:t>1.4 The 2026 bill shock issue</w:t>
      </w:r>
    </w:p>
    <w:p w14:paraId="6136DFBA" w14:textId="77777777" w:rsidR="00AC0869" w:rsidRDefault="00000000">
      <w:pPr>
        <w:rPr>
          <w:rFonts w:hint="eastAsia"/>
        </w:rPr>
      </w:pPr>
      <w:r>
        <w:t>The need for earlier consumption visibility became more urgent in 2026, when sudden increases in electricity bills were widely described in public discussion as bill shock. A July 2026 report by the Philippine News Agency stated that Meralco's residential electricity rate rose from PHP 13.2730 per kWh in January to PHP 14.8261 per kWh in July, an increase of approximately 11.7 percent [6]. The July adjustment alone was PHP 0.3428 per kWh and was attributed mainly to higher fuel prices and an increase in the generation charge [7].</w:t>
      </w:r>
    </w:p>
    <w:p w14:paraId="1131CB19" w14:textId="77777777" w:rsidR="00AC0869" w:rsidRDefault="00000000">
      <w:pPr>
        <w:rPr>
          <w:rFonts w:hint="eastAsia"/>
        </w:rPr>
      </w:pPr>
      <w:r>
        <w:t>The issue also prompted proposed Senate inquiries into rising electricity rates, disputed meter readings, system losses, and whether existing regulations adequately protect consumers from excessive, unreasonable, or avoidable charges [6]. Separately, the Energy Regulatory Commission temporarily suspended collection of the PHP 0.0371 per kWh Green Energy Auction Allowance for May and June 2026 to help ease the financial burden on electricity consumers, later extending the suspension through July and August [8][9].</w:t>
      </w:r>
    </w:p>
    <w:p w14:paraId="3E494078" w14:textId="77777777" w:rsidR="00AC0869" w:rsidRDefault="00000000">
      <w:pPr>
        <w:rPr>
          <w:rFonts w:hint="eastAsia"/>
        </w:rPr>
      </w:pPr>
      <w:r>
        <w:t>Higher bills can result from both greater electricity consumption and changes in the applicable rate. Meralco explains that household consumption commonly increases during summer as air conditioners, fans, and refrigerators operate longer or work harder, while changes in the generation charge can raise the bill even when a household is already practicing energy-saving measures [10].</w:t>
      </w:r>
    </w:p>
    <w:p w14:paraId="1B3B12E3" w14:textId="77777777" w:rsidR="00AC0869" w:rsidRDefault="00000000">
      <w:pPr>
        <w:rPr>
          <w:rFonts w:hint="eastAsia"/>
        </w:rPr>
      </w:pPr>
      <w:r>
        <w:t>This capstone addresses the consumption component of bill shock by forecasting daily kWh usage and evaluating early warnings when predicted consumption is unusually high. It does not predict regulatory charges or guarantee the final electricity bill. Any future cost estimate must use a clearly stated input rate and must be labeled as an estimate rather than an official Meralco billing calculation.</w:t>
      </w:r>
    </w:p>
    <w:p w14:paraId="44505965" w14:textId="77777777" w:rsidR="00AC0869" w:rsidRDefault="00000000">
      <w:pPr>
        <w:pStyle w:val="Heading1"/>
      </w:pPr>
      <w:r>
        <w:t>2 Business Problem</w:t>
      </w:r>
    </w:p>
    <w:p w14:paraId="598243BE" w14:textId="77777777" w:rsidR="00AC0869" w:rsidRDefault="00000000">
      <w:pPr>
        <w:rPr>
          <w:rFonts w:hint="eastAsia"/>
        </w:rPr>
      </w:pPr>
      <w:r>
        <w:t>Many Philippine households have limited visibility into their accumulated electricity consumption before receiving their monthly bill. Although consumers can manually read their meters or estimate appliance usage, these approaches require regular effort and do not automatically predict future household consumption. As a result, households may identify unusually high usage only after much of the consumption has occurred, reducing the time available to adjust behavior and manage the expected bill.</w:t>
      </w:r>
    </w:p>
    <w:p w14:paraId="756DB7DF" w14:textId="77777777" w:rsidR="00AC0869" w:rsidRDefault="00000000">
      <w:pPr>
        <w:rPr>
          <w:rFonts w:hint="eastAsia"/>
        </w:rPr>
      </w:pPr>
      <w:r>
        <w:t>The proposed system addresses this problem by using historical consumption data to:</w:t>
      </w:r>
    </w:p>
    <w:p w14:paraId="0D33DCC7" w14:textId="77777777" w:rsidR="00AC0869" w:rsidRDefault="00000000">
      <w:pPr>
        <w:spacing w:after="60"/>
        <w:ind w:left="360" w:hanging="360"/>
        <w:rPr>
          <w:rFonts w:hint="eastAsia"/>
        </w:rPr>
      </w:pPr>
      <w:r>
        <w:t>•  Predict upcoming household electricity consumption.</w:t>
      </w:r>
    </w:p>
    <w:p w14:paraId="19A96E06" w14:textId="77777777" w:rsidR="00AC0869" w:rsidRDefault="00000000">
      <w:pPr>
        <w:spacing w:after="60"/>
        <w:ind w:left="360" w:hanging="360"/>
        <w:rPr>
          <w:rFonts w:hint="eastAsia"/>
        </w:rPr>
      </w:pPr>
      <w:r>
        <w:t>•  Compare predicted usage with normal or historical consumption.</w:t>
      </w:r>
    </w:p>
    <w:p w14:paraId="13EEAAB5" w14:textId="77777777" w:rsidR="00AC0869" w:rsidRDefault="00000000">
      <w:pPr>
        <w:spacing w:after="60"/>
        <w:ind w:left="360" w:hanging="360"/>
        <w:rPr>
          <w:rFonts w:hint="eastAsia"/>
        </w:rPr>
      </w:pPr>
      <w:r>
        <w:lastRenderedPageBreak/>
        <w:t>•  Identify periods of unusually high predicted consumption.</w:t>
      </w:r>
    </w:p>
    <w:p w14:paraId="4617A304" w14:textId="77777777" w:rsidR="00AC0869" w:rsidRDefault="00000000">
      <w:pPr>
        <w:spacing w:after="60"/>
        <w:ind w:left="360" w:hanging="360"/>
        <w:rPr>
          <w:rFonts w:hint="eastAsia"/>
        </w:rPr>
      </w:pPr>
      <w:r>
        <w:t>•  Warn users when predicted consumption may exceed a predefined threshold.</w:t>
      </w:r>
    </w:p>
    <w:p w14:paraId="13D5B250" w14:textId="77777777" w:rsidR="00AC0869" w:rsidRDefault="00000000">
      <w:pPr>
        <w:spacing w:after="60"/>
        <w:ind w:left="360" w:hanging="360"/>
        <w:rPr>
          <w:rFonts w:hint="eastAsia"/>
        </w:rPr>
      </w:pPr>
      <w:r>
        <w:t>•  Present consumption patterns and forecasts through a monitoring dashboard.</w:t>
      </w:r>
    </w:p>
    <w:p w14:paraId="08266315" w14:textId="77777777" w:rsidR="00AC0869" w:rsidRDefault="00000000">
      <w:pPr>
        <w:pStyle w:val="Heading1"/>
      </w:pPr>
      <w:r>
        <w:t>3 Data Science Problem</w:t>
      </w:r>
    </w:p>
    <w:p w14:paraId="43B3E310" w14:textId="77777777" w:rsidR="00AC0869" w:rsidRDefault="00000000">
      <w:pPr>
        <w:rPr>
          <w:rFonts w:hint="eastAsia"/>
        </w:rPr>
      </w:pPr>
      <w:r>
        <w:t>The primary data science task is time-series regression. Historical electricity observations and time-related features are used to predict a continuous numerical value.</w:t>
      </w:r>
    </w:p>
    <w:p w14:paraId="671AACC2" w14:textId="77777777" w:rsidR="00AC0869" w:rsidRDefault="00000000">
      <w:pPr>
        <w:rPr>
          <w:rFonts w:hint="eastAsia"/>
        </w:rPr>
      </w:pPr>
      <w:r>
        <w:rPr>
          <w:b/>
        </w:rPr>
        <w:t>Task-type justification.</w:t>
      </w:r>
      <w:r>
        <w:t xml:space="preserve"> Regression is appropriate because electricity consumption is measured as a continuous numeric quantity in kWh. A classification task would only place usage into broad categories and would not provide the numerical forecast needed to estimate consumption or support household planning.</w:t>
      </w:r>
    </w:p>
    <w:p w14:paraId="0562876A" w14:textId="77777777" w:rsidR="00AC0869" w:rsidRDefault="00000000">
      <w:pPr>
        <w:rPr>
          <w:rFonts w:hint="eastAsia"/>
        </w:rPr>
      </w:pPr>
      <w:r>
        <w:rPr>
          <w:b/>
        </w:rPr>
        <w:t>Target variable.</w:t>
      </w:r>
      <w:r>
        <w:t xml:space="preserve"> Total household electricity consumption in kWh for the next day.</w:t>
      </w:r>
    </w:p>
    <w:p w14:paraId="2FF1A76E" w14:textId="77777777" w:rsidR="00AC0869" w:rsidRDefault="00000000">
      <w:pPr>
        <w:rPr>
          <w:rFonts w:hint="eastAsia"/>
        </w:rPr>
      </w:pPr>
      <w:r>
        <w:rPr>
          <w:b/>
        </w:rPr>
        <w:t>Forecast-horizon justification.</w:t>
      </w:r>
      <w:r>
        <w:t xml:space="preserve"> A one-day horizon balances actionability and predictive reliability: it gives a household time to adjust discretionary appliance use while avoiding the greater uncertainty of a long-range forecast.</w:t>
      </w:r>
    </w:p>
    <w:p w14:paraId="64B0EA18" w14:textId="77777777" w:rsidR="00AC0869" w:rsidRDefault="00000000">
      <w:pPr>
        <w:rPr>
          <w:rFonts w:hint="eastAsia"/>
        </w:rPr>
      </w:pPr>
      <w:r>
        <w:t>The implemented candidate predictors included:</w:t>
      </w:r>
    </w:p>
    <w:p w14:paraId="72119154" w14:textId="77777777" w:rsidR="00AC0869" w:rsidRDefault="00000000">
      <w:pPr>
        <w:spacing w:after="60"/>
        <w:ind w:left="360" w:hanging="360"/>
        <w:rPr>
          <w:rFonts w:hint="eastAsia"/>
        </w:rPr>
      </w:pPr>
      <w:r>
        <w:t>•  Previous daily consumption and lagged consumption values</w:t>
      </w:r>
    </w:p>
    <w:p w14:paraId="270131F6" w14:textId="77777777" w:rsidR="00AC0869" w:rsidRDefault="00000000">
      <w:pPr>
        <w:spacing w:after="60"/>
        <w:ind w:left="360" w:hanging="360"/>
        <w:rPr>
          <w:rFonts w:hint="eastAsia"/>
        </w:rPr>
      </w:pPr>
      <w:r>
        <w:t>•  Rolling averages, minimums, maximums, variability, and recent consumption trends</w:t>
      </w:r>
    </w:p>
    <w:p w14:paraId="73E67A50" w14:textId="77777777" w:rsidR="00AC0869" w:rsidRDefault="00000000">
      <w:pPr>
        <w:spacing w:after="60"/>
        <w:ind w:left="360" w:hanging="360"/>
        <w:rPr>
          <w:rFonts w:hint="eastAsia"/>
        </w:rPr>
      </w:pPr>
      <w:r>
        <w:t>•  Day-of-week, month, season, weekend, and cyclical calendar indicators</w:t>
      </w:r>
    </w:p>
    <w:p w14:paraId="6BEF47FF" w14:textId="77777777" w:rsidR="00AC0869" w:rsidRDefault="00000000">
      <w:pPr>
        <w:spacing w:after="60"/>
        <w:ind w:left="360" w:hanging="360"/>
        <w:rPr>
          <w:rFonts w:hint="eastAsia"/>
        </w:rPr>
      </w:pPr>
      <w:r>
        <w:t>•  Voltage behavior and sub-metering features available in the source data</w:t>
      </w:r>
    </w:p>
    <w:p w14:paraId="55A9E212" w14:textId="77777777" w:rsidR="00AC0869" w:rsidRDefault="00000000">
      <w:pPr>
        <w:spacing w:after="60"/>
        <w:ind w:left="360" w:hanging="360"/>
        <w:rPr>
          <w:rFonts w:hint="eastAsia"/>
        </w:rPr>
      </w:pPr>
      <w:r>
        <w:t>•  Exponentially weighted consumption history and domain-derived change features</w:t>
      </w:r>
    </w:p>
    <w:p w14:paraId="71529DAF" w14:textId="77777777" w:rsidR="00AC0869" w:rsidRDefault="00000000">
      <w:pPr>
        <w:rPr>
          <w:rFonts w:hint="eastAsia"/>
        </w:rPr>
      </w:pPr>
      <w:r>
        <w:t>The forecast also supports a threshold-based monitoring rule that flags predicted consumption above the household's recent pattern. This alert remains a supporting application rule rather than a separate classification model.</w:t>
      </w:r>
    </w:p>
    <w:p w14:paraId="097837EA" w14:textId="77777777" w:rsidR="00AC0869" w:rsidRDefault="00000000">
      <w:pPr>
        <w:pStyle w:val="Heading2"/>
      </w:pPr>
      <w:r>
        <w:t>3.1 Operational definition of high consumption</w:t>
      </w:r>
    </w:p>
    <w:p w14:paraId="6405D0DD" w14:textId="77777777" w:rsidR="00AC0869" w:rsidRDefault="00000000">
      <w:pPr>
        <w:rPr>
          <w:rFonts w:hint="eastAsia"/>
        </w:rPr>
      </w:pPr>
      <w:r>
        <w:t>For model evaluation, a high-consumption day was defined as a day whose total consumption exceeded 120 percent of the rolling mean for the preceding 30 days. Only earlier observations were used to calculate the threshold, preventing future information from leaking into the prediction. The first 30 days were excluded from alert evaluation because they did not have a complete historical window. A deployed prototype may additionally allow a personal daily kWh limit, but the fixed rolling threshold was retained for consistent model comparison.</w:t>
      </w:r>
    </w:p>
    <w:p w14:paraId="4E2AABB7" w14:textId="77777777" w:rsidR="00AC0869" w:rsidRDefault="00000000">
      <w:pPr>
        <w:pStyle w:val="Heading1"/>
      </w:pPr>
      <w:r>
        <w:t>4 Problem Statement</w:t>
      </w:r>
    </w:p>
    <w:p w14:paraId="560A67DE" w14:textId="77777777" w:rsidR="00AC0869" w:rsidRDefault="00000000">
      <w:pPr>
        <w:rPr>
          <w:rFonts w:hint="eastAsia"/>
        </w:rPr>
      </w:pPr>
      <w:r>
        <w:t>This project develops and evaluates an AI-powered household energy consumption prediction and monitoring system that uses historical electricity data to forecast the next day's total energy consumption. It compares multiple regression models, selects the strongest model using chronological validation, and evaluates an early-warning rule for unusually high predicted consumption. The intended benefit is earlier visibility that can support informed household energy-management decisions, particularly in the Philippine and Meralco context. The prototype is not an official billing system.</w:t>
      </w:r>
    </w:p>
    <w:p w14:paraId="683F8810" w14:textId="77777777" w:rsidR="00AC0869" w:rsidRDefault="00000000">
      <w:pPr>
        <w:pStyle w:val="Heading1"/>
      </w:pPr>
      <w:r>
        <w:t>5 Project Objectives</w:t>
      </w:r>
    </w:p>
    <w:p w14:paraId="6853B489" w14:textId="77777777" w:rsidR="00AC0869" w:rsidRDefault="00000000">
      <w:pPr>
        <w:pStyle w:val="Heading2"/>
      </w:pPr>
      <w:r>
        <w:t>5.1 General objective</w:t>
      </w:r>
    </w:p>
    <w:p w14:paraId="6E41ED18" w14:textId="77777777" w:rsidR="00AC0869" w:rsidRDefault="00000000">
      <w:pPr>
        <w:rPr>
          <w:rFonts w:hint="eastAsia"/>
        </w:rPr>
      </w:pPr>
      <w:r>
        <w:t>To develop and evaluate a machine-learning system that can accurately predict short-term household electricity consumption and support proactive energy monitoring.</w:t>
      </w:r>
    </w:p>
    <w:p w14:paraId="72319F30" w14:textId="77777777" w:rsidR="00AC0869" w:rsidRDefault="00000000">
      <w:pPr>
        <w:pStyle w:val="Heading2"/>
      </w:pPr>
      <w:r>
        <w:lastRenderedPageBreak/>
        <w:t>5.2 Specific objectives</w:t>
      </w:r>
    </w:p>
    <w:p w14:paraId="74B4DCCF" w14:textId="77777777" w:rsidR="00AC0869" w:rsidRDefault="00000000">
      <w:pPr>
        <w:pStyle w:val="ListNumber"/>
        <w:rPr>
          <w:rFonts w:hint="eastAsia"/>
        </w:rPr>
      </w:pPr>
      <w:r>
        <w:t>Analyze historical household electricity consumption patterns.</w:t>
      </w:r>
    </w:p>
    <w:p w14:paraId="5987F273" w14:textId="77777777" w:rsidR="00AC0869" w:rsidRDefault="00000000">
      <w:pPr>
        <w:pStyle w:val="ListNumber"/>
        <w:rPr>
          <w:rFonts w:hint="eastAsia"/>
        </w:rPr>
      </w:pPr>
      <w:r>
        <w:t>Prepare and transform time-series data into features suitable for predictive modeling.</w:t>
      </w:r>
    </w:p>
    <w:p w14:paraId="4F6D0C5B" w14:textId="77777777" w:rsidR="00AC0869" w:rsidRDefault="00000000">
      <w:pPr>
        <w:pStyle w:val="ListNumber"/>
        <w:rPr>
          <w:rFonts w:hint="eastAsia"/>
        </w:rPr>
      </w:pPr>
      <w:r>
        <w:t>Develop and compare at least two forecasting or regression models.</w:t>
      </w:r>
    </w:p>
    <w:p w14:paraId="257FCC16" w14:textId="77777777" w:rsidR="00AC0869" w:rsidRDefault="00000000">
      <w:pPr>
        <w:pStyle w:val="ListNumber"/>
        <w:rPr>
          <w:rFonts w:hint="eastAsia"/>
        </w:rPr>
      </w:pPr>
      <w:r>
        <w:t>Evaluate the models using appropriate regression metrics and select the most reliable model.</w:t>
      </w:r>
    </w:p>
    <w:p w14:paraId="32C53758" w14:textId="77777777" w:rsidR="00AC0869" w:rsidRDefault="00000000">
      <w:pPr>
        <w:pStyle w:val="ListNumber"/>
        <w:rPr>
          <w:rFonts w:hint="eastAsia"/>
        </w:rPr>
      </w:pPr>
      <w:r>
        <w:t>Optimize the selected model through hyperparameter tuning.</w:t>
      </w:r>
    </w:p>
    <w:p w14:paraId="52E8EC28" w14:textId="77777777" w:rsidR="00AC0869" w:rsidRDefault="00000000">
      <w:pPr>
        <w:pStyle w:val="ListNumber"/>
        <w:rPr>
          <w:rFonts w:hint="eastAsia"/>
        </w:rPr>
      </w:pPr>
      <w:r>
        <w:t>Explain the variables that have the greatest influence on predicted consumption.</w:t>
      </w:r>
    </w:p>
    <w:p w14:paraId="4CB8956B" w14:textId="77777777" w:rsidR="00AC0869" w:rsidRDefault="00000000">
      <w:pPr>
        <w:spacing w:after="60"/>
        <w:ind w:left="360" w:hanging="360"/>
        <w:rPr>
          <w:rFonts w:hint="eastAsia"/>
        </w:rPr>
      </w:pPr>
      <w:r>
        <w:t>7. Generate warnings when predicted consumption exceeds a defined threshold.</w:t>
      </w:r>
    </w:p>
    <w:p w14:paraId="6049105F" w14:textId="77777777" w:rsidR="00AC0869" w:rsidRDefault="00000000">
      <w:pPr>
        <w:spacing w:after="60"/>
        <w:ind w:left="360" w:hanging="360"/>
        <w:rPr>
          <w:rFonts w:hint="eastAsia"/>
        </w:rPr>
      </w:pPr>
      <w:r>
        <w:t>8. Present historical consumption, forecasts, and warnings through an understandable interface.</w:t>
      </w:r>
    </w:p>
    <w:p w14:paraId="6E05F8EE" w14:textId="77777777" w:rsidR="00AC0869" w:rsidRDefault="00000000">
      <w:pPr>
        <w:pStyle w:val="Heading1"/>
        <w:pageBreakBefore/>
      </w:pPr>
      <w:r>
        <w:lastRenderedPageBreak/>
        <w:t>6 Task Type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993"/>
        <w:gridCol w:w="2372"/>
        <w:gridCol w:w="4077"/>
      </w:tblGrid>
      <w:tr w:rsidR="00AC0869" w14:paraId="0373EB57" w14:textId="77777777">
        <w:trPr>
          <w:cantSplit/>
          <w:tblHeader/>
          <w:jc w:val="center"/>
        </w:trPr>
        <w:tc>
          <w:tcPr>
            <w:tcW w:w="3096" w:type="dxa"/>
            <w:shd w:val="clear" w:color="auto" w:fill="17365D"/>
            <w:tcMar>
              <w:top w:w="100" w:type="dxa"/>
              <w:left w:w="110" w:type="dxa"/>
              <w:bottom w:w="100" w:type="dxa"/>
              <w:right w:w="110" w:type="dxa"/>
            </w:tcMar>
            <w:vAlign w:val="center"/>
          </w:tcPr>
          <w:p w14:paraId="762BBC4B" w14:textId="77777777" w:rsidR="00AC0869" w:rsidRDefault="00000000">
            <w:pPr>
              <w:spacing w:after="0" w:line="259" w:lineRule="auto"/>
              <w:jc w:val="center"/>
              <w:rPr>
                <w:rFonts w:hint="eastAsia"/>
              </w:rPr>
            </w:pPr>
            <w:r>
              <w:rPr>
                <w:b/>
                <w:color w:val="FFFFFF"/>
                <w:sz w:val="18"/>
              </w:rPr>
              <w:t>Component</w:t>
            </w:r>
          </w:p>
        </w:tc>
        <w:tc>
          <w:tcPr>
            <w:tcW w:w="2448" w:type="dxa"/>
            <w:shd w:val="clear" w:color="auto" w:fill="17365D"/>
            <w:tcMar>
              <w:top w:w="100" w:type="dxa"/>
              <w:left w:w="110" w:type="dxa"/>
              <w:bottom w:w="100" w:type="dxa"/>
              <w:right w:w="110" w:type="dxa"/>
            </w:tcMar>
            <w:vAlign w:val="center"/>
          </w:tcPr>
          <w:p w14:paraId="06E37093" w14:textId="77777777" w:rsidR="00AC0869" w:rsidRDefault="00000000">
            <w:pPr>
              <w:spacing w:after="0" w:line="259" w:lineRule="auto"/>
              <w:jc w:val="center"/>
              <w:rPr>
                <w:rFonts w:hint="eastAsia"/>
              </w:rPr>
            </w:pPr>
            <w:r>
              <w:rPr>
                <w:b/>
                <w:color w:val="FFFFFF"/>
                <w:sz w:val="18"/>
              </w:rPr>
              <w:t>Task type</w:t>
            </w:r>
          </w:p>
        </w:tc>
        <w:tc>
          <w:tcPr>
            <w:tcW w:w="4248" w:type="dxa"/>
            <w:shd w:val="clear" w:color="auto" w:fill="17365D"/>
            <w:tcMar>
              <w:top w:w="100" w:type="dxa"/>
              <w:left w:w="110" w:type="dxa"/>
              <w:bottom w:w="100" w:type="dxa"/>
              <w:right w:w="110" w:type="dxa"/>
            </w:tcMar>
            <w:vAlign w:val="center"/>
          </w:tcPr>
          <w:p w14:paraId="5E627D75" w14:textId="77777777" w:rsidR="00AC0869" w:rsidRDefault="00000000">
            <w:pPr>
              <w:spacing w:after="0" w:line="259" w:lineRule="auto"/>
              <w:jc w:val="center"/>
              <w:rPr>
                <w:rFonts w:hint="eastAsia"/>
              </w:rPr>
            </w:pPr>
            <w:r>
              <w:rPr>
                <w:b/>
                <w:color w:val="FFFFFF"/>
                <w:sz w:val="18"/>
              </w:rPr>
              <w:t>Purpose</w:t>
            </w:r>
          </w:p>
        </w:tc>
      </w:tr>
      <w:tr w:rsidR="00AC0869" w14:paraId="6DF4F41A" w14:textId="77777777">
        <w:trPr>
          <w:cantSplit/>
          <w:jc w:val="center"/>
        </w:trPr>
        <w:tc>
          <w:tcPr>
            <w:tcW w:w="3096" w:type="dxa"/>
            <w:tcMar>
              <w:top w:w="100" w:type="dxa"/>
              <w:left w:w="110" w:type="dxa"/>
              <w:bottom w:w="100" w:type="dxa"/>
              <w:right w:w="110" w:type="dxa"/>
            </w:tcMar>
            <w:vAlign w:val="center"/>
          </w:tcPr>
          <w:p w14:paraId="1118296C" w14:textId="77777777" w:rsidR="00AC0869" w:rsidRDefault="00000000">
            <w:pPr>
              <w:spacing w:after="0" w:line="259" w:lineRule="auto"/>
              <w:rPr>
                <w:rFonts w:hint="eastAsia"/>
              </w:rPr>
            </w:pPr>
            <w:r>
              <w:rPr>
                <w:sz w:val="18"/>
              </w:rPr>
              <w:t>Consumption forecasting</w:t>
            </w:r>
          </w:p>
        </w:tc>
        <w:tc>
          <w:tcPr>
            <w:tcW w:w="2448" w:type="dxa"/>
            <w:tcMar>
              <w:top w:w="100" w:type="dxa"/>
              <w:left w:w="110" w:type="dxa"/>
              <w:bottom w:w="100" w:type="dxa"/>
              <w:right w:w="110" w:type="dxa"/>
            </w:tcMar>
            <w:vAlign w:val="center"/>
          </w:tcPr>
          <w:p w14:paraId="66F9CC47" w14:textId="77777777" w:rsidR="00AC0869" w:rsidRDefault="00000000">
            <w:pPr>
              <w:spacing w:after="0" w:line="259" w:lineRule="auto"/>
              <w:jc w:val="center"/>
              <w:rPr>
                <w:rFonts w:hint="eastAsia"/>
              </w:rPr>
            </w:pPr>
            <w:r>
              <w:rPr>
                <w:sz w:val="18"/>
              </w:rPr>
              <w:t>Time-series regression</w:t>
            </w:r>
          </w:p>
        </w:tc>
        <w:tc>
          <w:tcPr>
            <w:tcW w:w="4248" w:type="dxa"/>
            <w:tcMar>
              <w:top w:w="100" w:type="dxa"/>
              <w:left w:w="110" w:type="dxa"/>
              <w:bottom w:w="100" w:type="dxa"/>
              <w:right w:w="110" w:type="dxa"/>
            </w:tcMar>
            <w:vAlign w:val="center"/>
          </w:tcPr>
          <w:p w14:paraId="181EBAE7" w14:textId="77777777" w:rsidR="00AC0869" w:rsidRDefault="00000000">
            <w:pPr>
              <w:spacing w:after="0" w:line="259" w:lineRule="auto"/>
              <w:rPr>
                <w:rFonts w:hint="eastAsia"/>
              </w:rPr>
            </w:pPr>
            <w:r>
              <w:rPr>
                <w:sz w:val="18"/>
              </w:rPr>
              <w:t>Predict next-day electricity consumption in kWh</w:t>
            </w:r>
          </w:p>
        </w:tc>
      </w:tr>
      <w:tr w:rsidR="00AC0869" w14:paraId="38419C55" w14:textId="77777777">
        <w:trPr>
          <w:cantSplit/>
          <w:jc w:val="center"/>
        </w:trPr>
        <w:tc>
          <w:tcPr>
            <w:tcW w:w="3096" w:type="dxa"/>
            <w:shd w:val="clear" w:color="auto" w:fill="EEF4F8"/>
            <w:tcMar>
              <w:top w:w="100" w:type="dxa"/>
              <w:left w:w="110" w:type="dxa"/>
              <w:bottom w:w="100" w:type="dxa"/>
              <w:right w:w="110" w:type="dxa"/>
            </w:tcMar>
            <w:vAlign w:val="center"/>
          </w:tcPr>
          <w:p w14:paraId="69456E85" w14:textId="77777777" w:rsidR="00AC0869" w:rsidRDefault="00000000">
            <w:pPr>
              <w:spacing w:after="0" w:line="259" w:lineRule="auto"/>
              <w:rPr>
                <w:rFonts w:hint="eastAsia"/>
              </w:rPr>
            </w:pPr>
            <w:r>
              <w:rPr>
                <w:sz w:val="18"/>
              </w:rPr>
              <w:t>Model comparison</w:t>
            </w:r>
          </w:p>
        </w:tc>
        <w:tc>
          <w:tcPr>
            <w:tcW w:w="2448" w:type="dxa"/>
            <w:shd w:val="clear" w:color="auto" w:fill="EEF4F8"/>
            <w:tcMar>
              <w:top w:w="100" w:type="dxa"/>
              <w:left w:w="110" w:type="dxa"/>
              <w:bottom w:w="100" w:type="dxa"/>
              <w:right w:w="110" w:type="dxa"/>
            </w:tcMar>
            <w:vAlign w:val="center"/>
          </w:tcPr>
          <w:p w14:paraId="27ADE5DF" w14:textId="77777777" w:rsidR="00AC0869" w:rsidRDefault="00000000">
            <w:pPr>
              <w:spacing w:after="0" w:line="259" w:lineRule="auto"/>
              <w:jc w:val="center"/>
              <w:rPr>
                <w:rFonts w:hint="eastAsia"/>
              </w:rPr>
            </w:pPr>
            <w:r>
              <w:rPr>
                <w:sz w:val="18"/>
              </w:rPr>
              <w:t>Regression evaluation</w:t>
            </w:r>
          </w:p>
        </w:tc>
        <w:tc>
          <w:tcPr>
            <w:tcW w:w="4248" w:type="dxa"/>
            <w:shd w:val="clear" w:color="auto" w:fill="EEF4F8"/>
            <w:tcMar>
              <w:top w:w="100" w:type="dxa"/>
              <w:left w:w="110" w:type="dxa"/>
              <w:bottom w:w="100" w:type="dxa"/>
              <w:right w:w="110" w:type="dxa"/>
            </w:tcMar>
            <w:vAlign w:val="center"/>
          </w:tcPr>
          <w:p w14:paraId="555851A9" w14:textId="77777777" w:rsidR="00AC0869" w:rsidRDefault="00000000">
            <w:pPr>
              <w:spacing w:after="0" w:line="259" w:lineRule="auto"/>
              <w:rPr>
                <w:rFonts w:hint="eastAsia"/>
              </w:rPr>
            </w:pPr>
            <w:r>
              <w:rPr>
                <w:sz w:val="18"/>
              </w:rPr>
              <w:t>Identify the most reliable forecast</w:t>
            </w:r>
          </w:p>
        </w:tc>
      </w:tr>
      <w:tr w:rsidR="00AC0869" w14:paraId="3208EC04" w14:textId="77777777">
        <w:trPr>
          <w:cantSplit/>
          <w:jc w:val="center"/>
        </w:trPr>
        <w:tc>
          <w:tcPr>
            <w:tcW w:w="3096" w:type="dxa"/>
            <w:tcMar>
              <w:top w:w="100" w:type="dxa"/>
              <w:left w:w="110" w:type="dxa"/>
              <w:bottom w:w="100" w:type="dxa"/>
              <w:right w:w="110" w:type="dxa"/>
            </w:tcMar>
            <w:vAlign w:val="center"/>
          </w:tcPr>
          <w:p w14:paraId="48173DD9" w14:textId="77777777" w:rsidR="00AC0869" w:rsidRDefault="00000000">
            <w:pPr>
              <w:spacing w:after="0" w:line="259" w:lineRule="auto"/>
              <w:rPr>
                <w:rFonts w:hint="eastAsia"/>
              </w:rPr>
            </w:pPr>
            <w:r>
              <w:rPr>
                <w:sz w:val="18"/>
              </w:rPr>
              <w:t>High-consumption warning</w:t>
            </w:r>
          </w:p>
        </w:tc>
        <w:tc>
          <w:tcPr>
            <w:tcW w:w="2448" w:type="dxa"/>
            <w:tcMar>
              <w:top w:w="100" w:type="dxa"/>
              <w:left w:w="110" w:type="dxa"/>
              <w:bottom w:w="100" w:type="dxa"/>
              <w:right w:w="110" w:type="dxa"/>
            </w:tcMar>
            <w:vAlign w:val="center"/>
          </w:tcPr>
          <w:p w14:paraId="3EAC86EC" w14:textId="77777777" w:rsidR="00AC0869" w:rsidRDefault="00000000">
            <w:pPr>
              <w:spacing w:after="0" w:line="259" w:lineRule="auto"/>
              <w:jc w:val="center"/>
              <w:rPr>
                <w:rFonts w:hint="eastAsia"/>
              </w:rPr>
            </w:pPr>
            <w:r>
              <w:rPr>
                <w:sz w:val="18"/>
              </w:rPr>
              <w:t>Threshold monitoring</w:t>
            </w:r>
          </w:p>
        </w:tc>
        <w:tc>
          <w:tcPr>
            <w:tcW w:w="4248" w:type="dxa"/>
            <w:tcMar>
              <w:top w:w="100" w:type="dxa"/>
              <w:left w:w="110" w:type="dxa"/>
              <w:bottom w:w="100" w:type="dxa"/>
              <w:right w:w="110" w:type="dxa"/>
            </w:tcMar>
            <w:vAlign w:val="center"/>
          </w:tcPr>
          <w:p w14:paraId="7BC0E472" w14:textId="77777777" w:rsidR="00AC0869" w:rsidRDefault="00000000">
            <w:pPr>
              <w:spacing w:after="0" w:line="259" w:lineRule="auto"/>
              <w:rPr>
                <w:rFonts w:hint="eastAsia"/>
              </w:rPr>
            </w:pPr>
            <w:r>
              <w:rPr>
                <w:sz w:val="18"/>
              </w:rPr>
              <w:t>Warn when predicted usage exceeds normal or defined limits</w:t>
            </w:r>
          </w:p>
        </w:tc>
      </w:tr>
      <w:tr w:rsidR="00AC0869" w14:paraId="39C0D6B4" w14:textId="77777777">
        <w:trPr>
          <w:cantSplit/>
          <w:jc w:val="center"/>
        </w:trPr>
        <w:tc>
          <w:tcPr>
            <w:tcW w:w="3096" w:type="dxa"/>
            <w:shd w:val="clear" w:color="auto" w:fill="EEF4F8"/>
            <w:tcMar>
              <w:top w:w="100" w:type="dxa"/>
              <w:left w:w="110" w:type="dxa"/>
              <w:bottom w:w="100" w:type="dxa"/>
              <w:right w:w="110" w:type="dxa"/>
            </w:tcMar>
            <w:vAlign w:val="center"/>
          </w:tcPr>
          <w:p w14:paraId="1B532002" w14:textId="77777777" w:rsidR="00AC0869" w:rsidRDefault="00000000">
            <w:pPr>
              <w:spacing w:after="0" w:line="259" w:lineRule="auto"/>
              <w:rPr>
                <w:rFonts w:hint="eastAsia"/>
              </w:rPr>
            </w:pPr>
            <w:r>
              <w:rPr>
                <w:sz w:val="18"/>
              </w:rPr>
              <w:t>Prediction explanation</w:t>
            </w:r>
          </w:p>
        </w:tc>
        <w:tc>
          <w:tcPr>
            <w:tcW w:w="2448" w:type="dxa"/>
            <w:shd w:val="clear" w:color="auto" w:fill="EEF4F8"/>
            <w:tcMar>
              <w:top w:w="100" w:type="dxa"/>
              <w:left w:w="110" w:type="dxa"/>
              <w:bottom w:w="100" w:type="dxa"/>
              <w:right w:w="110" w:type="dxa"/>
            </w:tcMar>
            <w:vAlign w:val="center"/>
          </w:tcPr>
          <w:p w14:paraId="5EFFBC4D" w14:textId="77777777" w:rsidR="00AC0869" w:rsidRDefault="00000000">
            <w:pPr>
              <w:spacing w:after="0" w:line="259" w:lineRule="auto"/>
              <w:jc w:val="center"/>
              <w:rPr>
                <w:rFonts w:hint="eastAsia"/>
              </w:rPr>
            </w:pPr>
            <w:r>
              <w:rPr>
                <w:sz w:val="18"/>
              </w:rPr>
              <w:t>Explainable AI</w:t>
            </w:r>
          </w:p>
        </w:tc>
        <w:tc>
          <w:tcPr>
            <w:tcW w:w="4248" w:type="dxa"/>
            <w:shd w:val="clear" w:color="auto" w:fill="EEF4F8"/>
            <w:tcMar>
              <w:top w:w="100" w:type="dxa"/>
              <w:left w:w="110" w:type="dxa"/>
              <w:bottom w:w="100" w:type="dxa"/>
              <w:right w:w="110" w:type="dxa"/>
            </w:tcMar>
            <w:vAlign w:val="center"/>
          </w:tcPr>
          <w:p w14:paraId="13E7AC11" w14:textId="77777777" w:rsidR="00AC0869" w:rsidRDefault="00000000">
            <w:pPr>
              <w:spacing w:after="0" w:line="259" w:lineRule="auto"/>
              <w:rPr>
                <w:rFonts w:hint="eastAsia"/>
              </w:rPr>
            </w:pPr>
            <w:r>
              <w:rPr>
                <w:sz w:val="18"/>
              </w:rPr>
              <w:t>Show which variables influenced the forecast</w:t>
            </w:r>
          </w:p>
        </w:tc>
      </w:tr>
    </w:tbl>
    <w:p w14:paraId="35F978A7" w14:textId="77777777" w:rsidR="00AC0869" w:rsidRDefault="00AC0869">
      <w:pPr>
        <w:spacing w:after="0"/>
        <w:rPr>
          <w:rFonts w:hint="eastAsia"/>
        </w:rPr>
      </w:pPr>
    </w:p>
    <w:p w14:paraId="3E968086" w14:textId="77777777" w:rsidR="00AC0869" w:rsidRDefault="00000000">
      <w:pPr>
        <w:rPr>
          <w:rFonts w:hint="eastAsia"/>
        </w:rPr>
      </w:pPr>
      <w:r>
        <w:t>The primary task type is regression because the target is a continuous numerical value measured in kWh.</w:t>
      </w:r>
    </w:p>
    <w:p w14:paraId="2ECD7710" w14:textId="77777777" w:rsidR="00AC0869" w:rsidRDefault="00000000">
      <w:pPr>
        <w:pStyle w:val="Heading1"/>
      </w:pPr>
      <w:r>
        <w:t>7 Technical Success Metrics</w:t>
      </w:r>
    </w:p>
    <w:p w14:paraId="1B5D673F" w14:textId="77777777" w:rsidR="00AC0869" w:rsidRDefault="00000000">
      <w:pPr>
        <w:rPr>
          <w:rFonts w:hint="eastAsia"/>
        </w:rPr>
      </w:pPr>
      <w:r>
        <w:t>Models were evaluated using chronological train, validation, and test periods rather than random shuffling, ensuring that later observations were not used to predict the past.</w:t>
      </w:r>
    </w:p>
    <w:p w14:paraId="694EABD5" w14:textId="77777777" w:rsidR="00AC0869" w:rsidRDefault="00000000">
      <w:pPr>
        <w:pStyle w:val="Heading2"/>
      </w:pPr>
      <w:r>
        <w:t>7.1 Primary metric</w:t>
      </w:r>
    </w:p>
    <w:p w14:paraId="0A230351" w14:textId="77777777" w:rsidR="00AC0869" w:rsidRDefault="00000000">
      <w:pPr>
        <w:rPr>
          <w:rFonts w:hint="eastAsia"/>
        </w:rPr>
      </w:pPr>
      <w:r>
        <w:t>Mean Absolute Error (MAE) will be the primary evaluation metric because it reports the average absolute prediction error in the same unit as the target, making the result easy to interpret in kWh.</w:t>
      </w:r>
    </w:p>
    <w:p w14:paraId="7C42F458" w14:textId="77777777" w:rsidR="00AC0869" w:rsidRDefault="00000000">
      <w:pPr>
        <w:jc w:val="center"/>
        <w:rPr>
          <w:rFonts w:hint="eastAsia"/>
        </w:rPr>
      </w:pPr>
      <w:r>
        <w:rPr>
          <w:b/>
        </w:rPr>
        <w:t>MAE = (1/n) × Σ |actual consumption − predicted consumption|</w:t>
      </w:r>
    </w:p>
    <w:p w14:paraId="2FA4BD78" w14:textId="77777777" w:rsidR="00AC0869" w:rsidRDefault="00000000">
      <w:pPr>
        <w:pStyle w:val="Heading2"/>
      </w:pPr>
      <w:r>
        <w:t>7.2 Supporting metrics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098"/>
        <w:gridCol w:w="7344"/>
      </w:tblGrid>
      <w:tr w:rsidR="00AC0869" w14:paraId="1318D306" w14:textId="77777777">
        <w:trPr>
          <w:cantSplit/>
          <w:tblHeader/>
          <w:jc w:val="center"/>
        </w:trPr>
        <w:tc>
          <w:tcPr>
            <w:tcW w:w="2160" w:type="dxa"/>
            <w:shd w:val="clear" w:color="auto" w:fill="17365D"/>
            <w:tcMar>
              <w:top w:w="100" w:type="dxa"/>
              <w:left w:w="120" w:type="dxa"/>
              <w:bottom w:w="100" w:type="dxa"/>
              <w:right w:w="120" w:type="dxa"/>
            </w:tcMar>
            <w:vAlign w:val="center"/>
          </w:tcPr>
          <w:p w14:paraId="5E0574D7" w14:textId="77777777" w:rsidR="00AC0869" w:rsidRDefault="00000000">
            <w:pPr>
              <w:spacing w:after="0" w:line="259" w:lineRule="auto"/>
              <w:jc w:val="center"/>
              <w:rPr>
                <w:rFonts w:hint="eastAsia"/>
              </w:rPr>
            </w:pPr>
            <w:r>
              <w:rPr>
                <w:b/>
                <w:color w:val="FFFFFF"/>
                <w:sz w:val="19"/>
              </w:rPr>
              <w:t>Metric</w:t>
            </w:r>
          </w:p>
        </w:tc>
        <w:tc>
          <w:tcPr>
            <w:tcW w:w="7632" w:type="dxa"/>
            <w:shd w:val="clear" w:color="auto" w:fill="17365D"/>
            <w:tcMar>
              <w:top w:w="100" w:type="dxa"/>
              <w:left w:w="120" w:type="dxa"/>
              <w:bottom w:w="100" w:type="dxa"/>
              <w:right w:w="120" w:type="dxa"/>
            </w:tcMar>
            <w:vAlign w:val="center"/>
          </w:tcPr>
          <w:p w14:paraId="12604A8E" w14:textId="77777777" w:rsidR="00AC0869" w:rsidRDefault="00000000">
            <w:pPr>
              <w:spacing w:after="0" w:line="259" w:lineRule="auto"/>
              <w:jc w:val="center"/>
              <w:rPr>
                <w:rFonts w:hint="eastAsia"/>
              </w:rPr>
            </w:pPr>
            <w:r>
              <w:rPr>
                <w:b/>
                <w:color w:val="FFFFFF"/>
                <w:sz w:val="19"/>
              </w:rPr>
              <w:t>Purpose</w:t>
            </w:r>
          </w:p>
        </w:tc>
      </w:tr>
      <w:tr w:rsidR="00AC0869" w14:paraId="5C9C11BE" w14:textId="77777777">
        <w:trPr>
          <w:cantSplit/>
          <w:jc w:val="center"/>
        </w:trPr>
        <w:tc>
          <w:tcPr>
            <w:tcW w:w="2160" w:type="dxa"/>
            <w:tcMar>
              <w:top w:w="100" w:type="dxa"/>
              <w:left w:w="120" w:type="dxa"/>
              <w:bottom w:w="100" w:type="dxa"/>
              <w:right w:w="120" w:type="dxa"/>
            </w:tcMar>
            <w:vAlign w:val="center"/>
          </w:tcPr>
          <w:p w14:paraId="3A6451D1" w14:textId="77777777" w:rsidR="00AC0869" w:rsidRDefault="00000000">
            <w:pPr>
              <w:spacing w:after="0" w:line="259" w:lineRule="auto"/>
              <w:rPr>
                <w:rFonts w:hint="eastAsia"/>
              </w:rPr>
            </w:pPr>
            <w:r>
              <w:rPr>
                <w:sz w:val="19"/>
              </w:rPr>
              <w:t>MAE</w:t>
            </w:r>
          </w:p>
        </w:tc>
        <w:tc>
          <w:tcPr>
            <w:tcW w:w="7632" w:type="dxa"/>
            <w:tcMar>
              <w:top w:w="100" w:type="dxa"/>
              <w:left w:w="120" w:type="dxa"/>
              <w:bottom w:w="100" w:type="dxa"/>
              <w:right w:w="120" w:type="dxa"/>
            </w:tcMar>
            <w:vAlign w:val="center"/>
          </w:tcPr>
          <w:p w14:paraId="35A38117" w14:textId="77777777" w:rsidR="00AC0869" w:rsidRDefault="00000000">
            <w:pPr>
              <w:spacing w:after="0" w:line="259" w:lineRule="auto"/>
              <w:rPr>
                <w:rFonts w:hint="eastAsia"/>
              </w:rPr>
            </w:pPr>
            <w:r>
              <w:rPr>
                <w:sz w:val="19"/>
              </w:rPr>
              <w:t>Measures the average absolute prediction error in kWh</w:t>
            </w:r>
          </w:p>
        </w:tc>
      </w:tr>
      <w:tr w:rsidR="00AC0869" w14:paraId="69510A1C" w14:textId="77777777">
        <w:trPr>
          <w:cantSplit/>
          <w:jc w:val="center"/>
        </w:trPr>
        <w:tc>
          <w:tcPr>
            <w:tcW w:w="2160" w:type="dxa"/>
            <w:shd w:val="clear" w:color="auto" w:fill="EEF4F8"/>
            <w:tcMar>
              <w:top w:w="100" w:type="dxa"/>
              <w:left w:w="120" w:type="dxa"/>
              <w:bottom w:w="100" w:type="dxa"/>
              <w:right w:w="120" w:type="dxa"/>
            </w:tcMar>
            <w:vAlign w:val="center"/>
          </w:tcPr>
          <w:p w14:paraId="6A617D50" w14:textId="77777777" w:rsidR="00AC0869" w:rsidRDefault="00000000">
            <w:pPr>
              <w:spacing w:after="0" w:line="259" w:lineRule="auto"/>
              <w:rPr>
                <w:rFonts w:hint="eastAsia"/>
              </w:rPr>
            </w:pPr>
            <w:r>
              <w:rPr>
                <w:sz w:val="19"/>
              </w:rPr>
              <w:t>RMSE</w:t>
            </w:r>
          </w:p>
        </w:tc>
        <w:tc>
          <w:tcPr>
            <w:tcW w:w="7632" w:type="dxa"/>
            <w:shd w:val="clear" w:color="auto" w:fill="EEF4F8"/>
            <w:tcMar>
              <w:top w:w="100" w:type="dxa"/>
              <w:left w:w="120" w:type="dxa"/>
              <w:bottom w:w="100" w:type="dxa"/>
              <w:right w:w="120" w:type="dxa"/>
            </w:tcMar>
            <w:vAlign w:val="center"/>
          </w:tcPr>
          <w:p w14:paraId="3911575B" w14:textId="77777777" w:rsidR="00AC0869" w:rsidRDefault="00000000">
            <w:pPr>
              <w:spacing w:after="0" w:line="259" w:lineRule="auto"/>
              <w:rPr>
                <w:rFonts w:hint="eastAsia"/>
              </w:rPr>
            </w:pPr>
            <w:r>
              <w:rPr>
                <w:sz w:val="19"/>
              </w:rPr>
              <w:t>Gives greater weight to large prediction errors</w:t>
            </w:r>
          </w:p>
        </w:tc>
      </w:tr>
      <w:tr w:rsidR="00AC0869" w14:paraId="5B26BDC8" w14:textId="77777777">
        <w:trPr>
          <w:cantSplit/>
          <w:jc w:val="center"/>
        </w:trPr>
        <w:tc>
          <w:tcPr>
            <w:tcW w:w="2160" w:type="dxa"/>
            <w:tcMar>
              <w:top w:w="100" w:type="dxa"/>
              <w:left w:w="120" w:type="dxa"/>
              <w:bottom w:w="100" w:type="dxa"/>
              <w:right w:w="120" w:type="dxa"/>
            </w:tcMar>
            <w:vAlign w:val="center"/>
          </w:tcPr>
          <w:p w14:paraId="64FDBC05" w14:textId="77777777" w:rsidR="00AC0869" w:rsidRDefault="00000000">
            <w:pPr>
              <w:spacing w:after="0" w:line="259" w:lineRule="auto"/>
              <w:rPr>
                <w:rFonts w:hint="eastAsia"/>
              </w:rPr>
            </w:pPr>
            <w:r>
              <w:rPr>
                <w:sz w:val="19"/>
              </w:rPr>
              <w:t>MAPE</w:t>
            </w:r>
          </w:p>
        </w:tc>
        <w:tc>
          <w:tcPr>
            <w:tcW w:w="7632" w:type="dxa"/>
            <w:tcMar>
              <w:top w:w="100" w:type="dxa"/>
              <w:left w:w="120" w:type="dxa"/>
              <w:bottom w:w="100" w:type="dxa"/>
              <w:right w:w="120" w:type="dxa"/>
            </w:tcMar>
            <w:vAlign w:val="center"/>
          </w:tcPr>
          <w:p w14:paraId="75230293" w14:textId="77777777" w:rsidR="00AC0869" w:rsidRDefault="00000000">
            <w:pPr>
              <w:spacing w:after="0" w:line="259" w:lineRule="auto"/>
              <w:rPr>
                <w:rFonts w:hint="eastAsia"/>
              </w:rPr>
            </w:pPr>
            <w:r>
              <w:rPr>
                <w:sz w:val="19"/>
              </w:rPr>
              <w:t>Expresses prediction error as a percentage</w:t>
            </w:r>
          </w:p>
        </w:tc>
      </w:tr>
      <w:tr w:rsidR="00AC0869" w14:paraId="13BD2170" w14:textId="77777777">
        <w:trPr>
          <w:cantSplit/>
          <w:jc w:val="center"/>
        </w:trPr>
        <w:tc>
          <w:tcPr>
            <w:tcW w:w="2160" w:type="dxa"/>
            <w:shd w:val="clear" w:color="auto" w:fill="EEF4F8"/>
            <w:tcMar>
              <w:top w:w="100" w:type="dxa"/>
              <w:left w:w="120" w:type="dxa"/>
              <w:bottom w:w="100" w:type="dxa"/>
              <w:right w:w="120" w:type="dxa"/>
            </w:tcMar>
            <w:vAlign w:val="center"/>
          </w:tcPr>
          <w:p w14:paraId="784B8F93" w14:textId="77777777" w:rsidR="00AC0869" w:rsidRDefault="00000000">
            <w:pPr>
              <w:spacing w:after="0" w:line="259" w:lineRule="auto"/>
              <w:rPr>
                <w:rFonts w:hint="eastAsia"/>
              </w:rPr>
            </w:pPr>
            <w:r>
              <w:rPr>
                <w:sz w:val="19"/>
              </w:rPr>
              <w:t>R²</w:t>
            </w:r>
          </w:p>
        </w:tc>
        <w:tc>
          <w:tcPr>
            <w:tcW w:w="7632" w:type="dxa"/>
            <w:shd w:val="clear" w:color="auto" w:fill="EEF4F8"/>
            <w:tcMar>
              <w:top w:w="100" w:type="dxa"/>
              <w:left w:w="120" w:type="dxa"/>
              <w:bottom w:w="100" w:type="dxa"/>
              <w:right w:w="120" w:type="dxa"/>
            </w:tcMar>
            <w:vAlign w:val="center"/>
          </w:tcPr>
          <w:p w14:paraId="05CFE627" w14:textId="77777777" w:rsidR="00AC0869" w:rsidRDefault="00000000">
            <w:pPr>
              <w:spacing w:after="0" w:line="259" w:lineRule="auto"/>
              <w:rPr>
                <w:rFonts w:hint="eastAsia"/>
              </w:rPr>
            </w:pPr>
            <w:r>
              <w:rPr>
                <w:sz w:val="19"/>
              </w:rPr>
              <w:t>Measures how much variation in consumption is explained by the model</w:t>
            </w:r>
          </w:p>
        </w:tc>
      </w:tr>
    </w:tbl>
    <w:p w14:paraId="59B8932A" w14:textId="77777777" w:rsidR="00AC0869" w:rsidRDefault="00AC0869">
      <w:pPr>
        <w:spacing w:after="0"/>
        <w:rPr>
          <w:rFonts w:hint="eastAsia"/>
        </w:rPr>
      </w:pPr>
    </w:p>
    <w:p w14:paraId="18F2850E" w14:textId="77777777" w:rsidR="00AC0869" w:rsidRDefault="00000000">
      <w:pPr>
        <w:rPr>
          <w:rFonts w:hint="eastAsia"/>
        </w:rPr>
      </w:pPr>
      <w:r>
        <w:t>MAPE will be interpreted carefully because it becomes unreliable when actual consumption is zero or close to zero.</w:t>
      </w:r>
    </w:p>
    <w:p w14:paraId="2AE738EA" w14:textId="77777777" w:rsidR="00AC0869" w:rsidRDefault="00000000">
      <w:pPr>
        <w:pStyle w:val="Heading1"/>
      </w:pPr>
      <w:r>
        <w:t>8 Technical Success Criteria and Final Outcome</w:t>
      </w:r>
    </w:p>
    <w:p w14:paraId="037F1FC9" w14:textId="77777777" w:rsidR="00AC0869" w:rsidRDefault="00000000">
      <w:pPr>
        <w:rPr>
          <w:rFonts w:hint="eastAsia"/>
        </w:rPr>
      </w:pPr>
      <w:r>
        <w:t>The following criteria were established before final model selection. The completed evaluation shows which criteria were achieved and where further work remains necessary:</w:t>
      </w:r>
    </w:p>
    <w:p w14:paraId="3EF30D07" w14:textId="77777777" w:rsidR="00AC0869" w:rsidRDefault="00000000">
      <w:pPr>
        <w:spacing w:after="60"/>
        <w:ind w:left="360" w:hanging="360"/>
        <w:rPr>
          <w:rFonts w:hint="eastAsia"/>
        </w:rPr>
      </w:pPr>
      <w:r>
        <w:t>•  Achieved: XGBoost produced lower MAE and RMSE than both persistence and seasonal-naive baselines.</w:t>
      </w:r>
    </w:p>
    <w:p w14:paraId="0D47A96D" w14:textId="77777777" w:rsidR="00AC0869" w:rsidRDefault="00000000">
      <w:pPr>
        <w:spacing w:after="60"/>
        <w:ind w:left="360" w:hanging="360"/>
        <w:rPr>
          <w:rFonts w:hint="eastAsia"/>
        </w:rPr>
      </w:pPr>
      <w:r>
        <w:t>•  Achieved: test MAE improved by approximately 35 percent relative to the seasonal-naive baseline.</w:t>
      </w:r>
    </w:p>
    <w:p w14:paraId="113B72F2" w14:textId="77777777" w:rsidR="00AC0869" w:rsidRDefault="00000000">
      <w:pPr>
        <w:spacing w:after="60"/>
        <w:ind w:left="360" w:hanging="360"/>
        <w:rPr>
          <w:rFonts w:hint="eastAsia"/>
        </w:rPr>
      </w:pPr>
      <w:r>
        <w:t>•  Partially achieved: test MAPE was 18.73 percent rather than the aspirational 15 percent target; MAE remained the primary selection metric.</w:t>
      </w:r>
    </w:p>
    <w:p w14:paraId="30B5782B" w14:textId="77777777" w:rsidR="00AC0869" w:rsidRDefault="00000000">
      <w:pPr>
        <w:spacing w:after="60"/>
        <w:ind w:left="360" w:hanging="360"/>
        <w:rPr>
          <w:rFonts w:hint="eastAsia"/>
        </w:rPr>
      </w:pPr>
      <w:r>
        <w:t>•  Achieved: final performance was measured on 173 unseen, chronologically later daily observations.</w:t>
      </w:r>
    </w:p>
    <w:p w14:paraId="3CCFE3AF" w14:textId="77777777" w:rsidR="00AC0869" w:rsidRDefault="00000000">
      <w:pPr>
        <w:spacing w:after="60"/>
        <w:ind w:left="360" w:hanging="360"/>
        <w:rPr>
          <w:rFonts w:hint="eastAsia"/>
        </w:rPr>
      </w:pPr>
      <w:r>
        <w:t>•  Achieved with caution: the train-validation comparison did not indicate classic overfitting, although temporal and geographic generalization risks remain.</w:t>
      </w:r>
    </w:p>
    <w:p w14:paraId="0E5E9728" w14:textId="77777777" w:rsidR="00AC0869" w:rsidRDefault="00000000">
      <w:pPr>
        <w:rPr>
          <w:rFonts w:hint="eastAsia"/>
        </w:rPr>
      </w:pPr>
      <w:r>
        <w:lastRenderedPageBreak/>
        <w:t>The evaluated baselines used the most recent day's consumption and the equivalent day of the previous week. The seasonal-naive baseline was the stronger final benchmark. XGBoost achieved a test MAE of 3.7232 kWh compared with 5.7282 kWh for that baseline.</w:t>
      </w:r>
    </w:p>
    <w:p w14:paraId="5DD98031" w14:textId="77777777" w:rsidR="00AC0869" w:rsidRDefault="00000000">
      <w:pPr>
        <w:pStyle w:val="Heading2"/>
      </w:pPr>
      <w:r>
        <w:t>8.1 Rationale for the performance targets</w:t>
      </w:r>
    </w:p>
    <w:p w14:paraId="7C17CD83" w14:textId="77777777" w:rsidR="00AC0869" w:rsidRDefault="00000000">
      <w:pPr>
        <w:rPr>
          <w:rFonts w:hint="eastAsia"/>
        </w:rPr>
      </w:pPr>
      <w:r>
        <w:t>The requirement for at least a 10 percent reduction in MAE ensures that the selected model provides a meaningful improvement over a simple persistence or seasonal-naive forecast rather than only a marginal numerical gain. The MAPE target of 15 percent or lower represents an initially acceptable household-level relative forecasting error while remaining demanding enough to support useful next-day decisions. MAE remains the deciding metric because it is directly interpretable in kWh and is less distorted by occasional large errors than RMSE.</w:t>
      </w:r>
    </w:p>
    <w:p w14:paraId="38340224" w14:textId="77777777" w:rsidR="00AC0869" w:rsidRDefault="00000000">
      <w:pPr>
        <w:pStyle w:val="Heading1"/>
      </w:pPr>
      <w:r>
        <w:t>9 Business Success Indicators</w:t>
      </w:r>
    </w:p>
    <w:p w14:paraId="3E42FA1E" w14:textId="77777777" w:rsidR="00AC0869" w:rsidRDefault="00000000">
      <w:pPr>
        <w:rPr>
          <w:rFonts w:hint="eastAsia"/>
        </w:rPr>
      </w:pPr>
      <w:r>
        <w:t>Because the capstone uses a public single-household dataset rather than a prospective trial with Meralco customers, business KPIs are defined as pilot measures. Forecast metrics can be reported now, while behavior change, avoided kWh, and peso savings require transparent simulations or future observation.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078"/>
        <w:gridCol w:w="6364"/>
      </w:tblGrid>
      <w:tr w:rsidR="00AC0869" w14:paraId="4269B36F" w14:textId="77777777">
        <w:trPr>
          <w:cantSplit/>
          <w:tblHeader/>
          <w:jc w:val="center"/>
        </w:trPr>
        <w:tc>
          <w:tcPr>
            <w:tcW w:w="3168" w:type="dxa"/>
            <w:shd w:val="clear" w:color="auto" w:fill="17365D"/>
            <w:tcMar>
              <w:top w:w="100" w:type="dxa"/>
              <w:left w:w="120" w:type="dxa"/>
              <w:bottom w:w="100" w:type="dxa"/>
              <w:right w:w="120" w:type="dxa"/>
            </w:tcMar>
            <w:vAlign w:val="center"/>
          </w:tcPr>
          <w:p w14:paraId="2A821EFA" w14:textId="77777777" w:rsidR="00AC0869" w:rsidRDefault="00000000">
            <w:pPr>
              <w:spacing w:after="0" w:line="259" w:lineRule="auto"/>
              <w:jc w:val="center"/>
              <w:rPr>
                <w:rFonts w:hint="eastAsia"/>
              </w:rPr>
            </w:pPr>
            <w:r>
              <w:rPr>
                <w:b/>
                <w:color w:val="FFFFFF"/>
                <w:sz w:val="19"/>
              </w:rPr>
              <w:t>Business KPI</w:t>
            </w:r>
          </w:p>
        </w:tc>
        <w:tc>
          <w:tcPr>
            <w:tcW w:w="6624" w:type="dxa"/>
            <w:shd w:val="clear" w:color="auto" w:fill="17365D"/>
            <w:tcMar>
              <w:top w:w="100" w:type="dxa"/>
              <w:left w:w="120" w:type="dxa"/>
              <w:bottom w:w="100" w:type="dxa"/>
              <w:right w:w="120" w:type="dxa"/>
            </w:tcMar>
            <w:vAlign w:val="center"/>
          </w:tcPr>
          <w:p w14:paraId="5CEB1AA2" w14:textId="77777777" w:rsidR="00AC0869" w:rsidRDefault="00000000">
            <w:pPr>
              <w:spacing w:after="0" w:line="259" w:lineRule="auto"/>
              <w:jc w:val="center"/>
              <w:rPr>
                <w:rFonts w:hint="eastAsia"/>
              </w:rPr>
            </w:pPr>
            <w:r>
              <w:rPr>
                <w:b/>
                <w:color w:val="FFFFFF"/>
                <w:sz w:val="19"/>
              </w:rPr>
              <w:t>Measurement</w:t>
            </w:r>
          </w:p>
        </w:tc>
      </w:tr>
      <w:tr w:rsidR="00AC0869" w14:paraId="71FF49D0" w14:textId="77777777">
        <w:trPr>
          <w:cantSplit/>
          <w:jc w:val="center"/>
        </w:trPr>
        <w:tc>
          <w:tcPr>
            <w:tcW w:w="3168" w:type="dxa"/>
            <w:tcMar>
              <w:top w:w="100" w:type="dxa"/>
              <w:left w:w="120" w:type="dxa"/>
              <w:bottom w:w="100" w:type="dxa"/>
              <w:right w:w="120" w:type="dxa"/>
            </w:tcMar>
            <w:vAlign w:val="center"/>
          </w:tcPr>
          <w:p w14:paraId="6C158974" w14:textId="77777777" w:rsidR="00AC0869" w:rsidRDefault="00000000">
            <w:pPr>
              <w:spacing w:after="0" w:line="259" w:lineRule="auto"/>
              <w:rPr>
                <w:rFonts w:hint="eastAsia"/>
              </w:rPr>
            </w:pPr>
            <w:r>
              <w:rPr>
                <w:sz w:val="19"/>
              </w:rPr>
              <w:t>Early-warning coverage</w:t>
            </w:r>
          </w:p>
        </w:tc>
        <w:tc>
          <w:tcPr>
            <w:tcW w:w="6624" w:type="dxa"/>
            <w:tcMar>
              <w:top w:w="100" w:type="dxa"/>
              <w:left w:w="120" w:type="dxa"/>
              <w:bottom w:w="100" w:type="dxa"/>
              <w:right w:w="120" w:type="dxa"/>
            </w:tcMar>
            <w:vAlign w:val="center"/>
          </w:tcPr>
          <w:p w14:paraId="11472912" w14:textId="77777777" w:rsidR="00AC0869" w:rsidRDefault="00000000">
            <w:pPr>
              <w:spacing w:after="0" w:line="259" w:lineRule="auto"/>
              <w:rPr>
                <w:rFonts w:hint="eastAsia"/>
              </w:rPr>
            </w:pPr>
            <w:r>
              <w:rPr>
                <w:sz w:val="19"/>
              </w:rPr>
              <w:t>Percentage of high-consumption periods identified before they occur</w:t>
            </w:r>
          </w:p>
        </w:tc>
      </w:tr>
      <w:tr w:rsidR="00AC0869" w14:paraId="52518F2D" w14:textId="77777777">
        <w:trPr>
          <w:cantSplit/>
          <w:jc w:val="center"/>
        </w:trPr>
        <w:tc>
          <w:tcPr>
            <w:tcW w:w="3168" w:type="dxa"/>
            <w:shd w:val="clear" w:color="auto" w:fill="EEF4F8"/>
            <w:tcMar>
              <w:top w:w="100" w:type="dxa"/>
              <w:left w:w="120" w:type="dxa"/>
              <w:bottom w:w="100" w:type="dxa"/>
              <w:right w:w="120" w:type="dxa"/>
            </w:tcMar>
            <w:vAlign w:val="center"/>
          </w:tcPr>
          <w:p w14:paraId="69BFAC31" w14:textId="77777777" w:rsidR="00AC0869" w:rsidRDefault="00000000">
            <w:pPr>
              <w:spacing w:after="0" w:line="259" w:lineRule="auto"/>
              <w:rPr>
                <w:rFonts w:hint="eastAsia"/>
              </w:rPr>
            </w:pPr>
            <w:r>
              <w:rPr>
                <w:sz w:val="19"/>
              </w:rPr>
              <w:t>Warning precision</w:t>
            </w:r>
          </w:p>
        </w:tc>
        <w:tc>
          <w:tcPr>
            <w:tcW w:w="6624" w:type="dxa"/>
            <w:shd w:val="clear" w:color="auto" w:fill="EEF4F8"/>
            <w:tcMar>
              <w:top w:w="100" w:type="dxa"/>
              <w:left w:w="120" w:type="dxa"/>
              <w:bottom w:w="100" w:type="dxa"/>
              <w:right w:w="120" w:type="dxa"/>
            </w:tcMar>
            <w:vAlign w:val="center"/>
          </w:tcPr>
          <w:p w14:paraId="793DC8E9" w14:textId="77777777" w:rsidR="00AC0869" w:rsidRDefault="00000000">
            <w:pPr>
              <w:spacing w:after="0" w:line="259" w:lineRule="auto"/>
              <w:rPr>
                <w:rFonts w:hint="eastAsia"/>
              </w:rPr>
            </w:pPr>
            <w:r>
              <w:rPr>
                <w:sz w:val="19"/>
              </w:rPr>
              <w:t>Percentage of warnings followed by actual above-threshold consumption</w:t>
            </w:r>
          </w:p>
        </w:tc>
      </w:tr>
      <w:tr w:rsidR="00AC0869" w14:paraId="1C4B1BB0" w14:textId="77777777">
        <w:trPr>
          <w:cantSplit/>
          <w:jc w:val="center"/>
        </w:trPr>
        <w:tc>
          <w:tcPr>
            <w:tcW w:w="3168" w:type="dxa"/>
            <w:tcMar>
              <w:top w:w="100" w:type="dxa"/>
              <w:left w:w="120" w:type="dxa"/>
              <w:bottom w:w="100" w:type="dxa"/>
              <w:right w:w="120" w:type="dxa"/>
            </w:tcMar>
            <w:vAlign w:val="center"/>
          </w:tcPr>
          <w:p w14:paraId="1DEE86FE" w14:textId="77777777" w:rsidR="00AC0869" w:rsidRDefault="00000000">
            <w:pPr>
              <w:spacing w:after="0" w:line="259" w:lineRule="auto"/>
              <w:rPr>
                <w:rFonts w:hint="eastAsia"/>
              </w:rPr>
            </w:pPr>
            <w:r>
              <w:rPr>
                <w:sz w:val="19"/>
              </w:rPr>
              <w:t>Consumption visibility</w:t>
            </w:r>
          </w:p>
        </w:tc>
        <w:tc>
          <w:tcPr>
            <w:tcW w:w="6624" w:type="dxa"/>
            <w:tcMar>
              <w:top w:w="100" w:type="dxa"/>
              <w:left w:w="120" w:type="dxa"/>
              <w:bottom w:w="100" w:type="dxa"/>
              <w:right w:w="120" w:type="dxa"/>
            </w:tcMar>
            <w:vAlign w:val="center"/>
          </w:tcPr>
          <w:p w14:paraId="62BD895A" w14:textId="77777777" w:rsidR="00AC0869" w:rsidRDefault="00000000">
            <w:pPr>
              <w:spacing w:after="0" w:line="259" w:lineRule="auto"/>
              <w:rPr>
                <w:rFonts w:hint="eastAsia"/>
              </w:rPr>
            </w:pPr>
            <w:r>
              <w:rPr>
                <w:sz w:val="19"/>
              </w:rPr>
              <w:t>Clear presentation of historical and predicted usage</w:t>
            </w:r>
          </w:p>
        </w:tc>
      </w:tr>
      <w:tr w:rsidR="00AC0869" w14:paraId="35AB6DAF" w14:textId="77777777">
        <w:trPr>
          <w:cantSplit/>
          <w:jc w:val="center"/>
        </w:trPr>
        <w:tc>
          <w:tcPr>
            <w:tcW w:w="3168" w:type="dxa"/>
            <w:shd w:val="clear" w:color="auto" w:fill="EEF4F8"/>
            <w:tcMar>
              <w:top w:w="100" w:type="dxa"/>
              <w:left w:w="120" w:type="dxa"/>
              <w:bottom w:w="100" w:type="dxa"/>
              <w:right w:w="120" w:type="dxa"/>
            </w:tcMar>
            <w:vAlign w:val="center"/>
          </w:tcPr>
          <w:p w14:paraId="0871E830" w14:textId="77777777" w:rsidR="00AC0869" w:rsidRDefault="00000000">
            <w:pPr>
              <w:spacing w:after="0" w:line="259" w:lineRule="auto"/>
              <w:rPr>
                <w:rFonts w:hint="eastAsia"/>
              </w:rPr>
            </w:pPr>
            <w:r>
              <w:rPr>
                <w:sz w:val="19"/>
              </w:rPr>
              <w:t>Potential consumption reduction</w:t>
            </w:r>
          </w:p>
        </w:tc>
        <w:tc>
          <w:tcPr>
            <w:tcW w:w="6624" w:type="dxa"/>
            <w:shd w:val="clear" w:color="auto" w:fill="EEF4F8"/>
            <w:tcMar>
              <w:top w:w="100" w:type="dxa"/>
              <w:left w:w="120" w:type="dxa"/>
              <w:bottom w:w="100" w:type="dxa"/>
              <w:right w:w="120" w:type="dxa"/>
            </w:tcMar>
            <w:vAlign w:val="center"/>
          </w:tcPr>
          <w:p w14:paraId="14E52439" w14:textId="77777777" w:rsidR="00AC0869" w:rsidRDefault="00000000">
            <w:pPr>
              <w:spacing w:after="0" w:line="259" w:lineRule="auto"/>
              <w:rPr>
                <w:rFonts w:hint="eastAsia"/>
              </w:rPr>
            </w:pPr>
            <w:r>
              <w:rPr>
                <w:sz w:val="19"/>
              </w:rPr>
              <w:t>Simulated reduction when users respond to an alert</w:t>
            </w:r>
          </w:p>
        </w:tc>
      </w:tr>
      <w:tr w:rsidR="00AC0869" w14:paraId="65DE88EE" w14:textId="77777777">
        <w:trPr>
          <w:cantSplit/>
          <w:jc w:val="center"/>
        </w:trPr>
        <w:tc>
          <w:tcPr>
            <w:tcW w:w="3168" w:type="dxa"/>
            <w:tcMar>
              <w:top w:w="100" w:type="dxa"/>
              <w:left w:w="120" w:type="dxa"/>
              <w:bottom w:w="100" w:type="dxa"/>
              <w:right w:w="120" w:type="dxa"/>
            </w:tcMar>
            <w:vAlign w:val="center"/>
          </w:tcPr>
          <w:p w14:paraId="0C9B9749" w14:textId="77777777" w:rsidR="00AC0869" w:rsidRDefault="00000000">
            <w:pPr>
              <w:spacing w:after="0" w:line="259" w:lineRule="auto"/>
              <w:rPr>
                <w:rFonts w:hint="eastAsia"/>
              </w:rPr>
            </w:pPr>
            <w:r>
              <w:rPr>
                <w:sz w:val="19"/>
              </w:rPr>
              <w:t>Potential bill savings</w:t>
            </w:r>
          </w:p>
        </w:tc>
        <w:tc>
          <w:tcPr>
            <w:tcW w:w="6624" w:type="dxa"/>
            <w:tcMar>
              <w:top w:w="100" w:type="dxa"/>
              <w:left w:w="120" w:type="dxa"/>
              <w:bottom w:w="100" w:type="dxa"/>
              <w:right w:w="120" w:type="dxa"/>
            </w:tcMar>
            <w:vAlign w:val="center"/>
          </w:tcPr>
          <w:p w14:paraId="480794A6" w14:textId="77777777" w:rsidR="00AC0869" w:rsidRDefault="00000000">
            <w:pPr>
              <w:spacing w:after="0" w:line="259" w:lineRule="auto"/>
              <w:rPr>
                <w:rFonts w:hint="eastAsia"/>
              </w:rPr>
            </w:pPr>
            <w:r>
              <w:rPr>
                <w:sz w:val="19"/>
              </w:rPr>
              <w:t>Estimated savings from avoided kWh using a stated electricity rate</w:t>
            </w:r>
          </w:p>
        </w:tc>
      </w:tr>
      <w:tr w:rsidR="00AC0869" w14:paraId="357EB786" w14:textId="77777777">
        <w:trPr>
          <w:cantSplit/>
          <w:jc w:val="center"/>
        </w:trPr>
        <w:tc>
          <w:tcPr>
            <w:tcW w:w="3168" w:type="dxa"/>
            <w:shd w:val="clear" w:color="auto" w:fill="EEF4F8"/>
            <w:tcMar>
              <w:top w:w="100" w:type="dxa"/>
              <w:left w:w="120" w:type="dxa"/>
              <w:bottom w:w="100" w:type="dxa"/>
              <w:right w:w="120" w:type="dxa"/>
            </w:tcMar>
            <w:vAlign w:val="center"/>
          </w:tcPr>
          <w:p w14:paraId="2538107E" w14:textId="77777777" w:rsidR="00AC0869" w:rsidRDefault="00000000">
            <w:pPr>
              <w:spacing w:after="0" w:line="259" w:lineRule="auto"/>
              <w:rPr>
                <w:rFonts w:hint="eastAsia"/>
              </w:rPr>
            </w:pPr>
            <w:r>
              <w:rPr>
                <w:sz w:val="19"/>
              </w:rPr>
              <w:t>User action time</w:t>
            </w:r>
          </w:p>
        </w:tc>
        <w:tc>
          <w:tcPr>
            <w:tcW w:w="6624" w:type="dxa"/>
            <w:shd w:val="clear" w:color="auto" w:fill="EEF4F8"/>
            <w:tcMar>
              <w:top w:w="100" w:type="dxa"/>
              <w:left w:w="120" w:type="dxa"/>
              <w:bottom w:w="100" w:type="dxa"/>
              <w:right w:w="120" w:type="dxa"/>
            </w:tcMar>
            <w:vAlign w:val="center"/>
          </w:tcPr>
          <w:p w14:paraId="72DD792D" w14:textId="77777777" w:rsidR="00AC0869" w:rsidRDefault="00000000">
            <w:pPr>
              <w:spacing w:after="0" w:line="259" w:lineRule="auto"/>
              <w:rPr>
                <w:rFonts w:hint="eastAsia"/>
              </w:rPr>
            </w:pPr>
            <w:r>
              <w:rPr>
                <w:sz w:val="19"/>
              </w:rPr>
              <w:t>Hours or days of advance notice before predicted high usage</w:t>
            </w:r>
          </w:p>
        </w:tc>
      </w:tr>
    </w:tbl>
    <w:p w14:paraId="5953530A" w14:textId="77777777" w:rsidR="00AC0869" w:rsidRDefault="00AC0869">
      <w:pPr>
        <w:spacing w:after="0"/>
        <w:rPr>
          <w:rFonts w:hint="eastAsia"/>
        </w:rPr>
      </w:pPr>
    </w:p>
    <w:p w14:paraId="6CA58BC9" w14:textId="77777777" w:rsidR="00AC0869" w:rsidRDefault="00000000">
      <w:pPr>
        <w:pStyle w:val="Heading2"/>
      </w:pPr>
      <w:r>
        <w:t>9.1 Proposed Business Targets and Current Status</w:t>
      </w:r>
    </w:p>
    <w:p w14:paraId="25F0801A" w14:textId="77777777" w:rsidR="00AC0869" w:rsidRDefault="00000000">
      <w:pPr>
        <w:spacing w:after="60"/>
        <w:ind w:left="360" w:hanging="360"/>
        <w:rPr>
          <w:rFonts w:hint="eastAsia"/>
        </w:rPr>
      </w:pPr>
      <w:r>
        <w:t>•  Supported by design: the one-day forecast horizon provides up to one day of advance visibility.</w:t>
      </w:r>
    </w:p>
    <w:p w14:paraId="166F3672" w14:textId="77777777" w:rsidR="00AC0869" w:rsidRDefault="00000000">
      <w:pPr>
        <w:spacing w:after="60"/>
        <w:ind w:left="360" w:hanging="360"/>
        <w:rPr>
          <w:rFonts w:hint="eastAsia"/>
        </w:rPr>
      </w:pPr>
      <w:r>
        <w:t>•  Not achieved by the original warning rule: recall was 21.74 percent, detecting 5 of 23 high-consumption test days against the proposed 80 percent target.</w:t>
      </w:r>
    </w:p>
    <w:p w14:paraId="43887474" w14:textId="77777777" w:rsidR="00AC0869" w:rsidRDefault="00000000">
      <w:pPr>
        <w:spacing w:after="60"/>
        <w:ind w:left="360" w:hanging="360"/>
        <w:rPr>
          <w:rFonts w:hint="eastAsia"/>
        </w:rPr>
      </w:pPr>
      <w:r>
        <w:t>•  Nearly achieved but below target: warning precision was 71.43 percent against the proposed 75 percent target.</w:t>
      </w:r>
    </w:p>
    <w:p w14:paraId="64E85317" w14:textId="77777777" w:rsidR="00AC0869" w:rsidRDefault="00000000">
      <w:pPr>
        <w:spacing w:after="60"/>
        <w:ind w:left="360" w:hanging="360"/>
        <w:rPr>
          <w:rFonts w:hint="eastAsia"/>
        </w:rPr>
      </w:pPr>
      <w:r>
        <w:t>•  Not yet validated: potential consumption reduction and peso savings require a prospective Philippine household pilot and must not be presented as realized benefits.</w:t>
      </w:r>
    </w:p>
    <w:p w14:paraId="3FC8881A" w14:textId="77777777" w:rsidR="00AC0869" w:rsidRDefault="00000000">
      <w:pPr>
        <w:rPr>
          <w:rFonts w:hint="eastAsia"/>
        </w:rPr>
      </w:pPr>
      <w:r>
        <w:t>The forecasting objective was achieved, but the warning and business targets were not fully achieved. The result is therefore a promising forecasting prototype rather than a deployment-ready bill-shock alert system. Future application thresholds should be configurable and validated on local household data.</w:t>
      </w:r>
    </w:p>
    <w:p w14:paraId="0B1A12C2" w14:textId="77777777" w:rsidR="00AC0869" w:rsidRDefault="00000000">
      <w:pPr>
        <w:pStyle w:val="Heading2"/>
      </w:pPr>
      <w:r>
        <w:t>9.2 Alignment of technical metrics and business outcomes</w:t>
      </w:r>
    </w:p>
    <w:p w14:paraId="024E50A1" w14:textId="77777777" w:rsidR="00AC0869" w:rsidRDefault="00000000">
      <w:pPr>
        <w:rPr>
          <w:rFonts w:hint="eastAsia"/>
        </w:rPr>
      </w:pPr>
      <w:r>
        <w:t>Technical accuracy creates business value only when it improves the timing and reliability of household decisions. The following relationships will be evaluated explicitly.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136"/>
        <w:gridCol w:w="6306"/>
      </w:tblGrid>
      <w:tr w:rsidR="00AC0869" w14:paraId="03F65433" w14:textId="77777777">
        <w:trPr>
          <w:cantSplit/>
          <w:tblHeader/>
          <w:jc w:val="center"/>
        </w:trPr>
        <w:tc>
          <w:tcPr>
            <w:tcW w:w="3240" w:type="dxa"/>
            <w:shd w:val="clear" w:color="auto" w:fill="17365D"/>
            <w:tcMar>
              <w:top w:w="100" w:type="dxa"/>
              <w:left w:w="120" w:type="dxa"/>
              <w:bottom w:w="100" w:type="dxa"/>
              <w:right w:w="120" w:type="dxa"/>
            </w:tcMar>
            <w:vAlign w:val="center"/>
          </w:tcPr>
          <w:p w14:paraId="1177F427" w14:textId="77777777" w:rsidR="00AC0869" w:rsidRDefault="00000000">
            <w:pPr>
              <w:spacing w:after="0" w:line="259" w:lineRule="auto"/>
              <w:jc w:val="center"/>
              <w:rPr>
                <w:rFonts w:hint="eastAsia"/>
              </w:rPr>
            </w:pPr>
            <w:r>
              <w:rPr>
                <w:b/>
                <w:color w:val="FFFFFF"/>
                <w:sz w:val="19"/>
              </w:rPr>
              <w:t>Technical result</w:t>
            </w:r>
          </w:p>
        </w:tc>
        <w:tc>
          <w:tcPr>
            <w:tcW w:w="6552" w:type="dxa"/>
            <w:shd w:val="clear" w:color="auto" w:fill="17365D"/>
            <w:tcMar>
              <w:top w:w="100" w:type="dxa"/>
              <w:left w:w="120" w:type="dxa"/>
              <w:bottom w:w="100" w:type="dxa"/>
              <w:right w:w="120" w:type="dxa"/>
            </w:tcMar>
            <w:vAlign w:val="center"/>
          </w:tcPr>
          <w:p w14:paraId="41DE3078" w14:textId="77777777" w:rsidR="00AC0869" w:rsidRDefault="00000000">
            <w:pPr>
              <w:spacing w:after="0" w:line="259" w:lineRule="auto"/>
              <w:jc w:val="center"/>
              <w:rPr>
                <w:rFonts w:hint="eastAsia"/>
              </w:rPr>
            </w:pPr>
            <w:r>
              <w:rPr>
                <w:b/>
                <w:color w:val="FFFFFF"/>
                <w:sz w:val="19"/>
              </w:rPr>
              <w:t>Business interpretation</w:t>
            </w:r>
          </w:p>
        </w:tc>
      </w:tr>
      <w:tr w:rsidR="00AC0869" w14:paraId="487206B7" w14:textId="77777777">
        <w:trPr>
          <w:cantSplit/>
          <w:jc w:val="center"/>
        </w:trPr>
        <w:tc>
          <w:tcPr>
            <w:tcW w:w="3240" w:type="dxa"/>
            <w:tcMar>
              <w:top w:w="100" w:type="dxa"/>
              <w:left w:w="120" w:type="dxa"/>
              <w:bottom w:w="100" w:type="dxa"/>
              <w:right w:w="120" w:type="dxa"/>
            </w:tcMar>
            <w:vAlign w:val="center"/>
          </w:tcPr>
          <w:p w14:paraId="1C08CB85" w14:textId="77777777" w:rsidR="00AC0869" w:rsidRDefault="00000000">
            <w:pPr>
              <w:spacing w:after="0" w:line="259" w:lineRule="auto"/>
              <w:rPr>
                <w:rFonts w:hint="eastAsia"/>
              </w:rPr>
            </w:pPr>
            <w:r>
              <w:rPr>
                <w:sz w:val="19"/>
              </w:rPr>
              <w:t>Lower MAE</w:t>
            </w:r>
          </w:p>
        </w:tc>
        <w:tc>
          <w:tcPr>
            <w:tcW w:w="6552" w:type="dxa"/>
            <w:tcMar>
              <w:top w:w="100" w:type="dxa"/>
              <w:left w:w="120" w:type="dxa"/>
              <w:bottom w:w="100" w:type="dxa"/>
              <w:right w:w="120" w:type="dxa"/>
            </w:tcMar>
            <w:vAlign w:val="center"/>
          </w:tcPr>
          <w:p w14:paraId="1874807D" w14:textId="77777777" w:rsidR="00AC0869" w:rsidRDefault="00000000">
            <w:pPr>
              <w:spacing w:after="0" w:line="259" w:lineRule="auto"/>
              <w:rPr>
                <w:rFonts w:hint="eastAsia"/>
              </w:rPr>
            </w:pPr>
            <w:r>
              <w:rPr>
                <w:sz w:val="19"/>
              </w:rPr>
              <w:t>More accurate daily kWh estimates for household planning</w:t>
            </w:r>
          </w:p>
        </w:tc>
      </w:tr>
      <w:tr w:rsidR="00AC0869" w14:paraId="64ECDE83" w14:textId="77777777">
        <w:trPr>
          <w:cantSplit/>
          <w:jc w:val="center"/>
        </w:trPr>
        <w:tc>
          <w:tcPr>
            <w:tcW w:w="3240" w:type="dxa"/>
            <w:shd w:val="clear" w:color="auto" w:fill="EEF4F8"/>
            <w:tcMar>
              <w:top w:w="100" w:type="dxa"/>
              <w:left w:w="120" w:type="dxa"/>
              <w:bottom w:w="100" w:type="dxa"/>
              <w:right w:w="120" w:type="dxa"/>
            </w:tcMar>
            <w:vAlign w:val="center"/>
          </w:tcPr>
          <w:p w14:paraId="59786303" w14:textId="77777777" w:rsidR="00AC0869" w:rsidRDefault="00000000">
            <w:pPr>
              <w:spacing w:after="0" w:line="259" w:lineRule="auto"/>
              <w:rPr>
                <w:rFonts w:hint="eastAsia"/>
              </w:rPr>
            </w:pPr>
            <w:r>
              <w:rPr>
                <w:sz w:val="19"/>
              </w:rPr>
              <w:t>Lower RMSE</w:t>
            </w:r>
          </w:p>
        </w:tc>
        <w:tc>
          <w:tcPr>
            <w:tcW w:w="6552" w:type="dxa"/>
            <w:shd w:val="clear" w:color="auto" w:fill="EEF4F8"/>
            <w:tcMar>
              <w:top w:w="100" w:type="dxa"/>
              <w:left w:w="120" w:type="dxa"/>
              <w:bottom w:w="100" w:type="dxa"/>
              <w:right w:w="120" w:type="dxa"/>
            </w:tcMar>
            <w:vAlign w:val="center"/>
          </w:tcPr>
          <w:p w14:paraId="7A7B3D55" w14:textId="77777777" w:rsidR="00AC0869" w:rsidRDefault="00000000">
            <w:pPr>
              <w:spacing w:after="0" w:line="259" w:lineRule="auto"/>
              <w:rPr>
                <w:rFonts w:hint="eastAsia"/>
              </w:rPr>
            </w:pPr>
            <w:r>
              <w:rPr>
                <w:sz w:val="19"/>
              </w:rPr>
              <w:t>Fewer large errors that could hide or exaggerate high-use days</w:t>
            </w:r>
          </w:p>
        </w:tc>
      </w:tr>
      <w:tr w:rsidR="00AC0869" w14:paraId="114E5177" w14:textId="77777777">
        <w:trPr>
          <w:cantSplit/>
          <w:jc w:val="center"/>
        </w:trPr>
        <w:tc>
          <w:tcPr>
            <w:tcW w:w="3240" w:type="dxa"/>
            <w:tcMar>
              <w:top w:w="100" w:type="dxa"/>
              <w:left w:w="120" w:type="dxa"/>
              <w:bottom w:w="100" w:type="dxa"/>
              <w:right w:w="120" w:type="dxa"/>
            </w:tcMar>
            <w:vAlign w:val="center"/>
          </w:tcPr>
          <w:p w14:paraId="6E213283" w14:textId="77777777" w:rsidR="00AC0869" w:rsidRDefault="00000000">
            <w:pPr>
              <w:spacing w:after="0" w:line="259" w:lineRule="auto"/>
              <w:rPr>
                <w:rFonts w:hint="eastAsia"/>
              </w:rPr>
            </w:pPr>
            <w:r>
              <w:rPr>
                <w:sz w:val="19"/>
              </w:rPr>
              <w:lastRenderedPageBreak/>
              <w:t>High warning coverage</w:t>
            </w:r>
          </w:p>
        </w:tc>
        <w:tc>
          <w:tcPr>
            <w:tcW w:w="6552" w:type="dxa"/>
            <w:tcMar>
              <w:top w:w="100" w:type="dxa"/>
              <w:left w:w="120" w:type="dxa"/>
              <w:bottom w:w="100" w:type="dxa"/>
              <w:right w:w="120" w:type="dxa"/>
            </w:tcMar>
            <w:vAlign w:val="center"/>
          </w:tcPr>
          <w:p w14:paraId="0A9BAD26" w14:textId="77777777" w:rsidR="00AC0869" w:rsidRDefault="00000000">
            <w:pPr>
              <w:spacing w:after="0" w:line="259" w:lineRule="auto"/>
              <w:rPr>
                <w:rFonts w:hint="eastAsia"/>
              </w:rPr>
            </w:pPr>
            <w:r>
              <w:rPr>
                <w:sz w:val="19"/>
              </w:rPr>
              <w:t>More actual high-consumption days identified in advance</w:t>
            </w:r>
          </w:p>
        </w:tc>
      </w:tr>
      <w:tr w:rsidR="00AC0869" w14:paraId="4F04E6EA" w14:textId="77777777">
        <w:trPr>
          <w:cantSplit/>
          <w:jc w:val="center"/>
        </w:trPr>
        <w:tc>
          <w:tcPr>
            <w:tcW w:w="3240" w:type="dxa"/>
            <w:shd w:val="clear" w:color="auto" w:fill="EEF4F8"/>
            <w:tcMar>
              <w:top w:w="100" w:type="dxa"/>
              <w:left w:w="120" w:type="dxa"/>
              <w:bottom w:w="100" w:type="dxa"/>
              <w:right w:w="120" w:type="dxa"/>
            </w:tcMar>
            <w:vAlign w:val="center"/>
          </w:tcPr>
          <w:p w14:paraId="049800BA" w14:textId="77777777" w:rsidR="00AC0869" w:rsidRDefault="00000000">
            <w:pPr>
              <w:spacing w:after="0" w:line="259" w:lineRule="auto"/>
              <w:rPr>
                <w:rFonts w:hint="eastAsia"/>
              </w:rPr>
            </w:pPr>
            <w:r>
              <w:rPr>
                <w:sz w:val="19"/>
              </w:rPr>
              <w:t>High warning precision</w:t>
            </w:r>
          </w:p>
        </w:tc>
        <w:tc>
          <w:tcPr>
            <w:tcW w:w="6552" w:type="dxa"/>
            <w:shd w:val="clear" w:color="auto" w:fill="EEF4F8"/>
            <w:tcMar>
              <w:top w:w="100" w:type="dxa"/>
              <w:left w:w="120" w:type="dxa"/>
              <w:bottom w:w="100" w:type="dxa"/>
              <w:right w:w="120" w:type="dxa"/>
            </w:tcMar>
            <w:vAlign w:val="center"/>
          </w:tcPr>
          <w:p w14:paraId="56607F6A" w14:textId="77777777" w:rsidR="00AC0869" w:rsidRDefault="00000000">
            <w:pPr>
              <w:spacing w:after="0" w:line="259" w:lineRule="auto"/>
              <w:rPr>
                <w:rFonts w:hint="eastAsia"/>
              </w:rPr>
            </w:pPr>
            <w:r>
              <w:rPr>
                <w:sz w:val="19"/>
              </w:rPr>
              <w:t>Fewer unnecessary alerts and greater user trust</w:t>
            </w:r>
          </w:p>
        </w:tc>
      </w:tr>
      <w:tr w:rsidR="00AC0869" w14:paraId="3F39C4D1" w14:textId="77777777">
        <w:trPr>
          <w:cantSplit/>
          <w:jc w:val="center"/>
        </w:trPr>
        <w:tc>
          <w:tcPr>
            <w:tcW w:w="3240" w:type="dxa"/>
            <w:tcMar>
              <w:top w:w="100" w:type="dxa"/>
              <w:left w:w="120" w:type="dxa"/>
              <w:bottom w:w="100" w:type="dxa"/>
              <w:right w:w="120" w:type="dxa"/>
            </w:tcMar>
            <w:vAlign w:val="center"/>
          </w:tcPr>
          <w:p w14:paraId="0A1B7DF2" w14:textId="77777777" w:rsidR="00AC0869" w:rsidRDefault="00000000">
            <w:pPr>
              <w:spacing w:after="0" w:line="259" w:lineRule="auto"/>
              <w:rPr>
                <w:rFonts w:hint="eastAsia"/>
              </w:rPr>
            </w:pPr>
            <w:r>
              <w:rPr>
                <w:sz w:val="19"/>
              </w:rPr>
              <w:t>One-day forecast horizon</w:t>
            </w:r>
          </w:p>
        </w:tc>
        <w:tc>
          <w:tcPr>
            <w:tcW w:w="6552" w:type="dxa"/>
            <w:tcMar>
              <w:top w:w="100" w:type="dxa"/>
              <w:left w:w="120" w:type="dxa"/>
              <w:bottom w:w="100" w:type="dxa"/>
              <w:right w:w="120" w:type="dxa"/>
            </w:tcMar>
            <w:vAlign w:val="center"/>
          </w:tcPr>
          <w:p w14:paraId="5BBB65B5" w14:textId="77777777" w:rsidR="00AC0869" w:rsidRDefault="00000000">
            <w:pPr>
              <w:spacing w:after="0" w:line="259" w:lineRule="auto"/>
              <w:rPr>
                <w:rFonts w:hint="eastAsia"/>
              </w:rPr>
            </w:pPr>
            <w:r>
              <w:rPr>
                <w:sz w:val="19"/>
              </w:rPr>
              <w:t>Enough time to adjust discretionary appliance use</w:t>
            </w:r>
          </w:p>
        </w:tc>
      </w:tr>
      <w:tr w:rsidR="00AC0869" w14:paraId="5D31F789" w14:textId="77777777">
        <w:trPr>
          <w:cantSplit/>
          <w:jc w:val="center"/>
        </w:trPr>
        <w:tc>
          <w:tcPr>
            <w:tcW w:w="3240" w:type="dxa"/>
            <w:shd w:val="clear" w:color="auto" w:fill="EEF4F8"/>
            <w:tcMar>
              <w:top w:w="100" w:type="dxa"/>
              <w:left w:w="120" w:type="dxa"/>
              <w:bottom w:w="100" w:type="dxa"/>
              <w:right w:w="120" w:type="dxa"/>
            </w:tcMar>
            <w:vAlign w:val="center"/>
          </w:tcPr>
          <w:p w14:paraId="26406DA1" w14:textId="77777777" w:rsidR="00AC0869" w:rsidRDefault="00000000">
            <w:pPr>
              <w:spacing w:after="0" w:line="259" w:lineRule="auto"/>
              <w:rPr>
                <w:rFonts w:hint="eastAsia"/>
              </w:rPr>
            </w:pPr>
            <w:r>
              <w:rPr>
                <w:sz w:val="19"/>
              </w:rPr>
              <w:t>Estimated avoided kWh</w:t>
            </w:r>
          </w:p>
        </w:tc>
        <w:tc>
          <w:tcPr>
            <w:tcW w:w="6552" w:type="dxa"/>
            <w:shd w:val="clear" w:color="auto" w:fill="EEF4F8"/>
            <w:tcMar>
              <w:top w:w="100" w:type="dxa"/>
              <w:left w:w="120" w:type="dxa"/>
              <w:bottom w:w="100" w:type="dxa"/>
              <w:right w:w="120" w:type="dxa"/>
            </w:tcMar>
            <w:vAlign w:val="center"/>
          </w:tcPr>
          <w:p w14:paraId="10BA7BF4" w14:textId="77777777" w:rsidR="00AC0869" w:rsidRDefault="00000000">
            <w:pPr>
              <w:spacing w:after="0" w:line="259" w:lineRule="auto"/>
              <w:rPr>
                <w:rFonts w:hint="eastAsia"/>
              </w:rPr>
            </w:pPr>
            <w:r>
              <w:rPr>
                <w:sz w:val="19"/>
              </w:rPr>
              <w:t>Transparent basis for simulated potential bill savings</w:t>
            </w:r>
          </w:p>
        </w:tc>
      </w:tr>
    </w:tbl>
    <w:p w14:paraId="60F22FF0" w14:textId="77777777" w:rsidR="00AC0869" w:rsidRDefault="00AC0869">
      <w:pPr>
        <w:spacing w:after="0"/>
        <w:rPr>
          <w:rFonts w:hint="eastAsia"/>
        </w:rPr>
      </w:pPr>
    </w:p>
    <w:p w14:paraId="4625FCFA" w14:textId="77777777" w:rsidR="00AC0869" w:rsidRDefault="00000000">
      <w:pPr>
        <w:pStyle w:val="Heading1"/>
      </w:pPr>
      <w:r>
        <w:t>10 Scope and Boundaries</w:t>
      </w:r>
    </w:p>
    <w:p w14:paraId="3A66E726" w14:textId="77777777" w:rsidR="00AC0869" w:rsidRDefault="00000000">
      <w:pPr>
        <w:pStyle w:val="Heading2"/>
      </w:pPr>
      <w:r>
        <w:t>10.1 Included</w:t>
      </w:r>
    </w:p>
    <w:p w14:paraId="18BE7EF7" w14:textId="77777777" w:rsidR="00AC0869" w:rsidRDefault="00000000">
      <w:pPr>
        <w:spacing w:after="60"/>
        <w:ind w:left="360" w:hanging="360"/>
        <w:rPr>
          <w:rFonts w:hint="eastAsia"/>
        </w:rPr>
      </w:pPr>
      <w:r>
        <w:t>•  Historical household electricity consumption analysis</w:t>
      </w:r>
    </w:p>
    <w:p w14:paraId="5F197B42" w14:textId="77777777" w:rsidR="00AC0869" w:rsidRDefault="00000000">
      <w:pPr>
        <w:spacing w:after="60"/>
        <w:ind w:left="360" w:hanging="360"/>
        <w:rPr>
          <w:rFonts w:hint="eastAsia"/>
        </w:rPr>
      </w:pPr>
      <w:r>
        <w:t>•  Data cleaning and time-series feature engineering</w:t>
      </w:r>
    </w:p>
    <w:p w14:paraId="6F9A6F49" w14:textId="77777777" w:rsidR="00AC0869" w:rsidRDefault="00000000">
      <w:pPr>
        <w:spacing w:after="60"/>
        <w:ind w:left="360" w:hanging="360"/>
        <w:rPr>
          <w:rFonts w:hint="eastAsia"/>
        </w:rPr>
      </w:pPr>
      <w:r>
        <w:t>•  Next-day energy consumption forecasting</w:t>
      </w:r>
    </w:p>
    <w:p w14:paraId="12AC3B55" w14:textId="77777777" w:rsidR="00AC0869" w:rsidRDefault="00000000">
      <w:pPr>
        <w:spacing w:after="60"/>
        <w:ind w:left="360" w:hanging="360"/>
        <w:rPr>
          <w:rFonts w:hint="eastAsia"/>
        </w:rPr>
      </w:pPr>
      <w:r>
        <w:t>•  Comparison of at least two predictive models</w:t>
      </w:r>
    </w:p>
    <w:p w14:paraId="746CF06F" w14:textId="77777777" w:rsidR="00AC0869" w:rsidRDefault="00000000">
      <w:pPr>
        <w:spacing w:after="60"/>
        <w:ind w:left="360" w:hanging="360"/>
        <w:rPr>
          <w:rFonts w:hint="eastAsia"/>
        </w:rPr>
      </w:pPr>
      <w:r>
        <w:t>•  Hyperparameter tuning and model explainability</w:t>
      </w:r>
    </w:p>
    <w:p w14:paraId="1250DA3F" w14:textId="77777777" w:rsidR="00AC0869" w:rsidRDefault="00000000">
      <w:pPr>
        <w:spacing w:after="60"/>
        <w:ind w:left="360" w:hanging="360"/>
        <w:rPr>
          <w:rFonts w:hint="eastAsia"/>
        </w:rPr>
      </w:pPr>
      <w:r>
        <w:t>•  High-consumption warnings and forecast visualization</w:t>
      </w:r>
    </w:p>
    <w:p w14:paraId="42D1698B" w14:textId="77777777" w:rsidR="00AC0869" w:rsidRDefault="00000000">
      <w:pPr>
        <w:pStyle w:val="Heading2"/>
      </w:pPr>
      <w:r>
        <w:t>10.2 Outside the initial scope</w:t>
      </w:r>
    </w:p>
    <w:p w14:paraId="76CADE59" w14:textId="77777777" w:rsidR="00AC0869" w:rsidRDefault="00000000">
      <w:pPr>
        <w:spacing w:after="60"/>
        <w:ind w:left="360" w:hanging="360"/>
        <w:rPr>
          <w:rFonts w:hint="eastAsia"/>
        </w:rPr>
      </w:pPr>
      <w:r>
        <w:t>•  Direct integration with Meralco smart meters</w:t>
      </w:r>
    </w:p>
    <w:p w14:paraId="5FC0E8E7" w14:textId="77777777" w:rsidR="00AC0869" w:rsidRDefault="00000000">
      <w:pPr>
        <w:spacing w:after="60"/>
        <w:ind w:left="360" w:hanging="360"/>
        <w:rPr>
          <w:rFonts w:hint="eastAsia"/>
        </w:rPr>
      </w:pPr>
      <w:r>
        <w:t>•  Real-time control of household appliances</w:t>
      </w:r>
    </w:p>
    <w:p w14:paraId="06B3C767" w14:textId="77777777" w:rsidR="00AC0869" w:rsidRDefault="00000000">
      <w:pPr>
        <w:spacing w:after="60"/>
        <w:ind w:left="360" w:hanging="360"/>
        <w:rPr>
          <w:rFonts w:hint="eastAsia"/>
        </w:rPr>
      </w:pPr>
      <w:r>
        <w:t>•  Official calculation of a customer's Meralco bill</w:t>
      </w:r>
    </w:p>
    <w:p w14:paraId="39F579F5" w14:textId="77777777" w:rsidR="00AC0869" w:rsidRDefault="00000000">
      <w:pPr>
        <w:spacing w:after="60"/>
        <w:ind w:left="360" w:hanging="360"/>
        <w:rPr>
          <w:rFonts w:hint="eastAsia"/>
        </w:rPr>
      </w:pPr>
      <w:r>
        <w:t>•  Guaranteed reduction in electricity consumption</w:t>
      </w:r>
    </w:p>
    <w:p w14:paraId="1954870B" w14:textId="77777777" w:rsidR="00AC0869" w:rsidRDefault="00000000">
      <w:pPr>
        <w:spacing w:after="60"/>
        <w:ind w:left="360" w:hanging="360"/>
        <w:rPr>
          <w:rFonts w:hint="eastAsia"/>
        </w:rPr>
      </w:pPr>
      <w:r>
        <w:t>•  Deployment across multiple utility providers</w:t>
      </w:r>
    </w:p>
    <w:p w14:paraId="5ACD7F12" w14:textId="77777777" w:rsidR="00AC0869" w:rsidRDefault="00000000">
      <w:pPr>
        <w:spacing w:after="60"/>
        <w:ind w:left="360" w:hanging="360"/>
        <w:rPr>
          <w:rFonts w:hint="eastAsia"/>
        </w:rPr>
      </w:pPr>
      <w:r>
        <w:t>•  Appliance-level recommendations when appliance-level data is unavailable</w:t>
      </w:r>
    </w:p>
    <w:p w14:paraId="1890B9B9" w14:textId="77777777" w:rsidR="00AC0869" w:rsidRDefault="00000000">
      <w:pPr>
        <w:pStyle w:val="Heading1"/>
        <w:pageBreakBefore/>
      </w:pPr>
      <w:r>
        <w:lastRenderedPageBreak/>
        <w:t>11 Step 1 Summary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804"/>
        <w:gridCol w:w="6638"/>
      </w:tblGrid>
      <w:tr w:rsidR="00AC0869" w14:paraId="3A1AAC7B" w14:textId="77777777">
        <w:trPr>
          <w:cantSplit/>
          <w:tblHeader/>
          <w:jc w:val="center"/>
        </w:trPr>
        <w:tc>
          <w:tcPr>
            <w:tcW w:w="2880" w:type="dxa"/>
            <w:shd w:val="clear" w:color="auto" w:fill="17365D"/>
            <w:tcMar>
              <w:top w:w="100" w:type="dxa"/>
              <w:left w:w="120" w:type="dxa"/>
              <w:bottom w:w="100" w:type="dxa"/>
              <w:right w:w="120" w:type="dxa"/>
            </w:tcMar>
            <w:vAlign w:val="center"/>
          </w:tcPr>
          <w:p w14:paraId="03319C11" w14:textId="77777777" w:rsidR="00AC0869" w:rsidRDefault="00000000">
            <w:pPr>
              <w:spacing w:after="0" w:line="259" w:lineRule="auto"/>
              <w:jc w:val="center"/>
              <w:rPr>
                <w:rFonts w:hint="eastAsia"/>
              </w:rPr>
            </w:pPr>
            <w:r>
              <w:rPr>
                <w:b/>
                <w:color w:val="FFFFFF"/>
                <w:sz w:val="19"/>
              </w:rPr>
              <w:t>Requirement</w:t>
            </w:r>
          </w:p>
        </w:tc>
        <w:tc>
          <w:tcPr>
            <w:tcW w:w="6912" w:type="dxa"/>
            <w:shd w:val="clear" w:color="auto" w:fill="17365D"/>
            <w:tcMar>
              <w:top w:w="100" w:type="dxa"/>
              <w:left w:w="120" w:type="dxa"/>
              <w:bottom w:w="100" w:type="dxa"/>
              <w:right w:w="120" w:type="dxa"/>
            </w:tcMar>
            <w:vAlign w:val="center"/>
          </w:tcPr>
          <w:p w14:paraId="213CF1F3" w14:textId="77777777" w:rsidR="00AC0869" w:rsidRDefault="00000000">
            <w:pPr>
              <w:spacing w:after="0" w:line="259" w:lineRule="auto"/>
              <w:jc w:val="center"/>
              <w:rPr>
                <w:rFonts w:hint="eastAsia"/>
              </w:rPr>
            </w:pPr>
            <w:r>
              <w:rPr>
                <w:b/>
                <w:color w:val="FFFFFF"/>
                <w:sz w:val="19"/>
              </w:rPr>
              <w:t>Definition</w:t>
            </w:r>
          </w:p>
        </w:tc>
      </w:tr>
      <w:tr w:rsidR="00AC0869" w14:paraId="21788A78" w14:textId="77777777">
        <w:trPr>
          <w:cantSplit/>
          <w:jc w:val="center"/>
        </w:trPr>
        <w:tc>
          <w:tcPr>
            <w:tcW w:w="2880" w:type="dxa"/>
            <w:tcMar>
              <w:top w:w="100" w:type="dxa"/>
              <w:left w:w="120" w:type="dxa"/>
              <w:bottom w:w="100" w:type="dxa"/>
              <w:right w:w="120" w:type="dxa"/>
            </w:tcMar>
            <w:vAlign w:val="center"/>
          </w:tcPr>
          <w:p w14:paraId="2C57B3D1" w14:textId="77777777" w:rsidR="00AC0869" w:rsidRDefault="00000000">
            <w:pPr>
              <w:spacing w:after="0" w:line="259" w:lineRule="auto"/>
              <w:rPr>
                <w:rFonts w:hint="eastAsia"/>
              </w:rPr>
            </w:pPr>
            <w:r>
              <w:rPr>
                <w:sz w:val="19"/>
              </w:rPr>
              <w:t>Business problem</w:t>
            </w:r>
          </w:p>
        </w:tc>
        <w:tc>
          <w:tcPr>
            <w:tcW w:w="6912" w:type="dxa"/>
            <w:tcMar>
              <w:top w:w="100" w:type="dxa"/>
              <w:left w:w="120" w:type="dxa"/>
              <w:bottom w:w="100" w:type="dxa"/>
              <w:right w:w="120" w:type="dxa"/>
            </w:tcMar>
            <w:vAlign w:val="center"/>
          </w:tcPr>
          <w:p w14:paraId="3B9A1731" w14:textId="77777777" w:rsidR="00AC0869" w:rsidRDefault="00000000">
            <w:pPr>
              <w:spacing w:after="0" w:line="259" w:lineRule="auto"/>
              <w:rPr>
                <w:rFonts w:hint="eastAsia"/>
              </w:rPr>
            </w:pPr>
            <w:r>
              <w:rPr>
                <w:sz w:val="19"/>
              </w:rPr>
              <w:t>Limited visibility into rising household electricity use before the monthly bill</w:t>
            </w:r>
          </w:p>
        </w:tc>
      </w:tr>
      <w:tr w:rsidR="00AC0869" w14:paraId="66EF04EC" w14:textId="77777777">
        <w:trPr>
          <w:cantSplit/>
          <w:jc w:val="center"/>
        </w:trPr>
        <w:tc>
          <w:tcPr>
            <w:tcW w:w="2880" w:type="dxa"/>
            <w:shd w:val="clear" w:color="auto" w:fill="EEF4F8"/>
            <w:tcMar>
              <w:top w:w="100" w:type="dxa"/>
              <w:left w:w="120" w:type="dxa"/>
              <w:bottom w:w="100" w:type="dxa"/>
              <w:right w:w="120" w:type="dxa"/>
            </w:tcMar>
            <w:vAlign w:val="center"/>
          </w:tcPr>
          <w:p w14:paraId="2864E501" w14:textId="77777777" w:rsidR="00AC0869" w:rsidRDefault="00000000">
            <w:pPr>
              <w:spacing w:after="0" w:line="259" w:lineRule="auto"/>
              <w:rPr>
                <w:rFonts w:hint="eastAsia"/>
              </w:rPr>
            </w:pPr>
            <w:r>
              <w:rPr>
                <w:sz w:val="19"/>
              </w:rPr>
              <w:t>Data science problem</w:t>
            </w:r>
          </w:p>
        </w:tc>
        <w:tc>
          <w:tcPr>
            <w:tcW w:w="6912" w:type="dxa"/>
            <w:shd w:val="clear" w:color="auto" w:fill="EEF4F8"/>
            <w:tcMar>
              <w:top w:w="100" w:type="dxa"/>
              <w:left w:w="120" w:type="dxa"/>
              <w:bottom w:w="100" w:type="dxa"/>
              <w:right w:w="120" w:type="dxa"/>
            </w:tcMar>
            <w:vAlign w:val="center"/>
          </w:tcPr>
          <w:p w14:paraId="41B20ECF" w14:textId="77777777" w:rsidR="00AC0869" w:rsidRDefault="00000000">
            <w:pPr>
              <w:spacing w:after="0" w:line="259" w:lineRule="auto"/>
              <w:rPr>
                <w:rFonts w:hint="eastAsia"/>
              </w:rPr>
            </w:pPr>
            <w:r>
              <w:rPr>
                <w:sz w:val="19"/>
              </w:rPr>
              <w:t>Predict future electricity consumption from historical time-series data</w:t>
            </w:r>
          </w:p>
        </w:tc>
      </w:tr>
      <w:tr w:rsidR="00AC0869" w14:paraId="32B83FDC" w14:textId="77777777">
        <w:trPr>
          <w:cantSplit/>
          <w:jc w:val="center"/>
        </w:trPr>
        <w:tc>
          <w:tcPr>
            <w:tcW w:w="2880" w:type="dxa"/>
            <w:tcMar>
              <w:top w:w="100" w:type="dxa"/>
              <w:left w:w="120" w:type="dxa"/>
              <w:bottom w:w="100" w:type="dxa"/>
              <w:right w:w="120" w:type="dxa"/>
            </w:tcMar>
            <w:vAlign w:val="center"/>
          </w:tcPr>
          <w:p w14:paraId="7A9CB6E2" w14:textId="77777777" w:rsidR="00AC0869" w:rsidRDefault="00000000">
            <w:pPr>
              <w:spacing w:after="0" w:line="259" w:lineRule="auto"/>
              <w:rPr>
                <w:rFonts w:hint="eastAsia"/>
              </w:rPr>
            </w:pPr>
            <w:r>
              <w:rPr>
                <w:sz w:val="19"/>
              </w:rPr>
              <w:t>Primary task</w:t>
            </w:r>
          </w:p>
        </w:tc>
        <w:tc>
          <w:tcPr>
            <w:tcW w:w="6912" w:type="dxa"/>
            <w:tcMar>
              <w:top w:w="100" w:type="dxa"/>
              <w:left w:w="120" w:type="dxa"/>
              <w:bottom w:w="100" w:type="dxa"/>
              <w:right w:w="120" w:type="dxa"/>
            </w:tcMar>
            <w:vAlign w:val="center"/>
          </w:tcPr>
          <w:p w14:paraId="6921048B" w14:textId="77777777" w:rsidR="00AC0869" w:rsidRDefault="00000000">
            <w:pPr>
              <w:spacing w:after="0" w:line="259" w:lineRule="auto"/>
              <w:rPr>
                <w:rFonts w:hint="eastAsia"/>
              </w:rPr>
            </w:pPr>
            <w:r>
              <w:rPr>
                <w:sz w:val="19"/>
              </w:rPr>
              <w:t>Time-series regression</w:t>
            </w:r>
          </w:p>
        </w:tc>
      </w:tr>
      <w:tr w:rsidR="00AC0869" w14:paraId="16EE872C" w14:textId="77777777">
        <w:trPr>
          <w:cantSplit/>
          <w:jc w:val="center"/>
        </w:trPr>
        <w:tc>
          <w:tcPr>
            <w:tcW w:w="2880" w:type="dxa"/>
            <w:shd w:val="clear" w:color="auto" w:fill="EEF4F8"/>
            <w:tcMar>
              <w:top w:w="100" w:type="dxa"/>
              <w:left w:w="120" w:type="dxa"/>
              <w:bottom w:w="100" w:type="dxa"/>
              <w:right w:w="120" w:type="dxa"/>
            </w:tcMar>
            <w:vAlign w:val="center"/>
          </w:tcPr>
          <w:p w14:paraId="61769BF5" w14:textId="77777777" w:rsidR="00AC0869" w:rsidRDefault="00000000">
            <w:pPr>
              <w:spacing w:after="0" w:line="259" w:lineRule="auto"/>
              <w:rPr>
                <w:rFonts w:hint="eastAsia"/>
              </w:rPr>
            </w:pPr>
            <w:r>
              <w:rPr>
                <w:sz w:val="19"/>
              </w:rPr>
              <w:t>Target variable</w:t>
            </w:r>
          </w:p>
        </w:tc>
        <w:tc>
          <w:tcPr>
            <w:tcW w:w="6912" w:type="dxa"/>
            <w:shd w:val="clear" w:color="auto" w:fill="EEF4F8"/>
            <w:tcMar>
              <w:top w:w="100" w:type="dxa"/>
              <w:left w:w="120" w:type="dxa"/>
              <w:bottom w:w="100" w:type="dxa"/>
              <w:right w:w="120" w:type="dxa"/>
            </w:tcMar>
            <w:vAlign w:val="center"/>
          </w:tcPr>
          <w:p w14:paraId="1E49F952" w14:textId="77777777" w:rsidR="00AC0869" w:rsidRDefault="00000000">
            <w:pPr>
              <w:spacing w:after="0" w:line="259" w:lineRule="auto"/>
              <w:rPr>
                <w:rFonts w:hint="eastAsia"/>
              </w:rPr>
            </w:pPr>
            <w:r>
              <w:rPr>
                <w:sz w:val="19"/>
              </w:rPr>
              <w:t>Next-day total household electricity consumption in kWh</w:t>
            </w:r>
          </w:p>
        </w:tc>
      </w:tr>
      <w:tr w:rsidR="00AC0869" w14:paraId="0851FF81" w14:textId="77777777">
        <w:trPr>
          <w:cantSplit/>
          <w:jc w:val="center"/>
        </w:trPr>
        <w:tc>
          <w:tcPr>
            <w:tcW w:w="2880" w:type="dxa"/>
            <w:tcMar>
              <w:top w:w="100" w:type="dxa"/>
              <w:left w:w="120" w:type="dxa"/>
              <w:bottom w:w="100" w:type="dxa"/>
              <w:right w:w="120" w:type="dxa"/>
            </w:tcMar>
            <w:vAlign w:val="center"/>
          </w:tcPr>
          <w:p w14:paraId="57C4684B" w14:textId="77777777" w:rsidR="00AC0869" w:rsidRDefault="00000000">
            <w:pPr>
              <w:spacing w:after="0" w:line="259" w:lineRule="auto"/>
              <w:rPr>
                <w:rFonts w:hint="eastAsia"/>
              </w:rPr>
            </w:pPr>
            <w:r>
              <w:rPr>
                <w:sz w:val="19"/>
              </w:rPr>
              <w:t>Primary metric</w:t>
            </w:r>
          </w:p>
        </w:tc>
        <w:tc>
          <w:tcPr>
            <w:tcW w:w="6912" w:type="dxa"/>
            <w:tcMar>
              <w:top w:w="100" w:type="dxa"/>
              <w:left w:w="120" w:type="dxa"/>
              <w:bottom w:w="100" w:type="dxa"/>
              <w:right w:w="120" w:type="dxa"/>
            </w:tcMar>
            <w:vAlign w:val="center"/>
          </w:tcPr>
          <w:p w14:paraId="24E1DFC3" w14:textId="77777777" w:rsidR="00AC0869" w:rsidRDefault="00000000">
            <w:pPr>
              <w:spacing w:after="0" w:line="259" w:lineRule="auto"/>
              <w:rPr>
                <w:rFonts w:hint="eastAsia"/>
              </w:rPr>
            </w:pPr>
            <w:r>
              <w:rPr>
                <w:sz w:val="19"/>
              </w:rPr>
              <w:t>Mean Absolute Error</w:t>
            </w:r>
          </w:p>
        </w:tc>
      </w:tr>
      <w:tr w:rsidR="00AC0869" w14:paraId="56E4DBFB" w14:textId="77777777">
        <w:trPr>
          <w:cantSplit/>
          <w:jc w:val="center"/>
        </w:trPr>
        <w:tc>
          <w:tcPr>
            <w:tcW w:w="2880" w:type="dxa"/>
            <w:shd w:val="clear" w:color="auto" w:fill="EEF4F8"/>
            <w:tcMar>
              <w:top w:w="100" w:type="dxa"/>
              <w:left w:w="120" w:type="dxa"/>
              <w:bottom w:w="100" w:type="dxa"/>
              <w:right w:w="120" w:type="dxa"/>
            </w:tcMar>
            <w:vAlign w:val="center"/>
          </w:tcPr>
          <w:p w14:paraId="4CC3AC2A" w14:textId="77777777" w:rsidR="00AC0869" w:rsidRDefault="00000000">
            <w:pPr>
              <w:spacing w:after="0" w:line="259" w:lineRule="auto"/>
              <w:rPr>
                <w:rFonts w:hint="eastAsia"/>
              </w:rPr>
            </w:pPr>
            <w:r>
              <w:rPr>
                <w:sz w:val="19"/>
              </w:rPr>
              <w:t>Supporting metrics</w:t>
            </w:r>
          </w:p>
        </w:tc>
        <w:tc>
          <w:tcPr>
            <w:tcW w:w="6912" w:type="dxa"/>
            <w:shd w:val="clear" w:color="auto" w:fill="EEF4F8"/>
            <w:tcMar>
              <w:top w:w="100" w:type="dxa"/>
              <w:left w:w="120" w:type="dxa"/>
              <w:bottom w:w="100" w:type="dxa"/>
              <w:right w:w="120" w:type="dxa"/>
            </w:tcMar>
            <w:vAlign w:val="center"/>
          </w:tcPr>
          <w:p w14:paraId="09B098DC" w14:textId="77777777" w:rsidR="00AC0869" w:rsidRDefault="00000000">
            <w:pPr>
              <w:spacing w:after="0" w:line="259" w:lineRule="auto"/>
              <w:rPr>
                <w:rFonts w:hint="eastAsia"/>
              </w:rPr>
            </w:pPr>
            <w:r>
              <w:rPr>
                <w:sz w:val="19"/>
              </w:rPr>
              <w:t>RMSE, MAPE, and R²</w:t>
            </w:r>
          </w:p>
        </w:tc>
      </w:tr>
      <w:tr w:rsidR="00AC0869" w14:paraId="48DC5885" w14:textId="77777777">
        <w:trPr>
          <w:cantSplit/>
          <w:jc w:val="center"/>
        </w:trPr>
        <w:tc>
          <w:tcPr>
            <w:tcW w:w="2880" w:type="dxa"/>
            <w:tcMar>
              <w:top w:w="100" w:type="dxa"/>
              <w:left w:w="120" w:type="dxa"/>
              <w:bottom w:w="100" w:type="dxa"/>
              <w:right w:w="120" w:type="dxa"/>
            </w:tcMar>
            <w:vAlign w:val="center"/>
          </w:tcPr>
          <w:p w14:paraId="24D7FE88" w14:textId="77777777" w:rsidR="00AC0869" w:rsidRDefault="00000000">
            <w:pPr>
              <w:spacing w:after="0" w:line="259" w:lineRule="auto"/>
              <w:rPr>
                <w:rFonts w:hint="eastAsia"/>
              </w:rPr>
            </w:pPr>
            <w:r>
              <w:rPr>
                <w:sz w:val="19"/>
              </w:rPr>
              <w:t>Baseline</w:t>
            </w:r>
          </w:p>
        </w:tc>
        <w:tc>
          <w:tcPr>
            <w:tcW w:w="6912" w:type="dxa"/>
            <w:tcMar>
              <w:top w:w="100" w:type="dxa"/>
              <w:left w:w="120" w:type="dxa"/>
              <w:bottom w:w="100" w:type="dxa"/>
              <w:right w:w="120" w:type="dxa"/>
            </w:tcMar>
            <w:vAlign w:val="center"/>
          </w:tcPr>
          <w:p w14:paraId="0D4C72CA" w14:textId="77777777" w:rsidR="00AC0869" w:rsidRDefault="00000000">
            <w:pPr>
              <w:rPr>
                <w:rFonts w:hint="eastAsia"/>
              </w:rPr>
            </w:pPr>
            <w:r>
              <w:t>Persistence and previous-week seasonal-naive forecasts; seasonal naive was the stronger final benchmark</w:t>
            </w:r>
          </w:p>
        </w:tc>
      </w:tr>
      <w:tr w:rsidR="00AC0869" w14:paraId="73E7CDEA" w14:textId="77777777">
        <w:trPr>
          <w:cantSplit/>
          <w:jc w:val="center"/>
        </w:trPr>
        <w:tc>
          <w:tcPr>
            <w:tcW w:w="2880" w:type="dxa"/>
            <w:shd w:val="clear" w:color="auto" w:fill="EEF4F8"/>
            <w:tcMar>
              <w:top w:w="100" w:type="dxa"/>
              <w:left w:w="120" w:type="dxa"/>
              <w:bottom w:w="100" w:type="dxa"/>
              <w:right w:w="120" w:type="dxa"/>
            </w:tcMar>
            <w:vAlign w:val="center"/>
          </w:tcPr>
          <w:p w14:paraId="483CB571" w14:textId="77777777" w:rsidR="00AC0869" w:rsidRDefault="00000000">
            <w:pPr>
              <w:spacing w:after="0" w:line="259" w:lineRule="auto"/>
              <w:rPr>
                <w:rFonts w:hint="eastAsia"/>
              </w:rPr>
            </w:pPr>
            <w:r>
              <w:rPr>
                <w:sz w:val="19"/>
              </w:rPr>
              <w:t>Technical target</w:t>
            </w:r>
          </w:p>
        </w:tc>
        <w:tc>
          <w:tcPr>
            <w:tcW w:w="6912" w:type="dxa"/>
            <w:shd w:val="clear" w:color="auto" w:fill="EEF4F8"/>
            <w:tcMar>
              <w:top w:w="100" w:type="dxa"/>
              <w:left w:w="120" w:type="dxa"/>
              <w:bottom w:w="100" w:type="dxa"/>
              <w:right w:w="120" w:type="dxa"/>
            </w:tcMar>
            <w:vAlign w:val="center"/>
          </w:tcPr>
          <w:p w14:paraId="5C0982B2" w14:textId="77777777" w:rsidR="00AC0869" w:rsidRDefault="00000000">
            <w:pPr>
              <w:rPr>
                <w:rFonts w:hint="eastAsia"/>
              </w:rPr>
            </w:pPr>
            <w:r>
              <w:t>Target: at least 10% lower MAE than the stronger naive baseline; achieved: approximately 35% lower test MAE</w:t>
            </w:r>
          </w:p>
        </w:tc>
      </w:tr>
      <w:tr w:rsidR="00AC0869" w14:paraId="2CCABA49" w14:textId="77777777">
        <w:trPr>
          <w:cantSplit/>
          <w:jc w:val="center"/>
        </w:trPr>
        <w:tc>
          <w:tcPr>
            <w:tcW w:w="2880" w:type="dxa"/>
            <w:tcMar>
              <w:top w:w="100" w:type="dxa"/>
              <w:left w:w="120" w:type="dxa"/>
              <w:bottom w:w="100" w:type="dxa"/>
              <w:right w:w="120" w:type="dxa"/>
            </w:tcMar>
            <w:vAlign w:val="center"/>
          </w:tcPr>
          <w:p w14:paraId="1ED36F63" w14:textId="77777777" w:rsidR="00AC0869" w:rsidRDefault="00000000">
            <w:pPr>
              <w:spacing w:after="0" w:line="259" w:lineRule="auto"/>
              <w:rPr>
                <w:rFonts w:hint="eastAsia"/>
              </w:rPr>
            </w:pPr>
            <w:r>
              <w:rPr>
                <w:sz w:val="19"/>
              </w:rPr>
              <w:t>High-consumption threshold</w:t>
            </w:r>
          </w:p>
        </w:tc>
        <w:tc>
          <w:tcPr>
            <w:tcW w:w="6912" w:type="dxa"/>
            <w:tcMar>
              <w:top w:w="100" w:type="dxa"/>
              <w:left w:w="120" w:type="dxa"/>
              <w:bottom w:w="100" w:type="dxa"/>
              <w:right w:w="120" w:type="dxa"/>
            </w:tcMar>
            <w:vAlign w:val="center"/>
          </w:tcPr>
          <w:p w14:paraId="3064F9AA" w14:textId="77777777" w:rsidR="00AC0869" w:rsidRDefault="00000000">
            <w:pPr>
              <w:spacing w:after="0" w:line="259" w:lineRule="auto"/>
              <w:rPr>
                <w:rFonts w:hint="eastAsia"/>
              </w:rPr>
            </w:pPr>
            <w:r>
              <w:rPr>
                <w:sz w:val="19"/>
              </w:rPr>
              <w:t>More than 120 percent of the preceding 30-day rolling mean</w:t>
            </w:r>
          </w:p>
        </w:tc>
      </w:tr>
      <w:tr w:rsidR="00AC0869" w14:paraId="2F05D803" w14:textId="77777777">
        <w:trPr>
          <w:cantSplit/>
          <w:jc w:val="center"/>
        </w:trPr>
        <w:tc>
          <w:tcPr>
            <w:tcW w:w="2880" w:type="dxa"/>
            <w:shd w:val="clear" w:color="auto" w:fill="EEF4F8"/>
            <w:tcMar>
              <w:top w:w="100" w:type="dxa"/>
              <w:left w:w="120" w:type="dxa"/>
              <w:bottom w:w="100" w:type="dxa"/>
              <w:right w:w="120" w:type="dxa"/>
            </w:tcMar>
            <w:vAlign w:val="center"/>
          </w:tcPr>
          <w:p w14:paraId="78595FF4" w14:textId="77777777" w:rsidR="00AC0869" w:rsidRDefault="00000000">
            <w:pPr>
              <w:spacing w:after="0" w:line="259" w:lineRule="auto"/>
              <w:rPr>
                <w:rFonts w:hint="eastAsia"/>
              </w:rPr>
            </w:pPr>
            <w:r>
              <w:rPr>
                <w:sz w:val="19"/>
              </w:rPr>
              <w:t>Business outcome</w:t>
            </w:r>
          </w:p>
        </w:tc>
        <w:tc>
          <w:tcPr>
            <w:tcW w:w="6912" w:type="dxa"/>
            <w:shd w:val="clear" w:color="auto" w:fill="EEF4F8"/>
            <w:tcMar>
              <w:top w:w="100" w:type="dxa"/>
              <w:left w:w="120" w:type="dxa"/>
              <w:bottom w:w="100" w:type="dxa"/>
              <w:right w:w="120" w:type="dxa"/>
            </w:tcMar>
            <w:vAlign w:val="center"/>
          </w:tcPr>
          <w:p w14:paraId="17C300E4" w14:textId="77777777" w:rsidR="00AC0869" w:rsidRDefault="00000000">
            <w:pPr>
              <w:rPr>
                <w:rFonts w:hint="eastAsia"/>
              </w:rPr>
            </w:pPr>
            <w:r>
              <w:t>Earlier household consumption visibility; real behavior change and savings require prospective validation</w:t>
            </w:r>
          </w:p>
        </w:tc>
      </w:tr>
      <w:tr w:rsidR="00AC0869" w14:paraId="24373218" w14:textId="77777777">
        <w:trPr>
          <w:cantSplit/>
          <w:jc w:val="center"/>
        </w:trPr>
        <w:tc>
          <w:tcPr>
            <w:tcW w:w="2880" w:type="dxa"/>
            <w:tcMar>
              <w:top w:w="100" w:type="dxa"/>
              <w:left w:w="120" w:type="dxa"/>
              <w:bottom w:w="100" w:type="dxa"/>
              <w:right w:w="120" w:type="dxa"/>
            </w:tcMar>
            <w:vAlign w:val="center"/>
          </w:tcPr>
          <w:p w14:paraId="0E3CB2E0" w14:textId="77777777" w:rsidR="00AC0869" w:rsidRDefault="00000000">
            <w:pPr>
              <w:spacing w:after="0" w:line="259" w:lineRule="auto"/>
              <w:rPr>
                <w:rFonts w:hint="eastAsia"/>
              </w:rPr>
            </w:pPr>
            <w:r>
              <w:rPr>
                <w:sz w:val="19"/>
              </w:rPr>
              <w:t>Primary users</w:t>
            </w:r>
          </w:p>
        </w:tc>
        <w:tc>
          <w:tcPr>
            <w:tcW w:w="6912" w:type="dxa"/>
            <w:tcMar>
              <w:top w:w="100" w:type="dxa"/>
              <w:left w:w="120" w:type="dxa"/>
              <w:bottom w:w="100" w:type="dxa"/>
              <w:right w:w="120" w:type="dxa"/>
            </w:tcMar>
            <w:vAlign w:val="center"/>
          </w:tcPr>
          <w:p w14:paraId="49A6EF4D" w14:textId="77777777" w:rsidR="00AC0869" w:rsidRDefault="00000000">
            <w:pPr>
              <w:spacing w:after="0" w:line="259" w:lineRule="auto"/>
              <w:rPr>
                <w:rFonts w:hint="eastAsia"/>
              </w:rPr>
            </w:pPr>
            <w:r>
              <w:rPr>
                <w:sz w:val="19"/>
              </w:rPr>
              <w:t>Household electricity consumers</w:t>
            </w:r>
          </w:p>
        </w:tc>
      </w:tr>
      <w:tr w:rsidR="00AC0869" w14:paraId="4BBC110A" w14:textId="77777777">
        <w:trPr>
          <w:cantSplit/>
          <w:jc w:val="center"/>
        </w:trPr>
        <w:tc>
          <w:tcPr>
            <w:tcW w:w="2880" w:type="dxa"/>
            <w:shd w:val="clear" w:color="auto" w:fill="EEF4F8"/>
            <w:tcMar>
              <w:top w:w="100" w:type="dxa"/>
              <w:left w:w="120" w:type="dxa"/>
              <w:bottom w:w="100" w:type="dxa"/>
              <w:right w:w="120" w:type="dxa"/>
            </w:tcMar>
            <w:vAlign w:val="center"/>
          </w:tcPr>
          <w:p w14:paraId="74898361" w14:textId="77777777" w:rsidR="00AC0869" w:rsidRDefault="00000000">
            <w:pPr>
              <w:spacing w:after="0" w:line="259" w:lineRule="auto"/>
              <w:rPr>
                <w:rFonts w:hint="eastAsia"/>
              </w:rPr>
            </w:pPr>
            <w:r>
              <w:rPr>
                <w:sz w:val="19"/>
              </w:rPr>
              <w:t>Forecast horizon</w:t>
            </w:r>
          </w:p>
        </w:tc>
        <w:tc>
          <w:tcPr>
            <w:tcW w:w="6912" w:type="dxa"/>
            <w:shd w:val="clear" w:color="auto" w:fill="EEF4F8"/>
            <w:tcMar>
              <w:top w:w="100" w:type="dxa"/>
              <w:left w:w="120" w:type="dxa"/>
              <w:bottom w:w="100" w:type="dxa"/>
              <w:right w:w="120" w:type="dxa"/>
            </w:tcMar>
            <w:vAlign w:val="center"/>
          </w:tcPr>
          <w:p w14:paraId="5A821713" w14:textId="77777777" w:rsidR="00AC0869" w:rsidRDefault="00000000">
            <w:pPr>
              <w:spacing w:after="0" w:line="259" w:lineRule="auto"/>
              <w:rPr>
                <w:rFonts w:hint="eastAsia"/>
              </w:rPr>
            </w:pPr>
            <w:r>
              <w:rPr>
                <w:sz w:val="19"/>
              </w:rPr>
              <w:t>One day ahead</w:t>
            </w:r>
          </w:p>
        </w:tc>
      </w:tr>
    </w:tbl>
    <w:p w14:paraId="08E67E02" w14:textId="77777777" w:rsidR="00AC0869" w:rsidRDefault="00AC0869">
      <w:pPr>
        <w:spacing w:after="0"/>
        <w:rPr>
          <w:rFonts w:hint="eastAsia"/>
        </w:rPr>
      </w:pPr>
    </w:p>
    <w:p w14:paraId="0D7CD03F" w14:textId="77777777" w:rsidR="00AC0869" w:rsidRDefault="00000000">
      <w:pPr>
        <w:rPr>
          <w:rFonts w:hint="eastAsia"/>
        </w:rPr>
      </w:pPr>
      <w:r>
        <w:br w:type="page"/>
      </w:r>
    </w:p>
    <w:p w14:paraId="084DB93D" w14:textId="77777777" w:rsidR="00AC0869" w:rsidRDefault="00000000">
      <w:pPr>
        <w:pStyle w:val="Heading1"/>
      </w:pPr>
      <w:r>
        <w:lastRenderedPageBreak/>
        <w:t>References</w:t>
      </w:r>
    </w:p>
    <w:p w14:paraId="28C7FD0D" w14:textId="77777777" w:rsidR="00AC0869" w:rsidRDefault="00000000">
      <w:pPr>
        <w:spacing w:after="100"/>
        <w:ind w:left="288" w:hanging="288"/>
        <w:rPr>
          <w:rFonts w:hint="eastAsia"/>
        </w:rPr>
      </w:pPr>
      <w:r>
        <w:rPr>
          <w:sz w:val="18"/>
        </w:rPr>
        <w:t>[1] Philippine Statistics Authority. (2025, May 27). Percentage of Households Using Electricity Increased. https://psa.gov.ph/content/percentage-households-using-electricity-increased</w:t>
      </w:r>
    </w:p>
    <w:p w14:paraId="1B43B5CA" w14:textId="77777777" w:rsidR="00AC0869" w:rsidRDefault="00000000">
      <w:pPr>
        <w:spacing w:after="100"/>
        <w:ind w:left="288" w:hanging="288"/>
        <w:rPr>
          <w:rFonts w:hint="eastAsia"/>
        </w:rPr>
      </w:pPr>
      <w:r>
        <w:rPr>
          <w:sz w:val="18"/>
        </w:rPr>
        <w:t>[2] Philippine Statistics Authority. (2026, August 26). National Capital Region Recorded the Highest Average Annual Family Income in 2025 (Preliminary), Family Income and Expenditure Survey. https://psa.gov.ph/statistics/income-expenditure/fies</w:t>
      </w:r>
    </w:p>
    <w:p w14:paraId="0FA1C69A" w14:textId="77777777" w:rsidR="00AC0869" w:rsidRDefault="00000000">
      <w:pPr>
        <w:spacing w:after="100"/>
        <w:ind w:left="288" w:hanging="288"/>
        <w:rPr>
          <w:rFonts w:hint="eastAsia"/>
        </w:rPr>
      </w:pPr>
      <w:r>
        <w:rPr>
          <w:sz w:val="18"/>
        </w:rPr>
        <w:t>[3] Manila Electric Company. (2024). Annual Report 2024: About the Company. https://www.meralco.com.ph/2024-annual-report/about-the-company</w:t>
      </w:r>
    </w:p>
    <w:p w14:paraId="4C4CA89C" w14:textId="77777777" w:rsidR="00AC0869" w:rsidRDefault="00000000">
      <w:pPr>
        <w:spacing w:after="100"/>
        <w:ind w:left="288" w:hanging="288"/>
        <w:rPr>
          <w:rFonts w:hint="eastAsia"/>
        </w:rPr>
      </w:pPr>
      <w:r>
        <w:rPr>
          <w:sz w:val="18"/>
        </w:rPr>
        <w:t>[4] Manila Electric Company. (n.d.). About Your Meter. https://www.meralco.com.ph/residential/billing-payment/understanding-your-bill/about-your-meter</w:t>
      </w:r>
    </w:p>
    <w:p w14:paraId="33ED3806" w14:textId="77777777" w:rsidR="00AC0869" w:rsidRDefault="00000000">
      <w:pPr>
        <w:spacing w:after="100"/>
        <w:ind w:left="288" w:hanging="288"/>
        <w:rPr>
          <w:rFonts w:hint="eastAsia"/>
        </w:rPr>
      </w:pPr>
      <w:r>
        <w:rPr>
          <w:sz w:val="18"/>
        </w:rPr>
        <w:t>[5] Manila Electric Company. (n.d.). Manage Your Monthly Consumption. https://www.meralco.com.ph/residential/bright-ideas/bright-ideas/manage-your-monthly-consumption</w:t>
      </w:r>
    </w:p>
    <w:p w14:paraId="2E8AFF5E" w14:textId="77777777" w:rsidR="00AC0869" w:rsidRDefault="00000000">
      <w:pPr>
        <w:spacing w:after="100"/>
        <w:ind w:left="288" w:hanging="288"/>
        <w:rPr>
          <w:rFonts w:hint="eastAsia"/>
        </w:rPr>
      </w:pPr>
      <w:r>
        <w:rPr>
          <w:sz w:val="18"/>
        </w:rPr>
        <w:t>[6] Philippine News Agency. (2026, July 14). Another Senate Reso Seeks Probe into Bill Shock, Power Rate Hikes. https://www.pna.gov.ph/articles/1279376</w:t>
      </w:r>
    </w:p>
    <w:p w14:paraId="2573940A" w14:textId="77777777" w:rsidR="00AC0869" w:rsidRDefault="00000000">
      <w:pPr>
        <w:spacing w:after="100"/>
        <w:ind w:left="288" w:hanging="288"/>
        <w:rPr>
          <w:rFonts w:hint="eastAsia"/>
        </w:rPr>
      </w:pPr>
      <w:r>
        <w:rPr>
          <w:sz w:val="18"/>
        </w:rPr>
        <w:t>[7] Philippine News Agency. (2026, July 10). Higher Fuel Prices Push Meralco Rates Up in July. https://www.pna.gov.ph/articles/1279195</w:t>
      </w:r>
    </w:p>
    <w:p w14:paraId="5E0303C5" w14:textId="77777777" w:rsidR="00AC0869" w:rsidRDefault="00000000">
      <w:pPr>
        <w:spacing w:after="100"/>
        <w:ind w:left="288" w:hanging="288"/>
        <w:rPr>
          <w:rFonts w:hint="eastAsia"/>
        </w:rPr>
      </w:pPr>
      <w:r>
        <w:rPr>
          <w:sz w:val="18"/>
        </w:rPr>
        <w:t>[8] Energy Regulatory Commission. (2026, May 8). ERC Suspends Collection of GEA-All to Help Ease Power Costs. https://erc.gov.ph/Press-Singular/84924</w:t>
      </w:r>
    </w:p>
    <w:p w14:paraId="34B488FD" w14:textId="77777777" w:rsidR="00AC0869" w:rsidRDefault="00000000">
      <w:pPr>
        <w:spacing w:after="100"/>
        <w:ind w:left="288" w:hanging="288"/>
        <w:rPr>
          <w:rFonts w:hint="eastAsia"/>
        </w:rPr>
      </w:pPr>
      <w:r>
        <w:rPr>
          <w:sz w:val="18"/>
        </w:rPr>
        <w:t>[9] Energy Regulatory Commission. (2026, June 29). ERC Extends Suspension of GEA-All Collection for July to August 2026. https://www.erc.gov.ph/Press-Singular/85065</w:t>
      </w:r>
    </w:p>
    <w:p w14:paraId="0CF82562" w14:textId="77777777" w:rsidR="00AC0869" w:rsidRDefault="00000000">
      <w:pPr>
        <w:spacing w:after="100"/>
        <w:ind w:left="288" w:hanging="288"/>
        <w:rPr>
          <w:rFonts w:hint="eastAsia"/>
        </w:rPr>
      </w:pPr>
      <w:r>
        <w:rPr>
          <w:sz w:val="18"/>
        </w:rPr>
        <w:t>[10] Manila Electric Company. (2026). Bill Breakdown FAQs. https://www.meralco.com.ph/residential/billing-payment/understanding-your-bill/bill-breakdown-faqs</w:t>
      </w:r>
    </w:p>
    <w:sectPr w:rsidR="00AC0869" w:rsidSect="003E26FA">
      <w:footerReference w:type="default" r:id="rId8"/>
      <w:pgSz w:w="11906" w:h="16838" w:code="9"/>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FA2BF" w14:textId="77777777" w:rsidR="00925D7B" w:rsidRDefault="00925D7B">
      <w:pPr>
        <w:spacing w:after="0" w:line="240" w:lineRule="auto"/>
        <w:rPr>
          <w:rFonts w:hint="eastAsia"/>
        </w:rPr>
      </w:pPr>
      <w:r>
        <w:separator/>
      </w:r>
    </w:p>
  </w:endnote>
  <w:endnote w:type="continuationSeparator" w:id="0">
    <w:p w14:paraId="52494D7E" w14:textId="77777777" w:rsidR="00925D7B" w:rsidRDefault="00925D7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ADEC4" w14:textId="77777777" w:rsidR="00AC0869" w:rsidRDefault="00000000">
    <w:pPr>
      <w:pStyle w:val="Footer"/>
      <w:jc w:val="center"/>
      <w:rPr>
        <w:rFonts w:hint="eastAsia"/>
      </w:rPr>
    </w:pPr>
    <w:r>
      <w:rPr>
        <w:sz w:val="18"/>
      </w:rPr>
      <w:t xml:space="preserve">Page </w:t>
    </w:r>
    <w:r>
      <w:rPr>
        <w:sz w:val="18"/>
      </w:rPr>
      <w:fldChar w:fldCharType="begin"/>
    </w:r>
    <w:r>
      <w:rPr>
        <w:sz w:val="18"/>
      </w:rPr>
      <w:instrText xml:space="preserve"> PAGE </w:instrText>
    </w:r>
    <w:r w:rsidR="003E26FA">
      <w:rPr>
        <w:sz w:val="18"/>
      </w:rPr>
      <w:fldChar w:fldCharType="separate"/>
    </w:r>
    <w:r w:rsidR="003E26FA">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9A343" w14:textId="77777777" w:rsidR="00925D7B" w:rsidRDefault="00925D7B">
      <w:pPr>
        <w:spacing w:after="0" w:line="240" w:lineRule="auto"/>
        <w:rPr>
          <w:rFonts w:hint="eastAsia"/>
        </w:rPr>
      </w:pPr>
      <w:r>
        <w:separator/>
      </w:r>
    </w:p>
  </w:footnote>
  <w:footnote w:type="continuationSeparator" w:id="0">
    <w:p w14:paraId="7508A8BA" w14:textId="77777777" w:rsidR="00925D7B" w:rsidRDefault="00925D7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4448191">
    <w:abstractNumId w:val="8"/>
  </w:num>
  <w:num w:numId="2" w16cid:durableId="1195651065">
    <w:abstractNumId w:val="6"/>
  </w:num>
  <w:num w:numId="3" w16cid:durableId="1195461201">
    <w:abstractNumId w:val="5"/>
  </w:num>
  <w:num w:numId="4" w16cid:durableId="1831746327">
    <w:abstractNumId w:val="4"/>
  </w:num>
  <w:num w:numId="5" w16cid:durableId="10110696">
    <w:abstractNumId w:val="7"/>
  </w:num>
  <w:num w:numId="6" w16cid:durableId="1172642427">
    <w:abstractNumId w:val="3"/>
  </w:num>
  <w:num w:numId="7" w16cid:durableId="502017062">
    <w:abstractNumId w:val="2"/>
  </w:num>
  <w:num w:numId="8" w16cid:durableId="787816285">
    <w:abstractNumId w:val="1"/>
  </w:num>
  <w:num w:numId="9" w16cid:durableId="1966958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E26FA"/>
    <w:rsid w:val="00925D7B"/>
    <w:rsid w:val="00AA1D8D"/>
    <w:rsid w:val="00AC0869"/>
    <w:rsid w:val="00B47730"/>
    <w:rsid w:val="00BD64C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3C98EF"/>
  <w14:defaultImageDpi w14:val="300"/>
  <w15:docId w15:val="{7217A0C9-E9D0-4F73-A802-CD74D1D53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000000"/>
      <w:sz w:val="20"/>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2862</Words>
  <Characters>16318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Powered Household Energy Consumption Prediction and Monitoring System Step 1</dc:title>
  <dc:subject>Problem Understanding and Framing</dc:subject>
  <dc:creator>Edixon D. Yu Jr.</dc:creator>
  <cp:keywords/>
  <dc:description>generated by python-docx</dc:description>
  <cp:lastModifiedBy>Edixon Jr. Yu</cp:lastModifiedBy>
  <cp:revision>2</cp:revision>
  <cp:lastPrinted>2026-09-15T15:42:00Z</cp:lastPrinted>
  <dcterms:created xsi:type="dcterms:W3CDTF">2026-09-15T15:44:00Z</dcterms:created>
  <dcterms:modified xsi:type="dcterms:W3CDTF">2026-09-15T15:44:00Z</dcterms:modified>
  <cp:category/>
</cp:coreProperties>
</file>