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RX3-03-ZYLJ-DG-RT-0012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2025年6月2日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FRD1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8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03C003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Φ323.9×6.3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2025年6月2日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2025年6月2日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2025年6月2日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2025年6月2日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