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RX3-03-ZYLJ-DG-RT-0024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2025年6月11日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CWS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20G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Φ1626×16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Q235B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2025年6月11日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2025年6月11日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2025年6月11日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2025年6月11日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