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t>工程名称：111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t>单元名称：给排水工程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333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RX3-03-ZYLJ-DG-RT-0003K1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222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2025年5月20日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RT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>
            <w:pPr>
              <w:jc w:val="center"/>
            </w:pPr>
            <w:r>
              <w:t>444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>
            <w:pPr>
              <w:jc w:val="center"/>
            </w:pPr>
            <w:r>
              <w:t>Ⅲ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125K1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300*80/2张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FW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154K1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20#</w:t>
            </w: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t>Φ508×9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300*80/2张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0</w:t>
            </w: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t>以下空白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>
            <w:r>
              <w:t>说明： 共检测2道，合格2道，不合格0道，共计4张。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2025年5月20日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2025年5月20日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2025年5月20日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 xml:space="preserve">    2025年5月20日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