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PT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RX3-03-ZYLJ-DG-PT-0006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RX3-03-ZYLJ-DG-PT-0006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21T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03C003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检测人（级别）：（PT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5月 28日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审核（级别）：（PT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 5月  28日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