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building-and-environment"/>
    <w:p>
      <w:pPr>
        <w:pStyle w:val="Heading1"/>
      </w:pPr>
      <w:r>
        <w:t xml:space="preserve">Cover Letter — Building and Environment</w:t>
      </w:r>
    </w:p>
    <w:p>
      <w:pPr>
        <w:pStyle w:val="FirstParagraph"/>
      </w:pPr>
      <w:r>
        <w:t xml:space="preserve">Dear Editor,</w:t>
      </w:r>
    </w:p>
    <w:p>
      <w:pPr>
        <w:pStyle w:val="BodyText"/>
      </w:pPr>
      <w:r>
        <w:t xml:space="preserve">I submit the manuscript</w:t>
      </w:r>
      <w:r>
        <w:t xml:space="preserve"> </w:t>
      </w:r>
      <w:r>
        <w:t xml:space="preserve">“Automated Indoor CFD Analysis from a Single 2D Image via Vision-Language Model Abstraction”</w:t>
      </w:r>
      <w:r>
        <w:t xml:space="preserve"> </w:t>
      </w:r>
      <w:r>
        <w:t xml:space="preserve">for consideration in Building and Environment.</w:t>
      </w:r>
    </w:p>
    <w:p>
      <w:pPr>
        <w:pStyle w:val="BodyText"/>
      </w:pPr>
      <w:r>
        <w:t xml:space="preserve">Indoor airflow simulation by CFD is a standard diagnostic tool in building science, but its use in routine energy audits and post-occupancy assessments is rare because constructing a 3D geometric model from site drawings or photographs takes hours of CAD work. This manuscript shows that a vision-language model (VLM) can extract a structured 3D scene description from a single 2D image with enough accuracy to produce a physically meaningful CFD solution. No prior study has evaluated VLM spatial perception against downstream CFD accuracy, and no controlled benchmark has existed for this purpose.</w:t>
      </w:r>
    </w:p>
    <w:p>
      <w:pPr>
        <w:pStyle w:val="BodyText"/>
      </w:pPr>
      <w:r>
        <w:t xml:space="preserve">The study provides a 100-case benchmark (20 geometries at four complexity levels, each rendered in five view types) with independently computed reference CFD solutions free of VLM data leakage. Two complementary metrics quantify geometric fidelity and flow-field accuracy separately, and three systematic failure modes are identified that define where the approach works and where it breaks down. The solver is independently validated against the Nielsen et al. (1978) ventilated room experiment using laser Doppler anemometry data. The pipeline, benchmark, and evaluation code are publicly available.</w:t>
      </w:r>
    </w:p>
    <w:p>
      <w:pPr>
        <w:pStyle w:val="BodyText"/>
      </w:pPr>
      <w:r>
        <w:t xml:space="preserve">Building and Environment publishes work on indoor air quality simulation, CFD-based ventilation analysis, and computational tools for the built environment. This manuscript introduces a computational approach that could make CFD screening accessible to practitioners without CAD expertise, and should interest readers working on AI-assisted building performance analysis.</w:t>
      </w:r>
    </w:p>
    <w:p>
      <w:pPr>
        <w:pStyle w:val="BodyText"/>
      </w:pPr>
      <w:r>
        <w:t xml:space="preserve">This manuscript has not been published previously and is not under consideration elsewhere. I declare no competing interests.</w:t>
      </w:r>
    </w:p>
    <w:p>
      <w:pPr>
        <w:pStyle w:val="BodyText"/>
      </w:pPr>
      <w:r>
        <w:t xml:space="preserve">Sincerely,</w:t>
      </w:r>
    </w:p>
    <w:p>
      <w:pPr>
        <w:pStyle w:val="BodyText"/>
      </w:pPr>
      <w:r>
        <w:t xml:space="preserve">Younghwan Joo</w:t>
      </w:r>
      <w:r>
        <w:t xml:space="preserve"> </w:t>
      </w:r>
      <w:r>
        <w:t xml:space="preserve">Energy Efficiency Research Division</w:t>
      </w:r>
      <w:r>
        <w:t xml:space="preserve"> </w:t>
      </w:r>
      <w:r>
        <w:t xml:space="preserve">Korea Institute of Energy Research</w:t>
      </w:r>
      <w:r>
        <w:t xml:space="preserve"> </w:t>
      </w:r>
      <w:r>
        <w:t xml:space="preserve">152 Gajeong-ro, Yuseong-gu, Daejeon 34129, Republic of Korea</w:t>
      </w:r>
      <w:r>
        <w:t xml:space="preserve"> </w:t>
      </w:r>
      <w:r>
        <w:t xml:space="preserve">Email: yhjoo@kier.re.kr</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2026-03-26T01:42:41Z</dcterms:created>
  <dcterms:modified xsi:type="dcterms:W3CDTF">2026-03-26T01:42:41Z</dcterms:modified>
</cp:coreProperties>
</file>

<file path=docProps/custom.xml><?xml version="1.0" encoding="utf-8"?>
<Properties xmlns="http://schemas.openxmlformats.org/officeDocument/2006/custom-properties" xmlns:vt="http://schemas.openxmlformats.org/officeDocument/2006/docPropsVTypes"/>
</file>