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numPr>
          <w:ilvl w:val="0"/>
          <w:numId w:val="0"/>
        </w:numPr>
        <w:spacing w:after="40"/>
      </w:pPr>
    </w:p>
    <w:p>
      <w:pPr>
        <w:numPr>
          <w:ilvl w:val="0"/>
          <w:numId w:val="0"/>
        </w:numPr>
        <w:spacing w:before="0" w:after="80" w:line="264" w:lineRule="auto"/>
        <w:jc w:val="center"/>
      </w:pPr>
      <w:r>
        <w:rPr>
          <w:rFonts w:ascii="Batang" w:hAnsi="Batang" w:cs="Batang" w:eastAsia="Batang"/>
          <w:b/>
          <w:i w:val="0"/>
          <w:sz w:val="30"/>
        </w:rPr>
        <w:t>비전-언어 모델 추상화를 이용한 단일 2D 이미지 기반 실내 전산유체역학 자동 해석</w:t>
      </w:r>
    </w:p>
    <w:p>
      <w:pPr>
        <w:numPr>
          <w:ilvl w:val="0"/>
          <w:numId w:val="0"/>
        </w:numPr>
        <w:spacing w:before="40" w:after="20" w:line="264" w:lineRule="auto"/>
        <w:jc w:val="center"/>
      </w:pPr>
      <w:r>
        <w:rPr>
          <w:rFonts w:ascii="Batang" w:hAnsi="Batang" w:cs="Batang" w:eastAsia="Batang"/>
          <w:b w:val="0"/>
          <w:sz w:val="23"/>
        </w:rPr>
        <w:t>주영환</w:t>
      </w:r>
      <w:r>
        <w:rPr>
          <w:rFonts w:ascii="Batang" w:hAnsi="Batang" w:cs="Batang" w:eastAsia="Batang"/>
          <w:b w:val="0"/>
          <w:sz w:val="23"/>
          <w:vertAlign w:val="superscript"/>
        </w:rPr>
        <w:t>1,2,*</w:t>
      </w:r>
    </w:p>
    <w:p>
      <w:pPr>
        <w:numPr>
          <w:ilvl w:val="0"/>
          <w:numId w:val="0"/>
        </w:numPr>
        <w:spacing w:before="0" w:after="80" w:line="264" w:lineRule="auto"/>
        <w:jc w:val="center"/>
      </w:pPr>
      <w:r>
        <w:rPr>
          <w:rFonts w:ascii="Batang" w:hAnsi="Batang" w:cs="Batang" w:eastAsia="Batang"/>
          <w:b w:val="0"/>
          <w:sz w:val="18"/>
          <w:vertAlign w:val="superscript"/>
        </w:rPr>
        <w:t>1</w:t>
      </w:r>
      <w:r>
        <w:rPr>
          <w:rFonts w:ascii="Batang" w:hAnsi="Batang" w:cs="Batang" w:eastAsia="Batang"/>
          <w:b w:val="0"/>
          <w:sz w:val="18"/>
        </w:rPr>
        <w:t xml:space="preserve">한국에너지기술연구원 에너지효율연구본부, </w:t>
      </w:r>
      <w:r>
        <w:rPr>
          <w:rFonts w:ascii="Batang" w:hAnsi="Batang" w:cs="Batang" w:eastAsia="Batang"/>
          <w:b w:val="0"/>
          <w:sz w:val="18"/>
          <w:vertAlign w:val="superscript"/>
        </w:rPr>
        <w:t>2</w:t>
      </w:r>
      <w:r>
        <w:rPr>
          <w:rFonts w:ascii="Batang" w:hAnsi="Batang" w:cs="Batang" w:eastAsia="Batang"/>
          <w:b w:val="0"/>
          <w:sz w:val="18"/>
        </w:rPr>
        <w:t>과학기술연합대학원대학교 에너지공학</w:t>
      </w:r>
    </w:p>
    <w:p>
      <w:pPr>
        <w:numPr>
          <w:ilvl w:val="0"/>
          <w:numId w:val="0"/>
        </w:numPr>
        <w:spacing w:before="0" w:after="80" w:line="264" w:lineRule="auto"/>
        <w:jc w:val="center"/>
      </w:pPr>
      <w:r>
        <w:rPr>
          <w:rFonts w:ascii="Times New Roman" w:hAnsi="Times New Roman" w:cs="Times New Roman" w:eastAsia="Batang"/>
          <w:b/>
          <w:i w:val="0"/>
          <w:sz w:val="26"/>
        </w:rPr>
        <w:t>Automated Indoor Computational Fluid Dynamics Analysis from a Single 2D Image via Vision-Language Model Abstraction</w:t>
      </w:r>
    </w:p>
    <w:p>
      <w:pPr>
        <w:numPr>
          <w:ilvl w:val="0"/>
          <w:numId w:val="0"/>
        </w:numPr>
        <w:spacing w:before="40" w:after="20" w:line="264" w:lineRule="auto"/>
        <w:jc w:val="center"/>
      </w:pPr>
      <w:r>
        <w:rPr>
          <w:rFonts w:ascii="Times New Roman" w:hAnsi="Times New Roman" w:cs="Times New Roman" w:eastAsia="Batang"/>
          <w:b w:val="0"/>
          <w:sz w:val="22"/>
        </w:rPr>
        <w:t>Younghwan Joo</w:t>
      </w:r>
      <w:r>
        <w:rPr>
          <w:rFonts w:ascii="Times New Roman" w:hAnsi="Times New Roman" w:cs="Times New Roman" w:eastAsia="Batang"/>
          <w:b w:val="0"/>
          <w:sz w:val="22"/>
          <w:vertAlign w:val="superscript"/>
        </w:rPr>
        <w:t>1,2,*</w:t>
      </w:r>
    </w:p>
    <w:p>
      <w:pPr>
        <w:numPr>
          <w:ilvl w:val="0"/>
          <w:numId w:val="0"/>
        </w:numPr>
        <w:spacing w:before="0" w:after="20" w:line="264" w:lineRule="auto"/>
        <w:jc w:val="center"/>
      </w:pPr>
      <w:r>
        <w:rPr>
          <w:rFonts w:ascii="Times New Roman" w:hAnsi="Times New Roman" w:cs="Times New Roman" w:eastAsia="Batang"/>
          <w:b w:val="0"/>
          <w:sz w:val="18"/>
          <w:vertAlign w:val="superscript"/>
        </w:rPr>
        <w:t>1</w:t>
      </w:r>
      <w:r>
        <w:rPr>
          <w:rFonts w:ascii="Times New Roman" w:hAnsi="Times New Roman" w:cs="Times New Roman" w:eastAsia="Batang"/>
          <w:b w:val="0"/>
          <w:sz w:val="18"/>
        </w:rPr>
        <w:t xml:space="preserve">Energy Efficiency Research Division, Korea Institute of Energy Research, </w:t>
      </w:r>
      <w:r>
        <w:rPr>
          <w:rFonts w:ascii="Times New Roman" w:hAnsi="Times New Roman" w:cs="Times New Roman" w:eastAsia="Batang"/>
          <w:b w:val="0"/>
          <w:sz w:val="18"/>
          <w:vertAlign w:val="superscript"/>
        </w:rPr>
        <w:t>2</w:t>
      </w:r>
      <w:r>
        <w:rPr>
          <w:rFonts w:ascii="Times New Roman" w:hAnsi="Times New Roman" w:cs="Times New Roman" w:eastAsia="Batang"/>
          <w:b w:val="0"/>
          <w:sz w:val="18"/>
        </w:rPr>
        <w:t>Energy Engineering, University of Science and Technology</w:t>
      </w:r>
    </w:p>
    <w:p>
      <w:pPr>
        <w:numPr>
          <w:ilvl w:val="0"/>
          <w:numId w:val="0"/>
        </w:numPr>
        <w:spacing w:before="20" w:after="40" w:line="264" w:lineRule="auto"/>
        <w:jc w:val="center"/>
      </w:pPr>
      <w:r>
        <w:rPr>
          <w:rFonts w:ascii="Times New Roman" w:hAnsi="Times New Roman" w:cs="Times New Roman" w:eastAsia="Batang"/>
          <w:b/>
          <w:color w:val="DE6B1E"/>
          <w:sz w:val="18"/>
        </w:rPr>
        <w:t>*Corresponding author, E-mail: yhjoo@kier.re.kr</w:t>
      </w:r>
    </w:p>
    <w:p>
      <w:pPr>
        <w:numPr>
          <w:ilvl w:val="0"/>
          <w:numId w:val="0"/>
        </w:numPr>
        <w:spacing w:after="40"/>
      </w:pPr>
    </w:p>
    <w:tbl>
      <w:tblPr>
        <w:tblW w:type="auto" w:w="0"/>
        <w:jc w:val="center"/>
        <w:tblLayout w:type="fixed"/>
        <w:tblLook w:firstColumn="1" w:firstRow="1" w:lastColumn="0" w:lastRow="0" w:noHBand="0" w:noVBand="1" w:val="04A0"/>
        <w:tblW w:w="5997727" w:type="dxa"/>
      </w:tblPr>
      <w:tblGrid>
        <w:gridCol w:w="4819"/>
        <w:gridCol w:w="4819"/>
      </w:tblGrid>
      <w:tr>
        <w:tc>
          <w:tcPr>
            <w:tcW w:type="dxa" w:w="3277"/>
            <w:tcBorders>
              <w:top w:val="single" w:sz="8" w:space="0" w:color="000000"/>
              <w:bottom w:val="single" w:sz="6" w:space="0" w:color="000000"/>
              <w:left w:val="nil" w:sz="0" w:space="0" w:color="000000"/>
              <w:right w:val="nil" w:sz="0" w:space="0" w:color="000000"/>
            </w:tcBorders>
            <w:tcMar>
              <w:top w:w="60" w:type="dxa"/>
              <w:bottom w:w="60" w:type="dxa"/>
              <w:left w:w="120" w:type="dxa"/>
              <w:right w:w="120" w:type="dxa"/>
            </w:tcMar>
          </w:tcPr>
          <w:p>
            <w:pPr>
              <w:jc w:val="center"/>
            </w:pPr>
            <w:r/>
            <w:r>
              <w:rPr>
                <w:rFonts w:ascii="Times New Roman" w:hAnsi="Times New Roman" w:cs="Times New Roman" w:eastAsia="Batang"/>
                <w:b w:val="0"/>
                <w:sz w:val="18"/>
              </w:rPr>
              <w:t>A R T I C L E   I N F O</w:t>
            </w:r>
          </w:p>
        </w:tc>
        <w:tc>
          <w:tcPr>
            <w:tcW w:type="dxa" w:w="6168"/>
            <w:tcBorders>
              <w:top w:val="single" w:sz="8" w:space="0" w:color="000000"/>
              <w:bottom w:val="single" w:sz="6" w:space="0" w:color="000000"/>
              <w:left w:val="nil" w:sz="0" w:space="0" w:color="000000"/>
              <w:right w:val="nil" w:sz="0" w:space="0" w:color="000000"/>
            </w:tcBorders>
            <w:tcMar>
              <w:top w:w="60" w:type="dxa"/>
              <w:bottom w:w="60" w:type="dxa"/>
              <w:left w:w="120" w:type="dxa"/>
              <w:right w:w="120" w:type="dxa"/>
            </w:tcMar>
          </w:tcPr>
          <w:p>
            <w:pPr>
              <w:jc w:val="center"/>
            </w:pPr>
            <w:r/>
            <w:r>
              <w:rPr>
                <w:rFonts w:ascii="Times New Roman" w:hAnsi="Times New Roman" w:cs="Times New Roman" w:eastAsia="Batang"/>
                <w:b w:val="0"/>
                <w:sz w:val="18"/>
              </w:rPr>
              <w:t>A B S T R A C T</w:t>
            </w:r>
          </w:p>
        </w:tc>
      </w:tr>
      <w:tr>
        <w:tc>
          <w:tcPr>
            <w:tcW w:type="dxa" w:w="3277"/>
            <w:tcBorders>
              <w:top w:val="nil" w:sz="0" w:space="0" w:color="000000"/>
              <w:bottom w:val="single" w:sz="8" w:space="0" w:color="000000"/>
              <w:left w:val="nil" w:sz="0" w:space="0" w:color="000000"/>
              <w:right w:val="nil" w:sz="0" w:space="0" w:color="000000"/>
            </w:tcBorders>
            <w:tcMar>
              <w:top w:w="60" w:type="dxa"/>
              <w:bottom w:w="60" w:type="dxa"/>
              <w:left w:w="120" w:type="dxa"/>
              <w:right w:w="120" w:type="dxa"/>
            </w:tcMar>
          </w:tcPr>
          <w:p>
            <w:pPr>
              <w:spacing w:after="60"/>
            </w:pPr>
            <w:r/>
            <w:r>
              <w:rPr>
                <w:rFonts w:ascii="Times New Roman" w:hAnsi="Times New Roman" w:cs="Times New Roman" w:eastAsia="Batang"/>
                <w:i/>
                <w:sz w:val="18"/>
              </w:rPr>
              <w:t>Key Words:</w:t>
            </w:r>
          </w:p>
          <w:p>
            <w:pPr>
              <w:spacing w:after="0" w:line="264" w:lineRule="auto"/>
            </w:pPr>
            <w:r>
              <w:rPr>
                <w:rFonts w:ascii="Times New Roman" w:hAnsi="Times New Roman" w:cs="Times New Roman" w:eastAsia="Batang"/>
                <w:sz w:val="18"/>
              </w:rPr>
              <w:t>Indoor computational fluid dynamics, Vision-language model, Geometric abstraction, Automated simulation, Benchmark</w:t>
            </w:r>
          </w:p>
        </w:tc>
        <w:tc>
          <w:tcPr>
            <w:tcW w:type="dxa" w:w="6168"/>
            <w:tcBorders>
              <w:top w:val="nil" w:sz="0" w:space="0" w:color="000000"/>
              <w:bottom w:val="single" w:sz="8" w:space="0" w:color="000000"/>
              <w:left w:val="nil" w:sz="0" w:space="0" w:color="000000"/>
              <w:right w:val="nil" w:sz="0" w:space="0" w:color="000000"/>
            </w:tcBorders>
            <w:tcMar>
              <w:top w:w="60" w:type="dxa"/>
              <w:bottom w:w="60" w:type="dxa"/>
              <w:left w:w="120" w:type="dxa"/>
              <w:right w:w="120" w:type="dxa"/>
            </w:tcMar>
          </w:tcPr>
          <w:p>
            <w:pPr>
              <w:spacing w:line="276" w:lineRule="auto"/>
              <w:jc w:val="both"/>
            </w:pPr>
            <w:r/>
            <w:r>
              <w:rPr>
                <w:rFonts w:ascii="Times New Roman" w:hAnsi="Times New Roman" w:cs="Times New Roman" w:eastAsia="Batang"/>
                <w:i w:val="0"/>
                <w:sz w:val="18"/>
              </w:rPr>
              <w:t xml:space="preserve">Computational fluid dynamics (CFD) simulation of indoor environments requires three-dimensional geometric models that take hours to days of manual effort to build. This paper presents a framework that converts a single 2D image of an indoor space into a steady-state CFD solution using a vision-language model (VLM) as the geometric abstraction engine. The VLM (Gemini 3.1 Pro) extracts a structured 3D scene description, which is scale-calibrated from one reference dimension and automatically meshed and solved with OpenFOAM. A rule-based benchmark of 20 indoor geometries and five input view types (100 cases) provides independently computed reference solutions with no VLM involvement in the ground truth. Of 100 cases, 97 converge; </w:t>
            </w:r>
            <w:r>
              <w:rPr>
                <w:rFonts w:ascii="Times New Roman" w:hAnsi="Times New Roman" w:cs="Times New Roman" w:eastAsia="Batang"/>
                <w:i w:val="0"/>
                <w:sz w:val="18"/>
              </w:rPr>
              <w:t>over these converged cases, the framework achieves a mean structural score of 0.781 and a mean CFD agreement score of 0.477 (0.758 and 0.463 when the three non-converged cases are scored as zero)</w:t>
            </w:r>
            <w:r>
              <w:rPr>
                <w:rFonts w:ascii="Times New Roman" w:hAnsi="Times New Roman" w:cs="Times New Roman" w:eastAsia="Batang"/>
                <w:i w:val="0"/>
                <w:sz w:val="18"/>
              </w:rPr>
              <w:t>. Floor-plan inputs perform best (structural 0.884, CFD 0.572). Three failure modes are identified: composite-room collapse, obstacle hallucination, and a structure-versus-fidelity gap. The pipeline, benchmark, and evaluation code are publicly available.</w:t>
            </w:r>
          </w:p>
        </w:tc>
      </w:tr>
    </w:tbl>
    <w:p>
      <w:pPr>
        <w:numPr>
          <w:ilvl w:val="0"/>
          <w:numId w:val="0"/>
        </w:numPr>
        <w:spacing w:after="40"/>
      </w:pPr>
    </w:p>
    <w:p>
      <w:pPr>
        <w:sectPr>
          <w:footerReference w:type="first" r:id="rId12"/>
          <w:footerReference w:type="default" r:id="rId10"/>
          <w:headerReference w:type="first" r:id="rId11"/>
          <w:headerReference w:type="default" r:id="rId8"/>
          <w:type w:val="continuous"/>
          <w:pgSz w:w="11906" w:h="16838" w:code="9"/>
          <w:pgMar w:top="1418" w:right="1134" w:bottom="851" w:left="1134" w:header="1134" w:footer="397" w:gutter="0"/>
          <w:cols w:space="720"/>
          <w:docGrid w:linePitch="272"/>
          <w:titlePg/>
        </w:sectPr>
      </w:pPr>
    </w:p>
    <w:p>
      <w:pPr>
        <w:pStyle w:val="a0"/>
        <w:numPr>
          <w:ilvl w:val="0"/>
          <w:numId w:val="0"/>
        </w:numPr>
        <w:spacing w:before="200" w:after="100"/>
        <w:jc w:val="center"/>
      </w:pPr>
      <w:r>
        <w:rPr>
          <w:rFonts w:ascii="Times New Roman" w:hAnsi="Times New Roman" w:cs="Times New Roman" w:eastAsia="Batang"/>
          <w:b/>
          <w:sz w:val="22"/>
        </w:rPr>
        <w:t>1. Introduction</w:t>
      </w:r>
    </w:p>
    <w:p>
      <w:pPr>
        <w:pStyle w:val="af7"/>
        <w:numPr>
          <w:ilvl w:val="0"/>
          <w:numId w:val="0"/>
        </w:numPr>
        <w:spacing w:before="160" w:after="80"/>
        <w:jc w:val="left"/>
      </w:pPr>
      <w:r>
        <w:rPr>
          <w:rFonts w:ascii="Times New Roman" w:hAnsi="Times New Roman" w:cs="Times New Roman" w:eastAsia="Batang"/>
          <w:b/>
          <w:sz w:val="21"/>
        </w:rPr>
        <w:t>1.1 Motivation</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Manufacturing facilities account for a large share of total energy consumption in industrialised economies, and governmental carbon-reduction targets are driving systematic energy audits across sectors </w:t>
      </w:r>
      <w:r>
        <w:rPr>
          <w:rFonts w:ascii="Times New Roman" w:hAnsi="Times New Roman" w:cs="Times New Roman" w:eastAsia="Batang"/>
          <w:sz w:val="20"/>
          <w:vertAlign w:val="superscript"/>
        </w:rPr>
        <w:t>(1,2)</w:t>
      </w:r>
      <w:r>
        <w:rPr>
          <w:rFonts w:ascii="Times New Roman" w:hAnsi="Times New Roman" w:cs="Times New Roman" w:eastAsia="Batang"/>
          <w:i w:val="0"/>
          <w:sz w:val="20"/>
        </w:rPr>
        <w:t xml:space="preserve">. Indoor airflow patterns within factories, warehouses, and processing halls directly affect HVAC energy consumption, process thermal management, and worker thermal comfort. CFD simulation can reveal recirculation zones, thermal stratification, short-circuiting of supply air, and other phenomena that point measurements miss and energy consumption data alone cannot explain </w:t>
      </w:r>
      <w:r>
        <w:rPr>
          <w:rFonts w:ascii="Times New Roman" w:hAnsi="Times New Roman" w:cs="Times New Roman" w:eastAsia="Batang"/>
          <w:sz w:val="20"/>
          <w:vertAlign w:val="superscript"/>
        </w:rPr>
        <w:t>(3,4)</w:t>
      </w:r>
      <w:r>
        <w:rPr>
          <w:rFonts w:ascii="Times New Roman" w:hAnsi="Times New Roman" w:cs="Times New Roman" w:eastAsia="Batang"/>
          <w:i w:val="0"/>
          <w:sz w:val="20"/>
        </w:rPr>
        <w:t>.</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Despite its diagnostic value, CFD-based airflow analysis is rarely included in standard energy audit workflows. The barrier is not the simulation itself (modern solvers such as OpenFOAM </w:t>
      </w:r>
      <w:r>
        <w:rPr>
          <w:rFonts w:ascii="Times New Roman" w:hAnsi="Times New Roman" w:cs="Times New Roman" w:eastAsia="Batang"/>
          <w:sz w:val="20"/>
          <w:vertAlign w:val="superscript"/>
        </w:rPr>
        <w:t>(5)</w:t>
      </w:r>
      <w:r>
        <w:rPr>
          <w:rFonts w:ascii="Times New Roman" w:hAnsi="Times New Roman" w:cs="Times New Roman" w:eastAsia="Batang"/>
          <w:i w:val="0"/>
          <w:sz w:val="20"/>
        </w:rPr>
        <w:t xml:space="preserve"> handle typical indoor geometries in minutes to hours) but the upstream geometry preparation step. Converting site photographs or architectural drawings into a CFD-ready 3D model requires CAD expertise and several hours to days of modelling work unavailable within standard audit budgets </w:t>
      </w:r>
      <w:r>
        <w:rPr>
          <w:rFonts w:ascii="Times New Roman" w:hAnsi="Times New Roman" w:cs="Times New Roman" w:eastAsia="Batang"/>
          <w:sz w:val="20"/>
          <w:vertAlign w:val="superscript"/>
        </w:rPr>
        <w:t>(6)</w:t>
      </w:r>
      <w:r>
        <w:rPr>
          <w:rFonts w:ascii="Times New Roman" w:hAnsi="Times New Roman" w:cs="Times New Roman" w:eastAsia="Batang"/>
          <w:i w:val="0"/>
          <w:sz w:val="20"/>
        </w:rPr>
        <w:t>, effectively excluding CFD from the energy diagnostician's toolkit.</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Existing approaches have not fully resolved this bottleneck. BIM-to-CFD workflows </w:t>
      </w:r>
      <w:r>
        <w:rPr>
          <w:rFonts w:ascii="Times New Roman" w:hAnsi="Times New Roman" w:cs="Times New Roman" w:eastAsia="Batang"/>
          <w:sz w:val="20"/>
          <w:vertAlign w:val="superscript"/>
        </w:rPr>
        <w:t>(7,8,9)</w:t>
      </w:r>
      <w:r>
        <w:rPr>
          <w:rFonts w:ascii="Times New Roman" w:hAnsi="Times New Roman" w:cs="Times New Roman" w:eastAsia="Batang"/>
          <w:i w:val="0"/>
          <w:sz w:val="20"/>
        </w:rPr>
        <w:t xml:space="preserve"> require a digital building model that rarely exists for older industrial facilities </w:t>
      </w:r>
      <w:r>
        <w:rPr>
          <w:rFonts w:ascii="Times New Roman" w:hAnsi="Times New Roman" w:cs="Times New Roman" w:eastAsia="Batang"/>
          <w:sz w:val="20"/>
          <w:vertAlign w:val="superscript"/>
        </w:rPr>
        <w:t>(1)</w:t>
      </w:r>
      <w:r>
        <w:rPr>
          <w:rFonts w:ascii="Times New Roman" w:hAnsi="Times New Roman" w:cs="Times New Roman" w:eastAsia="Batang"/>
          <w:i w:val="0"/>
          <w:sz w:val="20"/>
        </w:rPr>
        <w:t xml:space="preserve">. Scan-to-BIM methods </w:t>
      </w:r>
      <w:r>
        <w:rPr>
          <w:rFonts w:ascii="Times New Roman" w:hAnsi="Times New Roman" w:cs="Times New Roman" w:eastAsia="Batang"/>
          <w:sz w:val="20"/>
          <w:vertAlign w:val="superscript"/>
        </w:rPr>
        <w:t>(10)</w:t>
      </w:r>
      <w:r>
        <w:rPr>
          <w:rFonts w:ascii="Times New Roman" w:hAnsi="Times New Roman" w:cs="Times New Roman" w:eastAsia="Batang"/>
          <w:i w:val="0"/>
          <w:sz w:val="20"/>
        </w:rPr>
        <w:t xml:space="preserve"> demand specialised equipment impractical during a time-constrained site visit. Deep-learning surrogates </w:t>
      </w:r>
      <w:r>
        <w:rPr>
          <w:rFonts w:ascii="Times New Roman" w:hAnsi="Times New Roman" w:cs="Times New Roman" w:eastAsia="Batang"/>
          <w:sz w:val="20"/>
          <w:vertAlign w:val="superscript"/>
        </w:rPr>
        <w:t>(11,6,12)</w:t>
      </w:r>
      <w:r>
        <w:rPr>
          <w:rFonts w:ascii="Times New Roman" w:hAnsi="Times New Roman" w:cs="Times New Roman" w:eastAsia="Batang"/>
          <w:i w:val="0"/>
          <w:sz w:val="20"/>
        </w:rPr>
        <w:t xml:space="preserve"> are limited to pre-trained geometry families and cannot handle diverse industrial layouts.</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An energy diagnostician who could photograph a facility space, or use an existing floor plan, and obtain a CFD-quality airflow assessment within minutes, without manual geometry modelling, would bypass this bottleneck entirely. Vision-language models (VLMs) with spatial reasoning capabilities </w:t>
      </w:r>
      <w:r>
        <w:rPr>
          <w:rFonts w:ascii="Times New Roman" w:hAnsi="Times New Roman" w:cs="Times New Roman" w:eastAsia="Batang"/>
          <w:sz w:val="20"/>
          <w:vertAlign w:val="superscript"/>
        </w:rPr>
        <w:t>(13,14,15,16)</w:t>
      </w:r>
      <w:r>
        <w:rPr>
          <w:rFonts w:ascii="Times New Roman" w:hAnsi="Times New Roman" w:cs="Times New Roman" w:eastAsia="Batang"/>
          <w:i w:val="0"/>
          <w:sz w:val="20"/>
        </w:rPr>
        <w:t xml:space="preserve"> now offer a path toward this goal. A VLM can interpret a photograph or architectural drawing, extract the spatial layout including dimensions and major obstacles, and express this information in a structured format that can be automatically converted into a CFD-ready mesh.</w:t>
      </w:r>
    </w:p>
    <w:p>
      <w:pPr>
        <w:pStyle w:val="a1"/>
        <w:numPr>
          <w:ilvl w:val="0"/>
          <w:numId w:val="0"/>
        </w:numPr>
        <w:spacing w:after="80" w:line="276" w:lineRule="auto"/>
        <w:ind w:firstLine="230"/>
        <w:jc w:val="both"/>
      </w:pPr>
      <w:r>
        <w:rPr>
          <w:rFonts w:ascii="Times New Roman" w:hAnsi="Times New Roman" w:cs="Times New Roman" w:eastAsia="Batang"/>
          <w:i w:val="0"/>
          <w:sz w:val="20"/>
        </w:rPr>
        <w:t>This paper presents and evaluates such a framework. The current implementation and benchmark use general indoor spaces rather than industrial facilities, because the simpler case permits a controlled benchmark with well-defined complexity levels. The methodology itself, VLM-based geometric abstraction from a single 2D image followed by automated CFD, applies equally to industrial spaces.</w:t>
      </w:r>
    </w:p>
    <w:p>
      <w:pPr>
        <w:pStyle w:val="af7"/>
        <w:numPr>
          <w:ilvl w:val="0"/>
          <w:numId w:val="0"/>
        </w:numPr>
        <w:spacing w:before="160" w:after="80"/>
        <w:jc w:val="left"/>
      </w:pPr>
      <w:r>
        <w:rPr>
          <w:rFonts w:ascii="Times New Roman" w:hAnsi="Times New Roman" w:cs="Times New Roman" w:eastAsia="Batang"/>
          <w:b/>
          <w:sz w:val="21"/>
        </w:rPr>
        <w:t>1.2 Related work</w:t>
      </w:r>
    </w:p>
    <w:p>
      <w:pPr>
        <w:pStyle w:val="a1"/>
        <w:numPr>
          <w:ilvl w:val="0"/>
          <w:numId w:val="0"/>
        </w:numPr>
        <w:spacing w:after="80" w:line="276" w:lineRule="auto"/>
        <w:ind w:firstLine="230"/>
        <w:jc w:val="both"/>
      </w:pPr>
      <w:r>
        <w:rPr>
          <w:rFonts w:ascii="Times New Roman" w:hAnsi="Times New Roman" w:cs="Times New Roman" w:eastAsia="Batang"/>
          <w:i/>
          <w:sz w:val="20"/>
        </w:rPr>
        <w:t>CFD for indoor environmental analysis.</w:t>
      </w:r>
      <w:r>
        <w:rPr>
          <w:rFonts w:ascii="Times New Roman" w:hAnsi="Times New Roman" w:cs="Times New Roman" w:eastAsia="Batang"/>
          <w:i w:val="0"/>
          <w:sz w:val="20"/>
        </w:rPr>
        <w:t xml:space="preserve"> CFD simulation of indoor environments covers ventilation effectiveness </w:t>
      </w:r>
      <w:r>
        <w:rPr>
          <w:rFonts w:ascii="Times New Roman" w:hAnsi="Times New Roman" w:cs="Times New Roman" w:eastAsia="Batang"/>
          <w:sz w:val="20"/>
          <w:vertAlign w:val="superscript"/>
        </w:rPr>
        <w:t>(17,4)</w:t>
      </w:r>
      <w:r>
        <w:rPr>
          <w:rFonts w:ascii="Times New Roman" w:hAnsi="Times New Roman" w:cs="Times New Roman" w:eastAsia="Batang"/>
          <w:i w:val="0"/>
          <w:sz w:val="20"/>
        </w:rPr>
        <w:t xml:space="preserve">, thermal comfort </w:t>
      </w:r>
      <w:r>
        <w:rPr>
          <w:rFonts w:ascii="Times New Roman" w:hAnsi="Times New Roman" w:cs="Times New Roman" w:eastAsia="Batang"/>
          <w:sz w:val="20"/>
          <w:vertAlign w:val="superscript"/>
        </w:rPr>
        <w:t>(18)</w:t>
      </w:r>
      <w:r>
        <w:rPr>
          <w:rFonts w:ascii="Times New Roman" w:hAnsi="Times New Roman" w:cs="Times New Roman" w:eastAsia="Batang"/>
          <w:i w:val="0"/>
          <w:sz w:val="20"/>
        </w:rPr>
        <w:t xml:space="preserve">, contaminant and pathogen dispersion </w:t>
      </w:r>
      <w:r>
        <w:rPr>
          <w:rFonts w:ascii="Times New Roman" w:hAnsi="Times New Roman" w:cs="Times New Roman" w:eastAsia="Batang"/>
          <w:sz w:val="20"/>
          <w:vertAlign w:val="superscript"/>
        </w:rPr>
        <w:t>(3,19,20)</w:t>
      </w:r>
      <w:r>
        <w:rPr>
          <w:rFonts w:ascii="Times New Roman" w:hAnsi="Times New Roman" w:cs="Times New Roman" w:eastAsia="Batang"/>
          <w:i w:val="0"/>
          <w:sz w:val="20"/>
        </w:rPr>
        <w:t xml:space="preserve">, and building energy performance </w:t>
      </w:r>
      <w:r>
        <w:rPr>
          <w:rFonts w:ascii="Times New Roman" w:hAnsi="Times New Roman" w:cs="Times New Roman" w:eastAsia="Batang"/>
          <w:sz w:val="20"/>
          <w:vertAlign w:val="superscript"/>
        </w:rPr>
        <w:t>(21,22)</w:t>
      </w:r>
      <w:r>
        <w:rPr>
          <w:rFonts w:ascii="Times New Roman" w:hAnsi="Times New Roman" w:cs="Times New Roman" w:eastAsia="Batang"/>
          <w:i w:val="0"/>
          <w:sz w:val="20"/>
        </w:rPr>
        <w:t xml:space="preserve">. In industrial contexts (furnaces </w:t>
      </w:r>
      <w:r>
        <w:rPr>
          <w:rFonts w:ascii="Times New Roman" w:hAnsi="Times New Roman" w:cs="Times New Roman" w:eastAsia="Batang"/>
          <w:sz w:val="20"/>
          <w:vertAlign w:val="superscript"/>
        </w:rPr>
        <w:t>(2)</w:t>
      </w:r>
      <w:r>
        <w:rPr>
          <w:rFonts w:ascii="Times New Roman" w:hAnsi="Times New Roman" w:cs="Times New Roman" w:eastAsia="Batang"/>
          <w:i w:val="0"/>
          <w:sz w:val="20"/>
        </w:rPr>
        <w:t>, process ventilation, occupational exposure), use remains far less systematic than in commercial building design, largely due to the geometry preparation overhead.</w:t>
      </w:r>
    </w:p>
    <w:p>
      <w:pPr>
        <w:pStyle w:val="a1"/>
        <w:numPr>
          <w:ilvl w:val="0"/>
          <w:numId w:val="0"/>
        </w:numPr>
        <w:spacing w:after="80" w:line="276" w:lineRule="auto"/>
        <w:ind w:firstLine="230"/>
        <w:jc w:val="both"/>
      </w:pPr>
      <w:r>
        <w:rPr>
          <w:rFonts w:ascii="Times New Roman" w:hAnsi="Times New Roman" w:cs="Times New Roman" w:eastAsia="Batang"/>
          <w:i/>
          <w:sz w:val="20"/>
        </w:rPr>
        <w:t>Geometry acquisition and the automation gap.</w:t>
      </w:r>
      <w:r>
        <w:rPr>
          <w:rFonts w:ascii="Times New Roman" w:hAnsi="Times New Roman" w:cs="Times New Roman" w:eastAsia="Batang"/>
          <w:i w:val="0"/>
          <w:sz w:val="20"/>
        </w:rPr>
        <w:t xml:space="preserve"> BIM platforms can export geometry to CFD tools </w:t>
      </w:r>
      <w:r>
        <w:rPr>
          <w:rFonts w:ascii="Times New Roman" w:hAnsi="Times New Roman" w:cs="Times New Roman" w:eastAsia="Batang"/>
          <w:sz w:val="20"/>
          <w:vertAlign w:val="superscript"/>
        </w:rPr>
        <w:t>(7,9)</w:t>
      </w:r>
      <w:r>
        <w:rPr>
          <w:rFonts w:ascii="Times New Roman" w:hAnsi="Times New Roman" w:cs="Times New Roman" w:eastAsia="Batang"/>
          <w:i w:val="0"/>
          <w:sz w:val="20"/>
        </w:rPr>
        <w:t xml:space="preserve">, but BIM penetration in the industrial sector is limited </w:t>
      </w:r>
      <w:r>
        <w:rPr>
          <w:rFonts w:ascii="Times New Roman" w:hAnsi="Times New Roman" w:cs="Times New Roman" w:eastAsia="Batang"/>
          <w:sz w:val="20"/>
          <w:vertAlign w:val="superscript"/>
        </w:rPr>
        <w:t>(1)</w:t>
      </w:r>
      <w:r>
        <w:rPr>
          <w:rFonts w:ascii="Times New Roman" w:hAnsi="Times New Roman" w:cs="Times New Roman" w:eastAsia="Batang"/>
          <w:i w:val="0"/>
          <w:sz w:val="20"/>
        </w:rPr>
        <w:t xml:space="preserve">. Scan-to-BIM methods </w:t>
      </w:r>
      <w:r>
        <w:rPr>
          <w:rFonts w:ascii="Times New Roman" w:hAnsi="Times New Roman" w:cs="Times New Roman" w:eastAsia="Batang"/>
          <w:sz w:val="20"/>
          <w:vertAlign w:val="superscript"/>
        </w:rPr>
        <w:t>(10,23)</w:t>
      </w:r>
      <w:r>
        <w:rPr>
          <w:rFonts w:ascii="Times New Roman" w:hAnsi="Times New Roman" w:cs="Times New Roman" w:eastAsia="Batang"/>
          <w:i w:val="0"/>
          <w:sz w:val="20"/>
        </w:rPr>
        <w:t xml:space="preserve"> produce detailed as-built models from point clouds but are prohibitive for routine energy audits. Image-based reconstruction methods including NeRF </w:t>
      </w:r>
      <w:r>
        <w:rPr>
          <w:rFonts w:ascii="Times New Roman" w:hAnsi="Times New Roman" w:cs="Times New Roman" w:eastAsia="Batang"/>
          <w:sz w:val="20"/>
          <w:vertAlign w:val="superscript"/>
        </w:rPr>
        <w:t>(24)</w:t>
      </w:r>
      <w:r>
        <w:rPr>
          <w:rFonts w:ascii="Times New Roman" w:hAnsi="Times New Roman" w:cs="Times New Roman" w:eastAsia="Batang"/>
          <w:i w:val="0"/>
          <w:sz w:val="20"/>
        </w:rPr>
        <w:t xml:space="preserve"> yield implicit or noisy representations that cannot be directly used by finite-volume solvers, a fundamental mismatch with CFD input requirements.</w:t>
      </w:r>
    </w:p>
    <w:p>
      <w:pPr>
        <w:pStyle w:val="a1"/>
        <w:numPr>
          <w:ilvl w:val="0"/>
          <w:numId w:val="0"/>
        </w:numPr>
        <w:spacing w:after="80" w:line="276" w:lineRule="auto"/>
        <w:ind w:firstLine="230"/>
        <w:jc w:val="both"/>
      </w:pPr>
      <w:r>
        <w:rPr>
          <w:rFonts w:ascii="Times New Roman" w:hAnsi="Times New Roman" w:cs="Times New Roman" w:eastAsia="Batang"/>
          <w:i/>
          <w:sz w:val="20"/>
        </w:rPr>
        <w:t>Data-driven flow prediction.</w:t>
      </w:r>
      <w:r>
        <w:rPr>
          <w:rFonts w:ascii="Times New Roman" w:hAnsi="Times New Roman" w:cs="Times New Roman" w:eastAsia="Batang"/>
          <w:i w:val="0"/>
          <w:sz w:val="20"/>
        </w:rPr>
        <w:t xml:space="preserve"> Neural network surrogates </w:t>
      </w:r>
      <w:r>
        <w:rPr>
          <w:rFonts w:ascii="Times New Roman" w:hAnsi="Times New Roman" w:cs="Times New Roman" w:eastAsia="Batang"/>
          <w:sz w:val="20"/>
          <w:vertAlign w:val="superscript"/>
        </w:rPr>
        <w:t>(11,6,12)</w:t>
      </w:r>
      <w:r>
        <w:rPr>
          <w:rFonts w:ascii="Times New Roman" w:hAnsi="Times New Roman" w:cs="Times New Roman" w:eastAsia="Batang"/>
          <w:i w:val="0"/>
          <w:sz w:val="20"/>
        </w:rPr>
        <w:t xml:space="preserve"> are fast but are limited to their training domain and cannot provide the conservation guarantees of physics-based solvers, making them unsuitable for liability-sensitive engineering assessments.</w:t>
      </w:r>
    </w:p>
    <w:p>
      <w:pPr>
        <w:pStyle w:val="a1"/>
        <w:numPr>
          <w:ilvl w:val="0"/>
          <w:numId w:val="0"/>
        </w:numPr>
        <w:spacing w:after="80" w:line="276" w:lineRule="auto"/>
        <w:ind w:firstLine="230"/>
        <w:jc w:val="both"/>
      </w:pPr>
      <w:r>
        <w:rPr>
          <w:rFonts w:ascii="Times New Roman" w:hAnsi="Times New Roman" w:cs="Times New Roman" w:eastAsia="Batang"/>
          <w:i/>
          <w:sz w:val="20"/>
        </w:rPr>
        <w:t>LLM-assisted CFD workflows.</w:t>
      </w:r>
      <w:r>
        <w:rPr>
          <w:rFonts w:ascii="Times New Roman" w:hAnsi="Times New Roman" w:cs="Times New Roman" w:eastAsia="Batang"/>
          <w:i w:val="0"/>
          <w:sz w:val="20"/>
        </w:rPr>
        <w:t xml:space="preserve"> FLUID-GPT </w:t>
      </w:r>
      <w:r>
        <w:rPr>
          <w:rFonts w:ascii="Times New Roman" w:hAnsi="Times New Roman" w:cs="Times New Roman" w:eastAsia="Batang"/>
          <w:sz w:val="20"/>
          <w:vertAlign w:val="superscript"/>
        </w:rPr>
        <w:t>(25)</w:t>
      </w:r>
      <w:r>
        <w:rPr>
          <w:rFonts w:ascii="Times New Roman" w:hAnsi="Times New Roman" w:cs="Times New Roman" w:eastAsia="Batang"/>
          <w:i w:val="0"/>
          <w:sz w:val="20"/>
        </w:rPr>
        <w:t xml:space="preserve"> used a generative transformer as a CFD surrogate for erosion prediction. OpenFOAMGPT </w:t>
      </w:r>
      <w:r>
        <w:rPr>
          <w:rFonts w:ascii="Times New Roman" w:hAnsi="Times New Roman" w:cs="Times New Roman" w:eastAsia="Batang"/>
          <w:sz w:val="20"/>
          <w:vertAlign w:val="superscript"/>
        </w:rPr>
        <w:t>(26)</w:t>
      </w:r>
      <w:r>
        <w:rPr>
          <w:rFonts w:ascii="Times New Roman" w:hAnsi="Times New Roman" w:cs="Times New Roman" w:eastAsia="Batang"/>
          <w:i w:val="0"/>
          <w:sz w:val="20"/>
        </w:rPr>
        <w:t xml:space="preserve"> and Dong et al. </w:t>
      </w:r>
      <w:r>
        <w:rPr>
          <w:rFonts w:ascii="Times New Roman" w:hAnsi="Times New Roman" w:cs="Times New Roman" w:eastAsia="Batang"/>
          <w:sz w:val="20"/>
          <w:vertAlign w:val="superscript"/>
        </w:rPr>
        <w:t>(27)</w:t>
      </w:r>
      <w:r>
        <w:rPr>
          <w:rFonts w:ascii="Times New Roman" w:hAnsi="Times New Roman" w:cs="Times New Roman" w:eastAsia="Batang"/>
          <w:i w:val="0"/>
          <w:sz w:val="20"/>
        </w:rPr>
        <w:t xml:space="preserve"> automated solver configuration through LLM agents. All three address the </w:t>
      </w:r>
      <w:r>
        <w:rPr>
          <w:rFonts w:ascii="Times New Roman" w:hAnsi="Times New Roman" w:cs="Times New Roman" w:eastAsia="Batang"/>
          <w:i/>
          <w:sz w:val="20"/>
        </w:rPr>
        <w:t>downstream</w:t>
      </w:r>
      <w:r>
        <w:rPr>
          <w:rFonts w:ascii="Times New Roman" w:hAnsi="Times New Roman" w:cs="Times New Roman" w:eastAsia="Batang"/>
          <w:i w:val="0"/>
          <w:sz w:val="20"/>
        </w:rPr>
        <w:t xml:space="preserve"> workflow (solver setup, parameter selection, result interpretation) while assuming the geometric model already exists. The </w:t>
      </w:r>
      <w:r>
        <w:rPr>
          <w:rFonts w:ascii="Times New Roman" w:hAnsi="Times New Roman" w:cs="Times New Roman" w:eastAsia="Batang"/>
          <w:i/>
          <w:sz w:val="20"/>
        </w:rPr>
        <w:t>upstream</w:t>
      </w:r>
      <w:r>
        <w:rPr>
          <w:rFonts w:ascii="Times New Roman" w:hAnsi="Times New Roman" w:cs="Times New Roman" w:eastAsia="Batang"/>
          <w:i w:val="0"/>
          <w:sz w:val="20"/>
        </w:rPr>
        <w:t xml:space="preserve"> problem of extracting geometry from visual input remains open.</w:t>
      </w:r>
    </w:p>
    <w:p>
      <w:pPr>
        <w:pStyle w:val="a1"/>
        <w:numPr>
          <w:ilvl w:val="0"/>
          <w:numId w:val="0"/>
        </w:numPr>
        <w:spacing w:after="80" w:line="276" w:lineRule="auto"/>
        <w:ind w:firstLine="230"/>
        <w:jc w:val="both"/>
      </w:pPr>
      <w:r>
        <w:rPr>
          <w:rFonts w:ascii="Times New Roman" w:hAnsi="Times New Roman" w:cs="Times New Roman" w:eastAsia="Batang"/>
          <w:i/>
          <w:sz w:val="20"/>
        </w:rPr>
        <w:t>Vision-language models for spatial understanding.</w:t>
      </w:r>
      <w:r>
        <w:rPr>
          <w:rFonts w:ascii="Times New Roman" w:hAnsi="Times New Roman" w:cs="Times New Roman" w:eastAsia="Batang"/>
          <w:i w:val="0"/>
          <w:sz w:val="20"/>
        </w:rPr>
        <w:t xml:space="preserve"> VLMs such as GPT-4 </w:t>
      </w:r>
      <w:r>
        <w:rPr>
          <w:rFonts w:ascii="Times New Roman" w:hAnsi="Times New Roman" w:cs="Times New Roman" w:eastAsia="Batang"/>
          <w:sz w:val="20"/>
          <w:vertAlign w:val="superscript"/>
        </w:rPr>
        <w:t>(13)</w:t>
      </w:r>
      <w:r>
        <w:rPr>
          <w:rFonts w:ascii="Times New Roman" w:hAnsi="Times New Roman" w:cs="Times New Roman" w:eastAsia="Batang"/>
          <w:i w:val="0"/>
          <w:sz w:val="20"/>
        </w:rPr>
        <w:t xml:space="preserve"> and Gemini </w:t>
      </w:r>
      <w:r>
        <w:rPr>
          <w:rFonts w:ascii="Times New Roman" w:hAnsi="Times New Roman" w:cs="Times New Roman" w:eastAsia="Batang"/>
          <w:sz w:val="20"/>
          <w:vertAlign w:val="superscript"/>
        </w:rPr>
        <w:t>(14)</w:t>
      </w:r>
      <w:r>
        <w:rPr>
          <w:rFonts w:ascii="Times New Roman" w:hAnsi="Times New Roman" w:cs="Times New Roman" w:eastAsia="Batang"/>
          <w:i w:val="0"/>
          <w:sz w:val="20"/>
        </w:rPr>
        <w:t xml:space="preserve"> can localise objects, estimate dimensions, and interpret scene layouts </w:t>
      </w:r>
      <w:r>
        <w:rPr>
          <w:rFonts w:ascii="Times New Roman" w:hAnsi="Times New Roman" w:cs="Times New Roman" w:eastAsia="Batang"/>
          <w:sz w:val="20"/>
          <w:vertAlign w:val="superscript"/>
        </w:rPr>
        <w:t>(15,16)</w:t>
      </w:r>
      <w:r>
        <w:rPr>
          <w:rFonts w:ascii="Times New Roman" w:hAnsi="Times New Roman" w:cs="Times New Roman" w:eastAsia="Batang"/>
          <w:i w:val="0"/>
          <w:sz w:val="20"/>
        </w:rPr>
        <w:t>. The present work uses these capabilities not to reconstruct scene geometry in full fidelity, but to abstract it into a simulation-compatible schema: topological correctness and approximate dimensions rather than surface-level detail.</w:t>
      </w:r>
    </w:p>
    <w:p>
      <w:pPr>
        <w:pStyle w:val="af7"/>
        <w:numPr>
          <w:ilvl w:val="0"/>
          <w:numId w:val="0"/>
        </w:numPr>
        <w:spacing w:before="160" w:after="80"/>
        <w:jc w:val="left"/>
      </w:pPr>
      <w:r>
        <w:rPr>
          <w:rFonts w:ascii="Times New Roman" w:hAnsi="Times New Roman" w:cs="Times New Roman" w:eastAsia="Batang"/>
          <w:b/>
          <w:sz w:val="21"/>
        </w:rPr>
        <w:t>1.3 Contributions</w:t>
      </w:r>
    </w:p>
    <w:p>
      <w:pPr>
        <w:pStyle w:val="a1"/>
        <w:numPr>
          <w:ilvl w:val="0"/>
          <w:numId w:val="0"/>
        </w:numPr>
        <w:spacing w:after="80" w:line="276" w:lineRule="auto"/>
        <w:ind w:firstLine="230"/>
        <w:jc w:val="both"/>
      </w:pPr>
      <w:r>
        <w:rPr>
          <w:rFonts w:ascii="Times New Roman" w:hAnsi="Times New Roman" w:cs="Times New Roman" w:eastAsia="Batang"/>
          <w:i w:val="0"/>
          <w:sz w:val="20"/>
        </w:rPr>
        <w:t>This paper contributes the following: (1) An automated image-to-CFD framework that eliminates the manual geometry preparation step by using a VLM to extract a simulation-ready 3D scene description from a single 2D image, targeting screening-level indoor airflow analysis. (2) A systematic benchmark comprising 100 evaluation cases (20 geometries × 5 view types) with independently computed reference CFD solutions, providing the first quantitative assessment of VLM-based geometric abstraction for downstream CFD accuracy. (3) An evaluation methodology that decouples geometric fidelity from flow-field accuracy, revealing that structural similarity does not guarantee CFD agreement, a finding with practical implications for acceptable error thresholds in screening applications. (4) Identification of three characteristic failure modes (composite-room collapse, obstacle hallucination, structure-versus-fidelity gap) that define the current performance boundary.</w:t>
      </w:r>
    </w:p>
    <w:p>
      <w:pPr>
        <w:pStyle w:val="a0"/>
        <w:numPr>
          <w:ilvl w:val="0"/>
          <w:numId w:val="0"/>
        </w:numPr>
        <w:spacing w:before="200" w:after="100"/>
        <w:jc w:val="center"/>
      </w:pPr>
      <w:r>
        <w:rPr>
          <w:rFonts w:ascii="Times New Roman" w:hAnsi="Times New Roman" w:cs="Times New Roman" w:eastAsia="Batang"/>
          <w:b/>
          <w:sz w:val="22"/>
        </w:rPr>
        <w:t>2. Methodology</w:t>
      </w:r>
    </w:p>
    <w:p>
      <w:pPr>
        <w:pStyle w:val="af7"/>
        <w:numPr>
          <w:ilvl w:val="0"/>
          <w:numId w:val="0"/>
        </w:numPr>
        <w:spacing w:before="160" w:after="80"/>
        <w:jc w:val="left"/>
      </w:pPr>
      <w:r>
        <w:rPr>
          <w:rFonts w:ascii="Times New Roman" w:hAnsi="Times New Roman" w:cs="Times New Roman" w:eastAsia="Batang"/>
          <w:b/>
          <w:sz w:val="21"/>
        </w:rPr>
        <w:t>2.1 Framework overview</w:t>
      </w:r>
    </w:p>
    <w:p>
      <w:pPr>
        <w:pStyle w:val="a1"/>
        <w:numPr>
          <w:ilvl w:val="0"/>
          <w:numId w:val="0"/>
        </w:numPr>
        <w:spacing w:after="80" w:line="276" w:lineRule="auto"/>
        <w:ind w:firstLine="230"/>
        <w:jc w:val="both"/>
      </w:pPr>
      <w:r>
        <w:rPr>
          <w:rFonts w:ascii="Times New Roman" w:hAnsi="Times New Roman" w:cs="Times New Roman" w:eastAsia="Batang"/>
          <w:i w:val="0"/>
          <w:sz w:val="20"/>
        </w:rPr>
        <w:t>The proposed framework accepts a single 2D image of an indoor space and produces a steady-state CFD solution through a five-stage pipeline (Fig. 1). In the first stage, the image is presented to a vision-language model (Gemini 3.1 Pro; accessed via API in March 2026, model identifier gemini-3.1-pro-preview) together with a structured prompt that requests a JSON description of the room geometry, internal obstacles, and ventilation openings. The prompt specifies the coordinate system convention, unit system, and the required schema fields, but does not provide any ground-truth information about the scene. The VLM returns a scene description conforming to the indoor_cfd_scene_v1 schema, which encodes the room as one or more axis-aligned rectangular blocks, each obstacle as an axis-aligned bounding box, and each opening as a wall-anchored rectangular patch with an associated type (inlet or outlet).</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3364850"/>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28690" cy="3364850"/>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  </w:t>
      </w:r>
      <w:r>
        <w:rPr>
          <w:rFonts w:ascii="Times New Roman" w:hAnsi="Times New Roman" w:cs="Times New Roman" w:eastAsia="Batang"/>
          <w:i w:val="0"/>
          <w:sz w:val="18"/>
        </w:rPr>
        <w:t>Overall framework architecture. A single 2D image is processed by Gemini 3.1 Pro to produce a structured 3D scene description; post-hoc scale calibration corrects the dominant dimensional error using the longest horizontal span; the calibrated scene is automatically converted to an OpenFOAM case. An independent reference path generates the ground-truth CFD solution from the rule-based benchmark without VLM involvement.</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In the second stage, a single-factor scale calibration is applied to the VLM output. A single monocular image contains no absolute dimensional information; the VLM can recover proportions but not physical size. This is a fundamental limitation of any single-image approach, not a deficiency of the VLM. To obtain physically meaningful CFD results, the user provides one reference dimension, in practice a single tape-measure reading or a dimension annotation on an architectural drawing. The calibration rescales the entire scene uniformly so that the longest horizontal span matches this reference:</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r>
          <m:t>α</m:t>
        </m:r>
        <m:r>
          <m:t>=</m:t>
        </m:r>
        <m:f>
          <m:fPr>
            <m:type m:val="bar"/>
          </m:fPr>
          <m:num>
            <m:sSub>
              <m:e>
                <m:r>
                  <m:t>L</m:t>
                </m:r>
              </m:e>
              <m:sub>
                <m:r>
                  <m:rPr>
                    <m:sty m:val="p"/>
                  </m:rPr>
                  <m:t>r</m:t>
                </m:r>
                <m:r>
                  <m:rPr>
                    <m:sty m:val="p"/>
                  </m:rPr>
                  <m:t>e</m:t>
                </m:r>
                <m:r>
                  <m:rPr>
                    <m:sty m:val="p"/>
                  </m:rPr>
                  <m:t>f</m:t>
                </m:r>
              </m:sub>
            </m:sSub>
          </m:num>
          <m:den>
            <m:sSub>
              <m:e>
                <m:r>
                  <m:t>L</m:t>
                </m:r>
              </m:e>
              <m:sub>
                <m:r>
                  <m:rPr>
                    <m:sty m:val="p"/>
                  </m:rPr>
                  <m:t>p</m:t>
                </m:r>
                <m:r>
                  <m:rPr>
                    <m:sty m:val="p"/>
                  </m:rPr>
                  <m:t>r</m:t>
                </m:r>
                <m:r>
                  <m:rPr>
                    <m:sty m:val="p"/>
                  </m:rPr>
                  <m:t>e</m:t>
                </m:r>
                <m:r>
                  <m:rPr>
                    <m:sty m:val="p"/>
                  </m:rPr>
                  <m:t>d</m:t>
                </m:r>
              </m:sub>
            </m:sSub>
          </m:den>
        </m:f>
        <m:r>
          <m:t>,</m:t>
        </m:r>
        <m:r>
          <m:t>  </m:t>
        </m:r>
        <m:sSub>
          <m:e>
            <m:r>
              <m:rPr>
                <m:sty m:val="b"/>
              </m:rPr>
              <m:t>x</m:t>
            </m:r>
          </m:e>
          <m:sub>
            <m:r>
              <m:rPr>
                <m:sty m:val="p"/>
              </m:rPr>
              <m:t>c</m:t>
            </m:r>
            <m:r>
              <m:rPr>
                <m:sty m:val="p"/>
              </m:rPr>
              <m:t>a</m:t>
            </m:r>
            <m:r>
              <m:rPr>
                <m:sty m:val="p"/>
              </m:rPr>
              <m:t>l</m:t>
            </m:r>
            <m:r>
              <m:rPr>
                <m:sty m:val="p"/>
              </m:rPr>
              <m:t>i</m:t>
            </m:r>
            <m:r>
              <m:rPr>
                <m:sty m:val="p"/>
              </m:rPr>
              <m:t>b</m:t>
            </m:r>
            <m:r>
              <m:rPr>
                <m:sty m:val="p"/>
              </m:rPr>
              <m:t>r</m:t>
            </m:r>
            <m:r>
              <m:rPr>
                <m:sty m:val="p"/>
              </m:rPr>
              <m:t>a</m:t>
            </m:r>
            <m:r>
              <m:rPr>
                <m:sty m:val="p"/>
              </m:rPr>
              <m:t>t</m:t>
            </m:r>
            <m:r>
              <m:rPr>
                <m:sty m:val="p"/>
              </m:rPr>
              <m:t>e</m:t>
            </m:r>
            <m:r>
              <m:rPr>
                <m:sty m:val="p"/>
              </m:rPr>
              <m:t>d</m:t>
            </m:r>
          </m:sub>
        </m:sSub>
        <m:r>
          <m:t>=</m:t>
        </m:r>
        <m:r>
          <m:t>α</m:t>
        </m:r>
        <m:r>
          <m:t> </m:t>
        </m:r>
        <m:sSub>
          <m:e>
            <m:r>
              <m:rPr>
                <m:sty m:val="b"/>
              </m:rPr>
              <m:t>x</m:t>
            </m:r>
          </m:e>
          <m:sub>
            <m:r>
              <m:rPr>
                <m:sty m:val="p"/>
              </m:rPr>
              <m:t>p</m:t>
            </m:r>
            <m:r>
              <m:rPr>
                <m:sty m:val="p"/>
              </m:rPr>
              <m:t>r</m:t>
            </m:r>
            <m:r>
              <m:rPr>
                <m:sty m:val="p"/>
              </m:rPr>
              <m:t>e</m:t>
            </m:r>
            <m:r>
              <m:rPr>
                <m:sty m:val="p"/>
              </m:rPr>
              <m:t>d</m:t>
            </m:r>
          </m:sub>
        </m:sSub>
      </m:oMath>
      <w:r>
        <w:tab/>
      </w:r>
      <w:r>
        <w:rPr>
          <w:rFonts w:ascii="Times New Roman" w:hAnsi="Times New Roman" w:cs="Times New Roman" w:eastAsia="Batang"/>
          <w:sz w:val="20"/>
        </w:rPr>
        <w:t>(1)</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where L_ref is the user-provided reference span (or, in the benchmark evaluation, the corresponding ground-truth span), L_pred is the longest horizontal span in the VLM prediction, and α is the uniform scaling factor applied to all coordinates. This single measurement is the only external input required beyond the image itself. In the benchmark, the reference span is taken from the ground-truth geometry to isolate the effect of proportional accuracy from absolute scale; in deployment, this value would come from a tape measurement or drawing annotation.</w:t>
      </w:r>
    </w:p>
    <w:p>
      <w:pPr>
        <w:pStyle w:val="af7"/>
        <w:numPr>
          <w:ilvl w:val="0"/>
          <w:numId w:val="0"/>
        </w:numPr>
        <w:spacing w:before="160" w:after="80"/>
        <w:jc w:val="left"/>
      </w:pPr>
      <w:r>
        <w:rPr>
          <w:rFonts w:ascii="Times New Roman" w:hAnsi="Times New Roman" w:cs="Times New Roman" w:eastAsia="Batang"/>
          <w:b/>
          <w:sz w:val="21"/>
        </w:rPr>
        <w:t>2.2 Governing equations and CFD setup</w:t>
      </w:r>
    </w:p>
    <w:p>
      <w:pPr>
        <w:pStyle w:val="a1"/>
        <w:numPr>
          <w:ilvl w:val="0"/>
          <w:numId w:val="0"/>
        </w:numPr>
        <w:spacing w:after="80" w:line="276" w:lineRule="auto"/>
        <w:ind w:firstLine="230"/>
        <w:jc w:val="both"/>
      </w:pPr>
      <w:r>
        <w:rPr>
          <w:rFonts w:ascii="Times New Roman" w:hAnsi="Times New Roman" w:cs="Times New Roman" w:eastAsia="Batang"/>
          <w:i w:val="0"/>
          <w:sz w:val="20"/>
        </w:rPr>
        <w:t>The indoor airflow is modelled as steady-state, isothermal, incompressible, turbulent flow governed by the Reynolds-averaged Navier–Stokes (RANS) equations. The continuity and momentum equations are:</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r>
          <m:t>∇</m:t>
        </m:r>
        <m:r>
          <m:t>⋅</m:t>
        </m:r>
        <m:r>
          <m:rPr>
            <m:sty m:val="b"/>
          </m:rPr>
          <m:t>U</m:t>
        </m:r>
        <m:r>
          <m:t>=</m:t>
        </m:r>
        <m:r>
          <m:t>0</m:t>
        </m:r>
      </m:oMath>
      <w:r>
        <w:tab/>
      </w:r>
      <w:r>
        <w:rPr>
          <w:rFonts w:ascii="Times New Roman" w:hAnsi="Times New Roman" w:cs="Times New Roman" w:eastAsia="Batang"/>
          <w:sz w:val="20"/>
        </w:rPr>
        <w:t>(2)</w:t>
      </w:r>
    </w:p>
    <w:p>
      <w:pPr>
        <w:numPr>
          <w:ilvl w:val="0"/>
          <w:numId w:val="0"/>
        </w:numPr>
        <w:tabs>
          <w:tab w:pos="4819" w:val="center"/>
          <w:tab w:pos="9566" w:val="right"/>
        </w:tabs>
        <w:spacing w:before="60" w:after="60" w:line="240" w:lineRule="auto"/>
      </w:pPr>
      <w:r>
        <w:tab/>
      </w:r>
      <m:oMath>
        <m:r>
          <m:t>∇</m:t>
        </m:r>
        <m:r>
          <m:t>⋅</m:t>
        </m:r>
        <m:r>
          <m:t>(</m:t>
        </m:r>
        <m:r>
          <m:rPr>
            <m:sty m:val="b"/>
          </m:rPr>
          <m:t>U</m:t>
        </m:r>
        <m:r>
          <m:t>⊗</m:t>
        </m:r>
        <m:r>
          <m:rPr>
            <m:sty m:val="b"/>
          </m:rPr>
          <m:t>U</m:t>
        </m:r>
        <m:r>
          <m:t>)</m:t>
        </m:r>
        <m:r>
          <m:t>=</m:t>
        </m:r>
        <m:r>
          <m:t>−</m:t>
        </m:r>
        <m:f>
          <m:fPr>
            <m:type m:val="bar"/>
          </m:fPr>
          <m:num>
            <m:r>
              <m:t>1</m:t>
            </m:r>
          </m:num>
          <m:den>
            <m:r>
              <m:t>ρ</m:t>
            </m:r>
          </m:den>
        </m:f>
        <m:r>
          <m:t>∇</m:t>
        </m:r>
        <m:r>
          <m:t>p</m:t>
        </m:r>
        <m:r>
          <m:t>+</m:t>
        </m:r>
        <m:r>
          <m:t>∇</m:t>
        </m:r>
        <m:r>
          <m:t>⋅</m:t>
        </m:r>
        <m:r>
          <m:t>[</m:t>
        </m:r>
        <m:r>
          <m:t>(</m:t>
        </m:r>
        <m:r>
          <m:t>ν</m:t>
        </m:r>
        <m:r>
          <m:t>+</m:t>
        </m:r>
        <m:sSub>
          <m:e>
            <m:r>
              <m:t>ν</m:t>
            </m:r>
          </m:e>
          <m:sub>
            <m:r>
              <m:t>t</m:t>
            </m:r>
          </m:sub>
        </m:sSub>
        <m:r>
          <m:t>)</m:t>
        </m:r>
        <m:r>
          <m:t>(</m:t>
        </m:r>
        <m:r>
          <m:t>∇</m:t>
        </m:r>
        <m:r>
          <m:rPr>
            <m:sty m:val="b"/>
          </m:rPr>
          <m:t>U</m:t>
        </m:r>
        <m:r>
          <m:t>+</m:t>
        </m:r>
        <m:r>
          <m:t>(</m:t>
        </m:r>
        <m:r>
          <m:t>∇</m:t>
        </m:r>
        <m:r>
          <m:rPr>
            <m:sty m:val="b"/>
          </m:rPr>
          <m:t>U</m:t>
        </m:r>
        <m:sSup>
          <m:e>
            <m:r>
              <m:t>)</m:t>
            </m:r>
          </m:e>
          <m:sup>
            <m:r>
              <m:t>⊤</m:t>
            </m:r>
          </m:sup>
        </m:sSup>
        <m:r>
          <m:t>)</m:t>
        </m:r>
        <m:r>
          <m:t>]</m:t>
        </m:r>
      </m:oMath>
      <w:r>
        <w:tab/>
      </w:r>
      <w:r>
        <w:rPr>
          <w:rFonts w:ascii="Times New Roman" w:hAnsi="Times New Roman" w:cs="Times New Roman" w:eastAsia="Batang"/>
          <w:sz w:val="20"/>
        </w:rPr>
        <w:t>(3)</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where U is the mean velocity vector, p is the kinematic pressure (pressure divided by density), ν is the kinematic viscosity (air at 20 °C, ν = 1.5×10⁻⁵ m²/s), and ν_t is the turbulent eddy viscosity.</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Turbulence closure is provided by the k–ω SST model </w:t>
      </w:r>
      <w:r>
        <w:rPr>
          <w:rFonts w:ascii="Times New Roman" w:hAnsi="Times New Roman" w:cs="Times New Roman" w:eastAsia="Batang"/>
          <w:sz w:val="20"/>
          <w:vertAlign w:val="superscript"/>
        </w:rPr>
        <w:t>(28)</w:t>
      </w:r>
      <w:r>
        <w:rPr>
          <w:rFonts w:ascii="Times New Roman" w:hAnsi="Times New Roman" w:cs="Times New Roman" w:eastAsia="Batang"/>
          <w:i w:val="0"/>
          <w:sz w:val="20"/>
        </w:rPr>
        <w:t>, which blends the k–ω formulation near walls with the k–ε formulation in the free stream. The transport equations for the turbulent kinetic energy k and the specific dissipation rate ω are:</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r>
          <m:t>∇</m:t>
        </m:r>
        <m:r>
          <m:t>⋅</m:t>
        </m:r>
        <m:r>
          <m:t>(</m:t>
        </m:r>
        <m:r>
          <m:rPr>
            <m:sty m:val="b"/>
          </m:rPr>
          <m:t>U</m:t>
        </m:r>
        <m:r>
          <m:t>k</m:t>
        </m:r>
        <m:r>
          <m:t>)</m:t>
        </m:r>
        <m:r>
          <m:t>=</m:t>
        </m:r>
        <m:r>
          <m:t>∇</m:t>
        </m:r>
        <m:r>
          <m:t>⋅</m:t>
        </m:r>
        <m:r>
          <m:t>[</m:t>
        </m:r>
        <m:r>
          <m:t>(</m:t>
        </m:r>
        <m:r>
          <m:t>ν</m:t>
        </m:r>
        <m:r>
          <m:t>+</m:t>
        </m:r>
        <m:sSub>
          <m:e>
            <m:r>
              <m:t>σ</m:t>
            </m:r>
          </m:e>
          <m:sub>
            <m:r>
              <m:t>k</m:t>
            </m:r>
          </m:sub>
        </m:sSub>
        <m:sSub>
          <m:e>
            <m:r>
              <m:t>ν</m:t>
            </m:r>
          </m:e>
          <m:sub>
            <m:r>
              <m:t>t</m:t>
            </m:r>
          </m:sub>
        </m:sSub>
        <m:r>
          <m:t>)</m:t>
        </m:r>
        <m:r>
          <m:t>∇</m:t>
        </m:r>
        <m:r>
          <m:t>k</m:t>
        </m:r>
        <m:r>
          <m:t>]</m:t>
        </m:r>
        <m:r>
          <m:t>+</m:t>
        </m:r>
        <m:sSub>
          <m:e>
            <m:r>
              <m:t>P</m:t>
            </m:r>
          </m:e>
          <m:sub>
            <m:r>
              <m:t>k</m:t>
            </m:r>
          </m:sub>
        </m:sSub>
        <m:r>
          <m:t>−</m:t>
        </m:r>
        <m:sSup>
          <m:e>
            <m:r>
              <m:t>β</m:t>
            </m:r>
          </m:e>
          <m:sup>
            <m:r>
              <m:t>*</m:t>
            </m:r>
          </m:sup>
        </m:sSup>
        <m:r>
          <m:t>k</m:t>
        </m:r>
        <m:r>
          <m:t>ω</m:t>
        </m:r>
      </m:oMath>
      <w:r>
        <w:tab/>
      </w:r>
      <w:r>
        <w:rPr>
          <w:rFonts w:ascii="Times New Roman" w:hAnsi="Times New Roman" w:cs="Times New Roman" w:eastAsia="Batang"/>
          <w:sz w:val="20"/>
        </w:rPr>
        <w:t>(4)</w:t>
      </w:r>
    </w:p>
    <w:p>
      <w:pPr>
        <w:numPr>
          <w:ilvl w:val="0"/>
          <w:numId w:val="0"/>
        </w:numPr>
        <w:tabs>
          <w:tab w:pos="4819" w:val="center"/>
          <w:tab w:pos="9566" w:val="right"/>
        </w:tabs>
        <w:spacing w:before="60" w:after="60" w:line="240" w:lineRule="auto"/>
      </w:pPr>
      <w:r>
        <w:tab/>
      </w:r>
      <m:oMath>
        <m:r>
          <m:t>∇</m:t>
        </m:r>
        <m:r>
          <m:t>⋅</m:t>
        </m:r>
        <m:r>
          <m:t>(</m:t>
        </m:r>
        <m:r>
          <m:rPr>
            <m:sty m:val="b"/>
          </m:rPr>
          <m:t>U</m:t>
        </m:r>
        <m:r>
          <m:t>ω</m:t>
        </m:r>
        <m:r>
          <m:t>)</m:t>
        </m:r>
        <m:r>
          <m:t>=</m:t>
        </m:r>
        <m:r>
          <m:t>∇</m:t>
        </m:r>
        <m:r>
          <m:t>⋅</m:t>
        </m:r>
        <m:r>
          <m:t>[</m:t>
        </m:r>
        <m:r>
          <m:t>(</m:t>
        </m:r>
        <m:r>
          <m:t>ν</m:t>
        </m:r>
        <m:r>
          <m:t>+</m:t>
        </m:r>
        <m:sSub>
          <m:e>
            <m:r>
              <m:t>σ</m:t>
            </m:r>
          </m:e>
          <m:sub>
            <m:r>
              <m:t>ω</m:t>
            </m:r>
          </m:sub>
        </m:sSub>
        <m:sSub>
          <m:e>
            <m:r>
              <m:t>ν</m:t>
            </m:r>
          </m:e>
          <m:sub>
            <m:r>
              <m:t>t</m:t>
            </m:r>
          </m:sub>
        </m:sSub>
        <m:r>
          <m:t>)</m:t>
        </m:r>
        <m:r>
          <m:t>∇</m:t>
        </m:r>
        <m:r>
          <m:t>ω</m:t>
        </m:r>
        <m:r>
          <m:t>]</m:t>
        </m:r>
        <m:r>
          <m:t>+</m:t>
        </m:r>
        <m:f>
          <m:fPr>
            <m:type m:val="bar"/>
          </m:fPr>
          <m:num>
            <m:r>
              <m:t>γ</m:t>
            </m:r>
          </m:num>
          <m:den>
            <m:sSub>
              <m:e>
                <m:r>
                  <m:t>ν</m:t>
                </m:r>
              </m:e>
              <m:sub>
                <m:r>
                  <m:t>t</m:t>
                </m:r>
              </m:sub>
            </m:sSub>
          </m:den>
        </m:f>
        <m:sSub>
          <m:e>
            <m:r>
              <m:t>P</m:t>
            </m:r>
          </m:e>
          <m:sub>
            <m:r>
              <m:t>k</m:t>
            </m:r>
          </m:sub>
        </m:sSub>
        <m:r>
          <m:t>−</m:t>
        </m:r>
        <m:r>
          <m:t>β</m:t>
        </m:r>
        <m:sSup>
          <m:e>
            <m:r>
              <m:t>ω</m:t>
            </m:r>
          </m:e>
          <m:sup>
            <m:r>
              <m:t>2</m:t>
            </m:r>
          </m:sup>
        </m:sSup>
        <m:r>
          <m:t>+</m:t>
        </m:r>
        <m:r>
          <m:t>2</m:t>
        </m:r>
        <m:r>
          <m:t>(</m:t>
        </m:r>
        <m:r>
          <m:t>1</m:t>
        </m:r>
        <m:r>
          <m:t>−</m:t>
        </m:r>
        <m:sSub>
          <m:e>
            <m:r>
              <m:t>F</m:t>
            </m:r>
          </m:e>
          <m:sub>
            <m:r>
              <m:t>1</m:t>
            </m:r>
          </m:sub>
        </m:sSub>
        <m:r>
          <m:t>)</m:t>
        </m:r>
        <m:f>
          <m:fPr>
            <m:type m:val="bar"/>
          </m:fPr>
          <m:num>
            <m:sSub>
              <m:e>
                <m:r>
                  <m:t>σ</m:t>
                </m:r>
              </m:e>
              <m:sub>
                <m:r>
                  <m:t>ω</m:t>
                </m:r>
                <m:r>
                  <m:t>2</m:t>
                </m:r>
              </m:sub>
            </m:sSub>
          </m:num>
          <m:den>
            <m:r>
              <m:t>ω</m:t>
            </m:r>
          </m:den>
        </m:f>
        <m:r>
          <m:t>∇</m:t>
        </m:r>
        <m:r>
          <m:t>k</m:t>
        </m:r>
        <m:r>
          <m:t>⋅</m:t>
        </m:r>
        <m:r>
          <m:t>∇</m:t>
        </m:r>
        <m:r>
          <m:t>ω</m:t>
        </m:r>
      </m:oMath>
      <w:r>
        <w:tab/>
      </w:r>
      <w:r>
        <w:rPr>
          <w:rFonts w:ascii="Times New Roman" w:hAnsi="Times New Roman" w:cs="Times New Roman" w:eastAsia="Batang"/>
          <w:sz w:val="20"/>
        </w:rPr>
        <w:t>(5)</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where P_k is the turbulence production term, F₁ is the blending function, and β*, β, γ, σ_k, σ_ω, σ_ω2 are model constants taking their standard values </w:t>
      </w:r>
      <w:r>
        <w:rPr>
          <w:rFonts w:ascii="Times New Roman" w:hAnsi="Times New Roman" w:cs="Times New Roman" w:eastAsia="Batang"/>
          <w:sz w:val="20"/>
          <w:vertAlign w:val="superscript"/>
        </w:rPr>
        <w:t>(28)</w:t>
      </w:r>
      <w:r>
        <w:rPr>
          <w:rFonts w:ascii="Times New Roman" w:hAnsi="Times New Roman" w:cs="Times New Roman" w:eastAsia="Batang"/>
          <w:i w:val="0"/>
          <w:sz w:val="20"/>
        </w:rPr>
        <w:t xml:space="preserve">. The boundary conditions are summarised in Table 1, where the inlet turbulence quantities are specified as k_in = (3/2)(I·U_in)² with turbulence intensity I = 0.05, and ω_in = k_in^(1/2)/(C_μ^(1/4)·l) with mixing length l = 0.07 D_h; wall functions follow </w:t>
      </w:r>
      <w:r>
        <w:rPr>
          <w:rFonts w:ascii="Times New Roman" w:hAnsi="Times New Roman" w:cs="Times New Roman" w:eastAsia="Batang"/>
          <w:sz w:val="20"/>
          <w:vertAlign w:val="superscript"/>
        </w:rPr>
        <w:t>(29)</w:t>
      </w:r>
      <w:r>
        <w:rPr>
          <w:rFonts w:ascii="Times New Roman" w:hAnsi="Times New Roman" w:cs="Times New Roman" w:eastAsia="Batang"/>
          <w:i w:val="0"/>
          <w:sz w:val="20"/>
        </w:rPr>
        <w:t xml:space="preserve">. Here I is the turbulence intensity, D_h is the hydraulic diameter of the inlet, and C_μ = 0.09. </w:t>
      </w:r>
      <w:r>
        <w:rPr>
          <w:rFonts w:ascii="Times New Roman" w:hAnsi="Times New Roman" w:cs="Times New Roman" w:eastAsia="Batang"/>
          <w:i w:val="0"/>
          <w:sz w:val="20"/>
        </w:rPr>
        <w:t>The inlet is prescribed as a fixed uniform velocity U_in normal to the opening, whose magnitude is set by the solver robustness preset described below (0.5, 0.05, 0.02, 0.005, and 0.01 m/s for the baseline, conservative, robust, ultra-robust, and laminar-fallback presets, respectively). Because each predicted case and its reference counterpart are solved with the same preset (Section 5.5), the imposed inlet velocity is identical within every comparison pair; the volumetric flow rate then follows from the respective opening areas. Matching the inlet velocity rather than the volumetric flow rate is a deliberate choice: when the predicted and reference opening areas differ, the two quantities cannot be matched simultaneously, and fixing U_in keeps the inflow momentum scale, and the inlet turbulence quantities derived from it, identical between the paired cases. Flow-field differences within a pair therefore arise from geometry, including any error in the predicted opening size, rather than from the imposed velocity scale.</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1  </w:t>
      </w:r>
      <w:r>
        <w:rPr>
          <w:rFonts w:ascii="Times New Roman" w:hAnsi="Times New Roman" w:cs="Times New Roman" w:eastAsia="Batang"/>
          <w:i w:val="0"/>
          <w:sz w:val="18"/>
        </w:rPr>
        <w:t>Boundary conditions for the RANS simulation.</w:t>
      </w:r>
    </w:p>
    <w:tbl>
      <w:tblPr>
        <w:tblW w:type="auto" w:w="0"/>
        <w:jc w:val="center"/>
        <w:tblLayout w:type="fixed"/>
        <w:tblLook w:firstColumn="1" w:firstRow="1" w:lastColumn="0" w:lastRow="0" w:noHBand="0" w:noVBand="1" w:val="04A0"/>
        <w:tblW w:w="9494" w:type="dxa"/>
      </w:tblPr>
      <w:tblGrid>
        <w:gridCol w:w="1928"/>
        <w:gridCol w:w="1928"/>
        <w:gridCol w:w="1928"/>
        <w:gridCol w:w="1928"/>
        <w:gridCol w:w="1928"/>
      </w:tblGrid>
      <w:tr>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Boundary</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U</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p</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k</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ω</w:t>
            </w:r>
          </w:p>
        </w:tc>
      </w:tr>
      <w:tr>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Inlet</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Fixed velocity U_in</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Zero gradient</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k_in (eq.)</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ω_in (eq.)</w:t>
            </w:r>
          </w:p>
        </w:tc>
      </w:tr>
      <w:tr>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Outlet</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Zero gradient</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p = 0</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Zero gradient</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Zero gradient</w:t>
            </w:r>
          </w:p>
        </w:tc>
      </w:tr>
      <w:tr>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Walls</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No-slip</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Zero gradient</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Wall function</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Wall function</w:t>
            </w:r>
          </w:p>
        </w:tc>
      </w:tr>
    </w:tbl>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A tetrahedral mesh is generated using Gmsh </w:t>
      </w:r>
      <w:r>
        <w:rPr>
          <w:rFonts w:ascii="Times New Roman" w:hAnsi="Times New Roman" w:cs="Times New Roman" w:eastAsia="Batang"/>
          <w:sz w:val="20"/>
          <w:vertAlign w:val="superscript"/>
        </w:rPr>
        <w:t>(30)</w:t>
      </w:r>
      <w:r>
        <w:rPr>
          <w:rFonts w:ascii="Times New Roman" w:hAnsi="Times New Roman" w:cs="Times New Roman" w:eastAsia="Batang"/>
          <w:i w:val="0"/>
          <w:sz w:val="20"/>
        </w:rPr>
        <w:t xml:space="preserve"> with a target cell size of 0.18 m, yielding approximately 37,000 to 105,000 cells depending on the room dimensions. A grid independence study (Section 5.7) confirmed that the 0.18 m resolution produces approximately converged bulk flow quantities: for the representative simple-geometry case, the domain-averaged velocity magnitude changes by less than 2% upon further refinement to 0.10 m. Nevertheless, near-wall resolution remains limited and the wall-function approach operates at elevated y⁺ values; the resulting solutions should be interpreted as engineering-level screening estimates rather than high-fidelity resolved simulations.</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The equations are solved using the SIMPLE algorithm </w:t>
      </w:r>
      <w:r>
        <w:rPr>
          <w:rFonts w:ascii="Times New Roman" w:hAnsi="Times New Roman" w:cs="Times New Roman" w:eastAsia="Batang"/>
          <w:sz w:val="20"/>
          <w:vertAlign w:val="superscript"/>
        </w:rPr>
        <w:t>(31)</w:t>
      </w:r>
      <w:r>
        <w:rPr>
          <w:rFonts w:ascii="Times New Roman" w:hAnsi="Times New Roman" w:cs="Times New Roman" w:eastAsia="Batang"/>
          <w:i w:val="0"/>
          <w:sz w:val="20"/>
        </w:rPr>
        <w:t xml:space="preserve"> implemented in OpenFOAM's simpleFoam solver </w:t>
      </w:r>
      <w:r>
        <w:rPr>
          <w:rFonts w:ascii="Times New Roman" w:hAnsi="Times New Roman" w:cs="Times New Roman" w:eastAsia="Batang"/>
          <w:sz w:val="20"/>
          <w:vertAlign w:val="superscript"/>
        </w:rPr>
        <w:t>(5)</w:t>
      </w:r>
      <w:r>
        <w:rPr>
          <w:rFonts w:ascii="Times New Roman" w:hAnsi="Times New Roman" w:cs="Times New Roman" w:eastAsia="Batang"/>
          <w:i w:val="0"/>
          <w:sz w:val="20"/>
        </w:rPr>
        <w:t>. A multi-level robustness strategy is employed to handle cases where the default solver settings fail to converge. The mesh resolution ladder proceeds through 0.18, 0.25, and 0.35 m cell sizes (coarsening on failure), and at each resolution the solver attempts up to five preset configurations of progressively reduced inlet velocity and relaxation factors, including a laminar fallback that disables the turbulence model entirely. This escalation produces a converged solution for the large majority of cases (97 of 100 in the benchmark), though at varying levels of resolution and modelling fidelity; the remaining 3 cases fail due to non-physical predicted geometries that no solver configuration can stabilise. In the fifth stage, the predicted flow field is compared against the independently computed reference solution to produce structural and reference CFD agreement scores.</w:t>
      </w:r>
    </w:p>
    <w:p>
      <w:pPr>
        <w:pStyle w:val="af7"/>
        <w:numPr>
          <w:ilvl w:val="0"/>
          <w:numId w:val="0"/>
        </w:numPr>
        <w:spacing w:before="160" w:after="80"/>
        <w:jc w:val="left"/>
      </w:pPr>
      <w:r>
        <w:rPr>
          <w:rFonts w:ascii="Times New Roman" w:hAnsi="Times New Roman" w:cs="Times New Roman" w:eastAsia="Batang"/>
          <w:b/>
          <w:sz w:val="21"/>
        </w:rPr>
        <w:t>2.3 Evaluation metrics</w:t>
      </w:r>
    </w:p>
    <w:p>
      <w:pPr>
        <w:pStyle w:val="a1"/>
        <w:numPr>
          <w:ilvl w:val="0"/>
          <w:numId w:val="0"/>
        </w:numPr>
        <w:spacing w:after="80" w:line="276" w:lineRule="auto"/>
        <w:ind w:firstLine="230"/>
        <w:jc w:val="both"/>
      </w:pPr>
      <w:r>
        <w:rPr>
          <w:rFonts w:ascii="Times New Roman" w:hAnsi="Times New Roman" w:cs="Times New Roman" w:eastAsia="Batang"/>
          <w:i w:val="0"/>
          <w:sz w:val="20"/>
        </w:rPr>
        <w:t>The evaluation framework produces two complementary scores that capture different aspects of prediction quality: a structural score that measures geometric fidelity, and a reference CFD agreement score that measures flow-field similarity.</w:t>
      </w:r>
    </w:p>
    <w:p>
      <w:pPr>
        <w:pStyle w:val="a2"/>
        <w:numPr>
          <w:ilvl w:val="0"/>
          <w:numId w:val="0"/>
        </w:numPr>
        <w:spacing w:before="120" w:after="60"/>
        <w:jc w:val="left"/>
      </w:pPr>
      <w:r>
        <w:rPr>
          <w:rFonts w:ascii="Times New Roman" w:hAnsi="Times New Roman" w:cs="Times New Roman" w:eastAsia="Batang"/>
          <w:b/>
          <w:i/>
          <w:sz w:val="20"/>
        </w:rPr>
        <w:t>2.3.1 Structural score</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The structural score quantifies the geometric similarity between the predicted and reference 3D scenes. It is computed as the unweighted arithmetic mean of four components, each ranging from 0 (no match) to 1 (perfect match). </w:t>
      </w:r>
      <w:r>
        <w:rPr>
          <w:rFonts w:ascii="Times New Roman" w:hAnsi="Times New Roman" w:cs="Times New Roman" w:eastAsia="Batang"/>
          <w:i/>
          <w:sz w:val="20"/>
        </w:rPr>
        <w:t>Component (i): Room block F1 (IoU ≥ 0.2).</w:t>
      </w:r>
      <w:r>
        <w:rPr>
          <w:rFonts w:ascii="Times New Roman" w:hAnsi="Times New Roman" w:cs="Times New Roman" w:eastAsia="Batang"/>
          <w:i w:val="0"/>
          <w:sz w:val="20"/>
        </w:rPr>
        <w:t xml:space="preserve"> A greedy bounding-box matching algorithm pairs each predicted room block with the reference block maximising their 3D IoU; pairs below 0.2 are rejected, and the F1 score is computed from the resulting true-positive, false-positive, and false-negative counts. </w:t>
      </w:r>
      <w:r>
        <w:rPr>
          <w:rFonts w:ascii="Times New Roman" w:hAnsi="Times New Roman" w:cs="Times New Roman" w:eastAsia="Batang"/>
          <w:i w:val="0"/>
          <w:sz w:val="20"/>
        </w:rPr>
        <w:t xml:space="preserve">The 0.2 threshold is chosen with reference to indoor 3D object detection benchmarks, which conventionally evaluate detections at an IoU of 0.25 </w:t>
      </w:r>
      <w:r>
        <w:rPr>
          <w:rFonts w:ascii="Times New Roman" w:hAnsi="Times New Roman" w:cs="Times New Roman" w:eastAsia="Batang"/>
          <w:sz w:val="20"/>
          <w:vertAlign w:val="superscript"/>
        </w:rPr>
        <w:t>(32,33,34)</w:t>
      </w:r>
      <w:r>
        <w:rPr>
          <w:rFonts w:ascii="Times New Roman" w:hAnsi="Times New Roman" w:cs="Times New Roman" w:eastAsia="Batang"/>
          <w:i w:val="0"/>
          <w:sz w:val="20"/>
        </w:rPr>
        <w:t>.</w:t>
      </w:r>
      <w:r>
        <w:rPr>
          <w:rFonts w:ascii="Times New Roman" w:hAnsi="Times New Roman" w:cs="Times New Roman" w:eastAsia="Batang"/>
          <w:i w:val="0"/>
          <w:sz w:val="20"/>
        </w:rPr>
        <w:t xml:space="preserve"> </w:t>
      </w:r>
      <w:r>
        <w:rPr>
          <w:rFonts w:ascii="Times New Roman" w:hAnsi="Times New Roman" w:cs="Times New Roman" w:eastAsia="Batang"/>
          <w:i/>
          <w:sz w:val="20"/>
        </w:rPr>
        <w:t>Component (ii): Obstacle F1 (IoU ≥ 0.1).</w:t>
      </w:r>
      <w:r>
        <w:rPr>
          <w:rFonts w:ascii="Times New Roman" w:hAnsi="Times New Roman" w:cs="Times New Roman" w:eastAsia="Batang"/>
          <w:i w:val="0"/>
          <w:sz w:val="20"/>
        </w:rPr>
        <w:t xml:space="preserve"> The same greedy matching is applied to obstacle bounding boxes at a lower IoU threshold of 0.1, </w:t>
      </w:r>
      <w:r>
        <w:rPr>
          <w:rFonts w:ascii="Times New Roman" w:hAnsi="Times New Roman" w:cs="Times New Roman" w:eastAsia="Batang"/>
          <w:i w:val="0"/>
          <w:sz w:val="20"/>
        </w:rPr>
        <w:t xml:space="preserve">a deliberately lenient criterion relative to the 0.25 IoU convention </w:t>
      </w:r>
      <w:r>
        <w:rPr>
          <w:rFonts w:ascii="Times New Roman" w:hAnsi="Times New Roman" w:cs="Times New Roman" w:eastAsia="Batang"/>
          <w:sz w:val="20"/>
          <w:vertAlign w:val="superscript"/>
        </w:rPr>
        <w:t>(32)</w:t>
      </w:r>
      <w:r>
        <w:rPr>
          <w:rFonts w:ascii="Times New Roman" w:hAnsi="Times New Roman" w:cs="Times New Roman" w:eastAsia="Batang"/>
          <w:i w:val="0"/>
          <w:sz w:val="20"/>
        </w:rPr>
        <w:t>, reflecting that furniture-scale objects must be inferred from a single view without depth information; Appendix B reports the sensitivity of the structural score to both thresholds</w:t>
      </w:r>
      <w:r>
        <w:rPr>
          <w:rFonts w:ascii="Times New Roman" w:hAnsi="Times New Roman" w:cs="Times New Roman" w:eastAsia="Batang"/>
          <w:i w:val="0"/>
          <w:sz w:val="20"/>
        </w:rPr>
        <w:t xml:space="preserve">. </w:t>
      </w:r>
      <w:r>
        <w:rPr>
          <w:rFonts w:ascii="Times New Roman" w:hAnsi="Times New Roman" w:cs="Times New Roman" w:eastAsia="Batang"/>
          <w:i/>
          <w:sz w:val="20"/>
        </w:rPr>
        <w:t>Component (iii): Opening type F1.</w:t>
      </w:r>
      <w:r>
        <w:rPr>
          <w:rFonts w:ascii="Times New Roman" w:hAnsi="Times New Roman" w:cs="Times New Roman" w:eastAsia="Batang"/>
          <w:i w:val="0"/>
          <w:sz w:val="20"/>
        </w:rPr>
        <w:t xml:space="preserve"> F1 score measuring how accurately the VLM classifies each ventilation opening as inlet or outlet. </w:t>
      </w:r>
      <w:r>
        <w:rPr>
          <w:rFonts w:ascii="Times New Roman" w:hAnsi="Times New Roman" w:cs="Times New Roman" w:eastAsia="Batang"/>
          <w:i/>
          <w:sz w:val="20"/>
        </w:rPr>
        <w:t>Component (iv): Opening wall match ratio.</w:t>
      </w:r>
      <w:r>
        <w:rPr>
          <w:rFonts w:ascii="Times New Roman" w:hAnsi="Times New Roman" w:cs="Times New Roman" w:eastAsia="Batang"/>
          <w:i w:val="0"/>
          <w:sz w:val="20"/>
        </w:rPr>
        <w:t xml:space="preserve"> For each correctly typed opening, checks whether it is assigned to the correct wall (north, south, east, west, floor, or ceiling), testing spatial reasoning independent of absolute dimensions. The overall structural score is:</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sSub>
          <m:e>
            <m:r>
              <m:t>S</m:t>
            </m:r>
          </m:e>
          <m:sub>
            <m:r>
              <m:rPr>
                <m:sty m:val="p"/>
              </m:rPr>
              <m:t>s</m:t>
            </m:r>
            <m:r>
              <m:rPr>
                <m:sty m:val="p"/>
              </m:rPr>
              <m:t>t</m:t>
            </m:r>
            <m:r>
              <m:rPr>
                <m:sty m:val="p"/>
              </m:rPr>
              <m:t>r</m:t>
            </m:r>
            <m:r>
              <m:rPr>
                <m:sty m:val="p"/>
              </m:rPr>
              <m:t>u</m:t>
            </m:r>
            <m:r>
              <m:rPr>
                <m:sty m:val="p"/>
              </m:rPr>
              <m:t>c</m:t>
            </m:r>
            <m:r>
              <m:rPr>
                <m:sty m:val="p"/>
              </m:rPr>
              <m:t>t</m:t>
            </m:r>
            <m:r>
              <m:rPr>
                <m:sty m:val="p"/>
              </m:rPr>
              <m:t>u</m:t>
            </m:r>
            <m:r>
              <m:rPr>
                <m:sty m:val="p"/>
              </m:rPr>
              <m:t>r</m:t>
            </m:r>
            <m:r>
              <m:rPr>
                <m:sty m:val="p"/>
              </m:rPr>
              <m:t>a</m:t>
            </m:r>
            <m:r>
              <m:rPr>
                <m:sty m:val="p"/>
              </m:rPr>
              <m:t>l</m:t>
            </m:r>
          </m:sub>
        </m:sSub>
        <m:r>
          <m:t>=</m:t>
        </m:r>
        <m:f>
          <m:fPr>
            <m:type m:val="bar"/>
          </m:fPr>
          <m:num>
            <m:r>
              <m:t>1</m:t>
            </m:r>
          </m:num>
          <m:den>
            <m:r>
              <m:t>4</m:t>
            </m:r>
          </m:den>
        </m:f>
        <m:r>
          <m:t>(</m:t>
        </m:r>
        <m:sSub>
          <m:e>
            <m:r>
              <m:t>F</m:t>
            </m:r>
          </m:e>
          <m:sub>
            <m:r>
              <m:t>1</m:t>
            </m:r>
            <m:r>
              <m:t>,</m:t>
            </m:r>
            <m:r>
              <m:rPr>
                <m:sty m:val="p"/>
              </m:rPr>
              <m:t>r</m:t>
            </m:r>
            <m:r>
              <m:rPr>
                <m:sty m:val="p"/>
              </m:rPr>
              <m:t>o</m:t>
            </m:r>
            <m:r>
              <m:rPr>
                <m:sty m:val="p"/>
              </m:rPr>
              <m:t>o</m:t>
            </m:r>
            <m:r>
              <m:rPr>
                <m:sty m:val="p"/>
              </m:rPr>
              <m:t>m</m:t>
            </m:r>
          </m:sub>
        </m:sSub>
        <m:r>
          <m:t>+</m:t>
        </m:r>
        <m:sSub>
          <m:e>
            <m:r>
              <m:t>F</m:t>
            </m:r>
          </m:e>
          <m:sub>
            <m:r>
              <m:t>1</m:t>
            </m:r>
            <m:r>
              <m:t>,</m:t>
            </m:r>
            <m:r>
              <m:rPr>
                <m:sty m:val="p"/>
              </m:rPr>
              <m:t>o</m:t>
            </m:r>
            <m:r>
              <m:rPr>
                <m:sty m:val="p"/>
              </m:rPr>
              <m:t>b</m:t>
            </m:r>
            <m:r>
              <m:rPr>
                <m:sty m:val="p"/>
              </m:rPr>
              <m:t>s</m:t>
            </m:r>
            <m:r>
              <m:rPr>
                <m:sty m:val="p"/>
              </m:rPr>
              <m:t>t</m:t>
            </m:r>
          </m:sub>
        </m:sSub>
        <m:r>
          <m:t>+</m:t>
        </m:r>
        <m:sSub>
          <m:e>
            <m:r>
              <m:t>F</m:t>
            </m:r>
          </m:e>
          <m:sub>
            <m:r>
              <m:t>1</m:t>
            </m:r>
            <m:r>
              <m:t>,</m:t>
            </m:r>
            <m:r>
              <m:rPr>
                <m:sty m:val="p"/>
              </m:rPr>
              <m:t>t</m:t>
            </m:r>
            <m:r>
              <m:rPr>
                <m:sty m:val="p"/>
              </m:rPr>
              <m:t>y</m:t>
            </m:r>
            <m:r>
              <m:rPr>
                <m:sty m:val="p"/>
              </m:rPr>
              <m:t>p</m:t>
            </m:r>
            <m:r>
              <m:rPr>
                <m:sty m:val="p"/>
              </m:rPr>
              <m:t>e</m:t>
            </m:r>
          </m:sub>
        </m:sSub>
        <m:r>
          <m:t>+</m:t>
        </m:r>
        <m:sSub>
          <m:e>
            <m:r>
              <m:t>r</m:t>
            </m:r>
          </m:e>
          <m:sub>
            <m:r>
              <m:rPr>
                <m:sty m:val="p"/>
              </m:rPr>
              <m:t>w</m:t>
            </m:r>
            <m:r>
              <m:rPr>
                <m:sty m:val="p"/>
              </m:rPr>
              <m:t>a</m:t>
            </m:r>
            <m:r>
              <m:rPr>
                <m:sty m:val="p"/>
              </m:rPr>
              <m:t>l</m:t>
            </m:r>
            <m:r>
              <m:rPr>
                <m:sty m:val="p"/>
              </m:rPr>
              <m:t>l</m:t>
            </m:r>
          </m:sub>
        </m:sSub>
        <m:r>
          <m:t>)</m:t>
        </m:r>
      </m:oMath>
      <w:r>
        <w:tab/>
      </w:r>
      <w:r>
        <w:rPr>
          <w:rFonts w:ascii="Times New Roman" w:hAnsi="Times New Roman" w:cs="Times New Roman" w:eastAsia="Batang"/>
          <w:sz w:val="20"/>
        </w:rPr>
        <w:t>(6)</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Components (i) and (ii) are dimension-dependent and benefit from scale calibration; components (iii) and (iv) are topology-dependent and reflect the VLM's spatial reasoning independent of absolute dimensions. </w:t>
      </w:r>
      <w:r>
        <w:rPr>
          <w:rFonts w:ascii="Times New Roman" w:hAnsi="Times New Roman" w:cs="Times New Roman" w:eastAsia="Batang"/>
          <w:i w:val="0"/>
          <w:sz w:val="20"/>
        </w:rPr>
        <w:t>Because the benchmark specifies exactly one inlet and one outlet per case (Section 3.1), component (iii) is non-discriminative within this benchmark: it equals 1.0 for any prediction that respects the one-inlet/one-outlet schema. It is retained in the four-component score for consistency with the general schema, in which opening-type errors are possible; Section 4.1 reports aggregate scores both with and without this component so that its contribution is explicit.</w:t>
      </w:r>
    </w:p>
    <w:p>
      <w:pPr>
        <w:pStyle w:val="a2"/>
        <w:numPr>
          <w:ilvl w:val="0"/>
          <w:numId w:val="0"/>
        </w:numPr>
        <w:spacing w:before="120" w:after="60"/>
        <w:jc w:val="left"/>
      </w:pPr>
      <w:r>
        <w:rPr>
          <w:rFonts w:ascii="Times New Roman" w:hAnsi="Times New Roman" w:cs="Times New Roman" w:eastAsia="Batang"/>
          <w:b/>
          <w:i/>
          <w:sz w:val="20"/>
        </w:rPr>
        <w:t>2.3.2 Reference CFD agreement score</w:t>
      </w:r>
    </w:p>
    <w:p>
      <w:pPr>
        <w:pStyle w:val="a1"/>
        <w:numPr>
          <w:ilvl w:val="0"/>
          <w:numId w:val="0"/>
        </w:numPr>
        <w:spacing w:after="80" w:line="276" w:lineRule="auto"/>
        <w:ind w:firstLine="230"/>
        <w:jc w:val="both"/>
      </w:pPr>
      <w:r>
        <w:rPr>
          <w:rFonts w:ascii="Times New Roman" w:hAnsi="Times New Roman" w:cs="Times New Roman" w:eastAsia="Batang"/>
          <w:i w:val="0"/>
          <w:sz w:val="20"/>
        </w:rPr>
        <w:t>The reference CFD agreement score quantifies the similarity between the predicted and reference steady-state flow fields. Because the predicted and reference geometries generally differ, a direct cell-by-cell comparison is not possible. Instead, both flow fields are sampled onto a common normalised lattice of 18 × 18 × 10 points in room-relative coordinates, with epsilon margins (5%, 5%, 8%) from each boundary to avoid wall-adjacent sampling artefacts. Only lattice points that fall within both the reference and predicted computational domains (the spatial overlap region) are compared. The score is the unweighted arithmetic mean of four components, each fixed at exactly four terms regardless of data availability (a component scores 0.0 when its field data are unavailable).</w:t>
      </w:r>
    </w:p>
    <w:p>
      <w:pPr>
        <w:pStyle w:val="a1"/>
        <w:numPr>
          <w:ilvl w:val="0"/>
          <w:numId w:val="0"/>
        </w:numPr>
        <w:spacing w:after="80" w:line="276" w:lineRule="auto"/>
        <w:ind w:firstLine="230"/>
        <w:jc w:val="both"/>
      </w:pPr>
      <w:r>
        <w:rPr>
          <w:rFonts w:ascii="Times New Roman" w:hAnsi="Times New Roman" w:cs="Times New Roman" w:eastAsia="Batang"/>
          <w:i/>
          <w:sz w:val="20"/>
        </w:rPr>
        <w:t>Component (i): Overlap ratio.</w:t>
      </w:r>
      <w:r>
        <w:rPr>
          <w:rFonts w:ascii="Times New Roman" w:hAnsi="Times New Roman" w:cs="Times New Roman" w:eastAsia="Batang"/>
          <w:i w:val="0"/>
          <w:sz w:val="20"/>
        </w:rPr>
        <w:t xml:space="preserve"> Jaccard-style intersection-over-union of valid lattice points in the two domains. </w:t>
      </w:r>
      <w:r>
        <w:rPr>
          <w:rFonts w:ascii="Times New Roman" w:hAnsi="Times New Roman" w:cs="Times New Roman" w:eastAsia="Batang"/>
          <w:i/>
          <w:sz w:val="20"/>
        </w:rPr>
        <w:t>Component (ii): Velocity magnitude similarity.</w:t>
      </w:r>
      <w:r>
        <w:rPr>
          <w:rFonts w:ascii="Times New Roman" w:hAnsi="Times New Roman" w:cs="Times New Roman" w:eastAsia="Batang"/>
          <w:i w:val="0"/>
          <w:sz w:val="20"/>
        </w:rPr>
        <w:t xml:space="preserve"> Normalised RMSE of speed over the overlap region, with an RMS floor of 10⁻⁶ m/s. </w:t>
      </w:r>
      <w:r>
        <w:rPr>
          <w:rFonts w:ascii="Times New Roman" w:hAnsi="Times New Roman" w:cs="Times New Roman" w:eastAsia="Batang"/>
          <w:i/>
          <w:sz w:val="20"/>
        </w:rPr>
        <w:t>Component (iii): Velocity direction similarity.</w:t>
      </w:r>
      <w:r>
        <w:rPr>
          <w:rFonts w:ascii="Times New Roman" w:hAnsi="Times New Roman" w:cs="Times New Roman" w:eastAsia="Batang"/>
          <w:i w:val="0"/>
          <w:sz w:val="20"/>
        </w:rPr>
        <w:t xml:space="preserve"> Mean cosine similarity between reference and predicted velocity vectors, mapped to </w:t>
      </w:r>
      <w:r>
        <w:rPr>
          <w:rFonts w:ascii="Times New Roman" w:hAnsi="Times New Roman" w:cs="Times New Roman" w:eastAsia="Batang"/>
          <w:sz w:val="20"/>
          <w:vertAlign w:val="superscript"/>
        </w:rPr>
        <w:t>(0,1)</w:t>
      </w:r>
      <w:r>
        <w:rPr>
          <w:rFonts w:ascii="Times New Roman" w:hAnsi="Times New Roman" w:cs="Times New Roman" w:eastAsia="Batang"/>
          <w:i w:val="0"/>
          <w:sz w:val="20"/>
        </w:rPr>
        <w:t xml:space="preserve">; points with speed below 10⁻⁸ m/s are excluded. </w:t>
      </w:r>
      <w:r>
        <w:rPr>
          <w:rFonts w:ascii="Times New Roman" w:hAnsi="Times New Roman" w:cs="Times New Roman" w:eastAsia="Batang"/>
          <w:i/>
          <w:sz w:val="20"/>
        </w:rPr>
        <w:t>Component (iv): Pressure similarity.</w:t>
      </w:r>
      <w:r>
        <w:rPr>
          <w:rFonts w:ascii="Times New Roman" w:hAnsi="Times New Roman" w:cs="Times New Roman" w:eastAsia="Batang"/>
          <w:i w:val="0"/>
          <w:sz w:val="20"/>
        </w:rPr>
        <w:t xml:space="preserve"> Identical formulation to velocity magnitude similarity applied to the gauge-corrected kinematic pressure field. The overall reference CFD agreement score is:</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sSub>
          <m:e>
            <m:r>
              <m:t>S</m:t>
            </m:r>
          </m:e>
          <m:sub>
            <m:r>
              <m:rPr>
                <m:sty m:val="p"/>
              </m:rPr>
              <m:t>C</m:t>
            </m:r>
            <m:r>
              <m:rPr>
                <m:sty m:val="p"/>
              </m:rPr>
              <m:t>F</m:t>
            </m:r>
            <m:r>
              <m:rPr>
                <m:sty m:val="p"/>
              </m:rPr>
              <m:t>D</m:t>
            </m:r>
          </m:sub>
        </m:sSub>
        <m:r>
          <m:t>=</m:t>
        </m:r>
        <m:f>
          <m:fPr>
            <m:type m:val="bar"/>
          </m:fPr>
          <m:num>
            <m:r>
              <m:t>1</m:t>
            </m:r>
          </m:num>
          <m:den>
            <m:r>
              <m:t>4</m:t>
            </m:r>
          </m:den>
        </m:f>
        <m:r>
          <m:t>(</m:t>
        </m:r>
        <m:sSub>
          <m:e>
            <m:r>
              <m:t>r</m:t>
            </m:r>
          </m:e>
          <m:sub>
            <m:r>
              <m:rPr>
                <m:sty m:val="p"/>
              </m:rPr>
              <m:t>o</m:t>
            </m:r>
            <m:r>
              <m:rPr>
                <m:sty m:val="p"/>
              </m:rPr>
              <m:t>v</m:t>
            </m:r>
            <m:r>
              <m:rPr>
                <m:sty m:val="p"/>
              </m:rPr>
              <m:t>e</m:t>
            </m:r>
            <m:r>
              <m:rPr>
                <m:sty m:val="p"/>
              </m:rPr>
              <m:t>r</m:t>
            </m:r>
            <m:r>
              <m:rPr>
                <m:sty m:val="p"/>
              </m:rPr>
              <m:t>l</m:t>
            </m:r>
            <m:r>
              <m:rPr>
                <m:sty m:val="p"/>
              </m:rPr>
              <m:t>a</m:t>
            </m:r>
            <m:r>
              <m:rPr>
                <m:sty m:val="p"/>
              </m:rPr>
              <m:t>p</m:t>
            </m:r>
          </m:sub>
        </m:sSub>
        <m:r>
          <m:t>+</m:t>
        </m:r>
        <m:sSub>
          <m:e>
            <m:r>
              <m:t>s</m:t>
            </m:r>
          </m:e>
          <m:sub>
            <m:r>
              <m:t>|</m:t>
            </m:r>
            <m:r>
              <m:t>U</m:t>
            </m:r>
            <m:r>
              <m:t>|</m:t>
            </m:r>
          </m:sub>
        </m:sSub>
        <m:r>
          <m:t>+</m:t>
        </m:r>
        <m:sSub>
          <m:e>
            <m:r>
              <m:t>s</m:t>
            </m:r>
          </m:e>
          <m:sub>
            <m:r>
              <m:rPr>
                <m:sty m:val="p"/>
              </m:rPr>
              <m:t>d</m:t>
            </m:r>
            <m:r>
              <m:rPr>
                <m:sty m:val="p"/>
              </m:rPr>
              <m:t>i</m:t>
            </m:r>
            <m:r>
              <m:rPr>
                <m:sty m:val="p"/>
              </m:rPr>
              <m:t>r</m:t>
            </m:r>
          </m:sub>
        </m:sSub>
        <m:r>
          <m:t>+</m:t>
        </m:r>
        <m:sSub>
          <m:e>
            <m:r>
              <m:t>s</m:t>
            </m:r>
          </m:e>
          <m:sub>
            <m:r>
              <m:t>p</m:t>
            </m:r>
          </m:sub>
        </m:sSub>
        <m:r>
          <m:t>)</m:t>
        </m:r>
      </m:oMath>
      <w:r>
        <w:tab/>
      </w:r>
      <w:r>
        <w:rPr>
          <w:rFonts w:ascii="Times New Roman" w:hAnsi="Times New Roman" w:cs="Times New Roman" w:eastAsia="Batang"/>
          <w:sz w:val="20"/>
        </w:rPr>
        <w:t>(7)</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where the individual components are defined as:</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sSub>
          <m:e>
            <m:r>
              <m:t>r</m:t>
            </m:r>
          </m:e>
          <m:sub>
            <m:r>
              <m:rPr>
                <m:sty m:val="p"/>
              </m:rPr>
              <m:t>o</m:t>
            </m:r>
            <m:r>
              <m:rPr>
                <m:sty m:val="p"/>
              </m:rPr>
              <m:t>v</m:t>
            </m:r>
            <m:r>
              <m:rPr>
                <m:sty m:val="p"/>
              </m:rPr>
              <m:t>e</m:t>
            </m:r>
            <m:r>
              <m:rPr>
                <m:sty m:val="p"/>
              </m:rPr>
              <m:t>r</m:t>
            </m:r>
            <m:r>
              <m:rPr>
                <m:sty m:val="p"/>
              </m:rPr>
              <m:t>l</m:t>
            </m:r>
            <m:r>
              <m:rPr>
                <m:sty m:val="p"/>
              </m:rPr>
              <m:t>a</m:t>
            </m:r>
            <m:r>
              <m:rPr>
                <m:sty m:val="p"/>
              </m:rPr>
              <m:t>p</m:t>
            </m:r>
          </m:sub>
        </m:sSub>
        <m:r>
          <m:t>=</m:t>
        </m:r>
        <m:f>
          <m:fPr>
            <m:type m:val="bar"/>
          </m:fPr>
          <m:num>
            <m:r>
              <m:t>|</m:t>
            </m:r>
            <m:r>
              <m:rPr>
                <m:sty m:val="p"/>
                <m:scr m:val="script"/>
              </m:rPr>
              <m:t>I</m:t>
            </m:r>
            <m:r>
              <m:t>|</m:t>
            </m:r>
          </m:num>
          <m:den>
            <m:r>
              <m:t>|</m:t>
            </m:r>
            <m:r>
              <m:rPr>
                <m:sty m:val="p"/>
                <m:scr m:val="script"/>
              </m:rPr>
              <m:t>U</m:t>
            </m:r>
            <m:r>
              <m:t>|</m:t>
            </m:r>
          </m:den>
        </m:f>
        <m:r>
          <m:t>,</m:t>
        </m:r>
        <m:r>
          <m:t> </m:t>
        </m:r>
        <m:r>
          <m:rPr>
            <m:sty m:val="p"/>
            <m:scr m:val="script"/>
          </m:rPr>
          <m:t>I</m:t>
        </m:r>
        <m:r>
          <m:t>=</m:t>
        </m:r>
        <m:sSub>
          <m:e>
            <m:r>
              <m:rPr>
                <m:sty m:val="p"/>
                <m:scr m:val="script"/>
              </m:rPr>
              <m:t>V</m:t>
            </m:r>
          </m:e>
          <m:sub>
            <m:r>
              <m:rPr>
                <m:sty m:val="p"/>
              </m:rPr>
              <m:t>r</m:t>
            </m:r>
            <m:r>
              <m:rPr>
                <m:sty m:val="p"/>
              </m:rPr>
              <m:t>e</m:t>
            </m:r>
            <m:r>
              <m:rPr>
                <m:sty m:val="p"/>
              </m:rPr>
              <m:t>f</m:t>
            </m:r>
          </m:sub>
        </m:sSub>
        <m:r>
          <m:t>∩</m:t>
        </m:r>
        <m:sSub>
          <m:e>
            <m:r>
              <m:rPr>
                <m:sty m:val="p"/>
                <m:scr m:val="script"/>
              </m:rPr>
              <m:t>V</m:t>
            </m:r>
          </m:e>
          <m:sub>
            <m:r>
              <m:rPr>
                <m:sty m:val="p"/>
              </m:rPr>
              <m:t>p</m:t>
            </m:r>
            <m:r>
              <m:rPr>
                <m:sty m:val="p"/>
              </m:rPr>
              <m:t>r</m:t>
            </m:r>
            <m:r>
              <m:rPr>
                <m:sty m:val="p"/>
              </m:rPr>
              <m:t>e</m:t>
            </m:r>
            <m:r>
              <m:rPr>
                <m:sty m:val="p"/>
              </m:rPr>
              <m:t>d</m:t>
            </m:r>
          </m:sub>
        </m:sSub>
        <m:r>
          <m:t>,</m:t>
        </m:r>
        <m:r>
          <m:t> </m:t>
        </m:r>
        <m:r>
          <m:rPr>
            <m:sty m:val="p"/>
            <m:scr m:val="script"/>
          </m:rPr>
          <m:t>U</m:t>
        </m:r>
        <m:r>
          <m:t>=</m:t>
        </m:r>
        <m:sSub>
          <m:e>
            <m:r>
              <m:rPr>
                <m:sty m:val="p"/>
                <m:scr m:val="script"/>
              </m:rPr>
              <m:t>V</m:t>
            </m:r>
          </m:e>
          <m:sub>
            <m:r>
              <m:rPr>
                <m:sty m:val="p"/>
              </m:rPr>
              <m:t>r</m:t>
            </m:r>
            <m:r>
              <m:rPr>
                <m:sty m:val="p"/>
              </m:rPr>
              <m:t>e</m:t>
            </m:r>
            <m:r>
              <m:rPr>
                <m:sty m:val="p"/>
              </m:rPr>
              <m:t>f</m:t>
            </m:r>
          </m:sub>
        </m:sSub>
        <m:r>
          <m:t>∪</m:t>
        </m:r>
        <m:sSub>
          <m:e>
            <m:r>
              <m:rPr>
                <m:sty m:val="p"/>
                <m:scr m:val="script"/>
              </m:rPr>
              <m:t>V</m:t>
            </m:r>
          </m:e>
          <m:sub>
            <m:r>
              <m:rPr>
                <m:sty m:val="p"/>
              </m:rPr>
              <m:t>p</m:t>
            </m:r>
            <m:r>
              <m:rPr>
                <m:sty m:val="p"/>
              </m:rPr>
              <m:t>r</m:t>
            </m:r>
            <m:r>
              <m:rPr>
                <m:sty m:val="p"/>
              </m:rPr>
              <m:t>e</m:t>
            </m:r>
            <m:r>
              <m:rPr>
                <m:sty m:val="p"/>
              </m:rPr>
              <m:t>d</m:t>
            </m:r>
          </m:sub>
        </m:sSub>
      </m:oMath>
      <w:r>
        <w:tab/>
      </w:r>
      <w:r>
        <w:rPr>
          <w:rFonts w:ascii="Times New Roman" w:hAnsi="Times New Roman" w:cs="Times New Roman" w:eastAsia="Batang"/>
          <w:sz w:val="20"/>
        </w:rPr>
        <w:t>(8)</w:t>
      </w:r>
    </w:p>
    <w:p>
      <w:pPr>
        <w:numPr>
          <w:ilvl w:val="0"/>
          <w:numId w:val="0"/>
        </w:numPr>
        <w:tabs>
          <w:tab w:pos="4819" w:val="center"/>
          <w:tab w:pos="9566" w:val="right"/>
        </w:tabs>
        <w:spacing w:before="60" w:after="60" w:line="240" w:lineRule="auto"/>
      </w:pPr>
      <w:r>
        <w:tab/>
      </w:r>
      <m:oMath>
        <m:sSub>
          <m:e>
            <m:r>
              <m:t>s</m:t>
            </m:r>
          </m:e>
          <m:sub>
            <m:r>
              <m:t>|</m:t>
            </m:r>
            <m:r>
              <m:t>U</m:t>
            </m:r>
            <m:r>
              <m:t>|</m:t>
            </m:r>
          </m:sub>
        </m:sSub>
        <m:r>
          <m:t>=</m:t>
        </m:r>
        <m:r>
          <m:rPr>
            <m:nor/>
            <m:sty m:val="p"/>
          </m:rPr>
          <m:t>max</m:t>
        </m:r>
        <m:r>
          <m:t>(</m:t>
        </m:r>
        <m:r>
          <m:t>0</m:t>
        </m:r>
        <m:r>
          <m:t>,</m:t>
        </m:r>
        <m:r>
          <m:t> </m:t>
        </m:r>
        <m:r>
          <m:t>1</m:t>
        </m:r>
        <m:r>
          <m:t>−</m:t>
        </m:r>
        <m:r>
          <m:rPr>
            <m:nor/>
            <m:sty m:val="p"/>
          </m:rPr>
          <m:t>min</m:t>
        </m:r>
        <m:r>
          <m:t>(</m:t>
        </m:r>
        <m:r>
          <m:t>1</m:t>
        </m:r>
        <m:r>
          <m:t>,</m:t>
        </m:r>
        <m:r>
          <m:t> </m:t>
        </m:r>
        <m:sSub>
          <m:e>
            <m:r>
              <m:rPr>
                <m:sty m:val="p"/>
              </m:rPr>
              <m:t>R</m:t>
            </m:r>
            <m:r>
              <m:rPr>
                <m:sty m:val="p"/>
              </m:rPr>
              <m:t>M</m:t>
            </m:r>
            <m:r>
              <m:rPr>
                <m:sty m:val="p"/>
              </m:rPr>
              <m:t>S</m:t>
            </m:r>
            <m:r>
              <m:rPr>
                <m:sty m:val="p"/>
              </m:rPr>
              <m:t>E</m:t>
            </m:r>
          </m:e>
          <m:sub>
            <m:r>
              <m:t>|</m:t>
            </m:r>
            <m:r>
              <m:t>U</m:t>
            </m:r>
            <m:r>
              <m:t>|</m:t>
            </m:r>
          </m:sub>
        </m:sSub>
        <m:r>
          <m:t>/</m:t>
        </m:r>
        <m:sSub>
          <m:e>
            <m:r>
              <m:rPr>
                <m:sty m:val="p"/>
              </m:rPr>
              <m:t>R</m:t>
            </m:r>
            <m:r>
              <m:rPr>
                <m:sty m:val="p"/>
              </m:rPr>
              <m:t>M</m:t>
            </m:r>
            <m:r>
              <m:rPr>
                <m:sty m:val="p"/>
              </m:rPr>
              <m:t>S</m:t>
            </m:r>
          </m:e>
          <m:sub>
            <m:r>
              <m:t>|</m:t>
            </m:r>
            <m:r>
              <m:t>U</m:t>
            </m:r>
            <m:r>
              <m:t>|</m:t>
            </m:r>
            <m:r>
              <m:t>,</m:t>
            </m:r>
            <m:r>
              <m:rPr>
                <m:sty m:val="p"/>
              </m:rPr>
              <m:t>r</m:t>
            </m:r>
            <m:r>
              <m:rPr>
                <m:sty m:val="p"/>
              </m:rPr>
              <m:t>e</m:t>
            </m:r>
            <m:r>
              <m:rPr>
                <m:sty m:val="p"/>
              </m:rPr>
              <m:t>f</m:t>
            </m:r>
          </m:sub>
        </m:sSub>
        <m:r>
          <m:t>)</m:t>
        </m:r>
        <m:r>
          <m:t>)</m:t>
        </m:r>
      </m:oMath>
      <w:r>
        <w:tab/>
      </w:r>
      <w:r>
        <w:rPr>
          <w:rFonts w:ascii="Times New Roman" w:hAnsi="Times New Roman" w:cs="Times New Roman" w:eastAsia="Batang"/>
          <w:sz w:val="20"/>
        </w:rPr>
        <w:t>(9)</w:t>
      </w:r>
    </w:p>
    <w:p>
      <w:pPr>
        <w:numPr>
          <w:ilvl w:val="0"/>
          <w:numId w:val="0"/>
        </w:numPr>
        <w:tabs>
          <w:tab w:pos="4819" w:val="center"/>
          <w:tab w:pos="9566" w:val="right"/>
        </w:tabs>
        <w:spacing w:before="60" w:after="60" w:line="240" w:lineRule="auto"/>
      </w:pPr>
      <w:r>
        <w:tab/>
      </w:r>
      <m:oMath>
        <m:sSub>
          <m:e>
            <m:r>
              <m:t>s</m:t>
            </m:r>
          </m:e>
          <m:sub>
            <m:r>
              <m:rPr>
                <m:sty m:val="p"/>
              </m:rPr>
              <m:t>d</m:t>
            </m:r>
            <m:r>
              <m:rPr>
                <m:sty m:val="p"/>
              </m:rPr>
              <m:t>i</m:t>
            </m:r>
            <m:r>
              <m:rPr>
                <m:sty m:val="p"/>
              </m:rPr>
              <m:t>r</m:t>
            </m:r>
          </m:sub>
        </m:sSub>
        <m:r>
          <m:t>=</m:t>
        </m:r>
        <m:f>
          <m:fPr>
            <m:type m:val="bar"/>
          </m:fPr>
          <m:num>
            <m:r>
              <m:t>1</m:t>
            </m:r>
          </m:num>
          <m:den>
            <m:r>
              <m:t>2</m:t>
            </m:r>
          </m:den>
        </m:f>
        <m:d>
          <m:dPr>
            <m:begChr m:val="("/>
            <m:endChr m:val=")"/>
            <m:grow/>
          </m:dPr>
          <m:e>
            <m:f>
              <m:fPr>
                <m:type m:val="bar"/>
              </m:fPr>
              <m:num>
                <m:r>
                  <m:t>1</m:t>
                </m:r>
              </m:num>
              <m:den>
                <m:sSub>
                  <m:e>
                    <m:r>
                      <m:t>N</m:t>
                    </m:r>
                  </m:e>
                  <m:sub>
                    <m:r>
                      <m:rPr>
                        <m:sty m:val="p"/>
                      </m:rPr>
                      <m:t>d</m:t>
                    </m:r>
                    <m:r>
                      <m:rPr>
                        <m:sty m:val="p"/>
                      </m:rPr>
                      <m:t>i</m:t>
                    </m:r>
                    <m:r>
                      <m:rPr>
                        <m:sty m:val="p"/>
                      </m:rPr>
                      <m:t>r</m:t>
                    </m:r>
                  </m:sub>
                </m:sSub>
              </m:den>
            </m:f>
            <m:nary>
              <m:naryPr>
                <m:chr m:val="∑"/>
                <m:limLoc m:val="undOvr"/>
                <m:subHide m:val="0"/>
                <m:supHide m:val="1"/>
              </m:naryPr>
              <m:sub>
                <m:r>
                  <m:t>i</m:t>
                </m:r>
                <m:r>
                  <m:t>∈</m:t>
                </m:r>
                <m:r>
                  <m:rPr>
                    <m:sty m:val="p"/>
                    <m:scr m:val="script"/>
                  </m:rPr>
                  <m:t>I</m:t>
                </m:r>
                <m:r>
                  <m:t>,</m:t>
                </m:r>
                <m:r>
                  <m:t> </m:t>
                </m:r>
                <m:r>
                  <m:t>|</m:t>
                </m:r>
                <m:sSub>
                  <m:e>
                    <m:r>
                      <m:rPr>
                        <m:sty m:val="b"/>
                      </m:rPr>
                      <m:t>U</m:t>
                    </m:r>
                  </m:e>
                  <m:sub>
                    <m:r>
                      <m:t>i</m:t>
                    </m:r>
                  </m:sub>
                </m:sSub>
                <m:r>
                  <m:t>|</m:t>
                </m:r>
                <m:r>
                  <m:t>&gt;</m:t>
                </m:r>
                <m:r>
                  <m:t>ϵ</m:t>
                </m:r>
              </m:sub>
              <m:sup>
                <m:r>
                  <m:t>​</m:t>
                </m:r>
              </m:sup>
              <m:e>
                <m:f>
                  <m:fPr>
                    <m:type m:val="bar"/>
                  </m:fPr>
                  <m:num>
                    <m:sSub>
                      <m:e>
                        <m:r>
                          <m:rPr>
                            <m:sty m:val="b"/>
                          </m:rPr>
                          <m:t>U</m:t>
                        </m:r>
                      </m:e>
                      <m:sub>
                        <m:r>
                          <m:t>i</m:t>
                        </m:r>
                        <m:r>
                          <m:t>,</m:t>
                        </m:r>
                        <m:r>
                          <m:rPr>
                            <m:sty m:val="p"/>
                          </m:rPr>
                          <m:t>r</m:t>
                        </m:r>
                        <m:r>
                          <m:rPr>
                            <m:sty m:val="p"/>
                          </m:rPr>
                          <m:t>e</m:t>
                        </m:r>
                        <m:r>
                          <m:rPr>
                            <m:sty m:val="p"/>
                          </m:rPr>
                          <m:t>f</m:t>
                        </m:r>
                      </m:sub>
                    </m:sSub>
                    <m:r>
                      <m:t>⋅</m:t>
                    </m:r>
                    <m:sSub>
                      <m:e>
                        <m:r>
                          <m:rPr>
                            <m:sty m:val="b"/>
                          </m:rPr>
                          <m:t>U</m:t>
                        </m:r>
                      </m:e>
                      <m:sub>
                        <m:r>
                          <m:t>i</m:t>
                        </m:r>
                        <m:r>
                          <m:t>,</m:t>
                        </m:r>
                        <m:r>
                          <m:rPr>
                            <m:sty m:val="p"/>
                          </m:rPr>
                          <m:t>p</m:t>
                        </m:r>
                        <m:r>
                          <m:rPr>
                            <m:sty m:val="p"/>
                          </m:rPr>
                          <m:t>r</m:t>
                        </m:r>
                        <m:r>
                          <m:rPr>
                            <m:sty m:val="p"/>
                          </m:rPr>
                          <m:t>e</m:t>
                        </m:r>
                        <m:r>
                          <m:rPr>
                            <m:sty m:val="p"/>
                          </m:rPr>
                          <m:t>d</m:t>
                        </m:r>
                      </m:sub>
                    </m:sSub>
                  </m:num>
                  <m:den>
                    <m:r>
                      <m:t>|</m:t>
                    </m:r>
                    <m:sSub>
                      <m:e>
                        <m:r>
                          <m:rPr>
                            <m:sty m:val="b"/>
                          </m:rPr>
                          <m:t>U</m:t>
                        </m:r>
                      </m:e>
                      <m:sub>
                        <m:r>
                          <m:t>i</m:t>
                        </m:r>
                        <m:r>
                          <m:t>,</m:t>
                        </m:r>
                        <m:r>
                          <m:rPr>
                            <m:sty m:val="p"/>
                          </m:rPr>
                          <m:t>r</m:t>
                        </m:r>
                        <m:r>
                          <m:rPr>
                            <m:sty m:val="p"/>
                          </m:rPr>
                          <m:t>e</m:t>
                        </m:r>
                        <m:r>
                          <m:rPr>
                            <m:sty m:val="p"/>
                          </m:rPr>
                          <m:t>f</m:t>
                        </m:r>
                      </m:sub>
                    </m:sSub>
                    <m:r>
                      <m:t>|</m:t>
                    </m:r>
                    <m:r>
                      <m:t> </m:t>
                    </m:r>
                    <m:r>
                      <m:t>|</m:t>
                    </m:r>
                    <m:sSub>
                      <m:e>
                        <m:r>
                          <m:rPr>
                            <m:sty m:val="b"/>
                          </m:rPr>
                          <m:t>U</m:t>
                        </m:r>
                      </m:e>
                      <m:sub>
                        <m:r>
                          <m:t>i</m:t>
                        </m:r>
                        <m:r>
                          <m:t>,</m:t>
                        </m:r>
                        <m:r>
                          <m:rPr>
                            <m:sty m:val="p"/>
                          </m:rPr>
                          <m:t>p</m:t>
                        </m:r>
                        <m:r>
                          <m:rPr>
                            <m:sty m:val="p"/>
                          </m:rPr>
                          <m:t>r</m:t>
                        </m:r>
                        <m:r>
                          <m:rPr>
                            <m:sty m:val="p"/>
                          </m:rPr>
                          <m:t>e</m:t>
                        </m:r>
                        <m:r>
                          <m:rPr>
                            <m:sty m:val="p"/>
                          </m:rPr>
                          <m:t>d</m:t>
                        </m:r>
                      </m:sub>
                    </m:sSub>
                    <m:r>
                      <m:t>|</m:t>
                    </m:r>
                  </m:den>
                </m:f>
              </m:e>
            </m:nary>
            <m:r>
              <m:t>+</m:t>
            </m:r>
            <m:r>
              <m:t>1</m:t>
            </m:r>
          </m:e>
        </m:d>
      </m:oMath>
      <w:r>
        <w:tab/>
      </w:r>
      <w:r>
        <w:rPr>
          <w:rFonts w:ascii="Times New Roman" w:hAnsi="Times New Roman" w:cs="Times New Roman" w:eastAsia="Batang"/>
          <w:sz w:val="20"/>
        </w:rPr>
        <w:t>(10)</w:t>
      </w:r>
    </w:p>
    <w:p>
      <w:pPr>
        <w:numPr>
          <w:ilvl w:val="0"/>
          <w:numId w:val="0"/>
        </w:numPr>
        <w:tabs>
          <w:tab w:pos="4819" w:val="center"/>
          <w:tab w:pos="9566" w:val="right"/>
        </w:tabs>
        <w:spacing w:before="60" w:after="60" w:line="240" w:lineRule="auto"/>
      </w:pPr>
      <w:r>
        <w:tab/>
      </w:r>
      <m:oMath>
        <m:sSub>
          <m:e>
            <m:r>
              <m:t>s</m:t>
            </m:r>
          </m:e>
          <m:sub>
            <m:r>
              <m:t>p</m:t>
            </m:r>
          </m:sub>
        </m:sSub>
        <m:r>
          <m:t>=</m:t>
        </m:r>
        <m:r>
          <m:rPr>
            <m:nor/>
            <m:sty m:val="p"/>
          </m:rPr>
          <m:t>max</m:t>
        </m:r>
        <m:r>
          <m:t>(</m:t>
        </m:r>
        <m:r>
          <m:t>0</m:t>
        </m:r>
        <m:r>
          <m:t>,</m:t>
        </m:r>
        <m:r>
          <m:t> </m:t>
        </m:r>
        <m:r>
          <m:t>1</m:t>
        </m:r>
        <m:r>
          <m:t>−</m:t>
        </m:r>
        <m:r>
          <m:rPr>
            <m:nor/>
            <m:sty m:val="p"/>
          </m:rPr>
          <m:t>min</m:t>
        </m:r>
        <m:r>
          <m:t>(</m:t>
        </m:r>
        <m:r>
          <m:t>1</m:t>
        </m:r>
        <m:r>
          <m:t>,</m:t>
        </m:r>
        <m:r>
          <m:t> </m:t>
        </m:r>
        <m:sSub>
          <m:e>
            <m:r>
              <m:rPr>
                <m:sty m:val="p"/>
              </m:rPr>
              <m:t>R</m:t>
            </m:r>
            <m:r>
              <m:rPr>
                <m:sty m:val="p"/>
              </m:rPr>
              <m:t>M</m:t>
            </m:r>
            <m:r>
              <m:rPr>
                <m:sty m:val="p"/>
              </m:rPr>
              <m:t>S</m:t>
            </m:r>
            <m:r>
              <m:rPr>
                <m:sty m:val="p"/>
              </m:rPr>
              <m:t>E</m:t>
            </m:r>
          </m:e>
          <m:sub>
            <m:sSup>
              <m:e>
                <m:r>
                  <m:t>p</m:t>
                </m:r>
              </m:e>
              <m:sup>
                <m:r>
                  <m:t>′</m:t>
                </m:r>
              </m:sup>
            </m:sSup>
          </m:sub>
        </m:sSub>
        <m:r>
          <m:t>/</m:t>
        </m:r>
        <m:sSub>
          <m:e>
            <m:r>
              <m:rPr>
                <m:sty m:val="p"/>
              </m:rPr>
              <m:t>R</m:t>
            </m:r>
            <m:r>
              <m:rPr>
                <m:sty m:val="p"/>
              </m:rPr>
              <m:t>M</m:t>
            </m:r>
            <m:r>
              <m:rPr>
                <m:sty m:val="p"/>
              </m:rPr>
              <m:t>S</m:t>
            </m:r>
          </m:e>
          <m:sub>
            <m:sSup>
              <m:e>
                <m:r>
                  <m:t>p</m:t>
                </m:r>
              </m:e>
              <m:sup>
                <m:r>
                  <m:t>′</m:t>
                </m:r>
              </m:sup>
            </m:sSup>
            <m:r>
              <m:t>,</m:t>
            </m:r>
            <m:r>
              <m:rPr>
                <m:sty m:val="p"/>
              </m:rPr>
              <m:t>r</m:t>
            </m:r>
            <m:r>
              <m:rPr>
                <m:sty m:val="p"/>
              </m:rPr>
              <m:t>e</m:t>
            </m:r>
            <m:r>
              <m:rPr>
                <m:sty m:val="p"/>
              </m:rPr>
              <m:t>f</m:t>
            </m:r>
          </m:sub>
        </m:sSub>
        <m:r>
          <m:t>)</m:t>
        </m:r>
        <m:r>
          <m:t>)</m:t>
        </m:r>
        <m:r>
          <m:t>,</m:t>
        </m:r>
        <m:r>
          <m:t> </m:t>
        </m:r>
        <m:sSup>
          <m:e>
            <m:r>
              <m:t>p</m:t>
            </m:r>
          </m:e>
          <m:sup>
            <m:r>
              <m:t>′</m:t>
            </m:r>
          </m:sup>
        </m:sSup>
        <m:r>
          <m:t>=</m:t>
        </m:r>
        <m:r>
          <m:t>p</m:t>
        </m:r>
        <m:r>
          <m:t>−</m:t>
        </m:r>
        <m:sSub>
          <m:e>
            <m:acc>
              <m:accPr>
                <m:chr m:val="‾"/>
              </m:accPr>
              <m:e>
                <m:r>
                  <m:t>p</m:t>
                </m:r>
              </m:e>
            </m:acc>
          </m:e>
          <m:sub>
            <m:r>
              <m:rPr>
                <m:sty m:val="p"/>
                <m:scr m:val="script"/>
              </m:rPr>
              <m:t>I</m:t>
            </m:r>
          </m:sub>
        </m:sSub>
      </m:oMath>
      <w:r>
        <w:tab/>
      </w:r>
      <w:r>
        <w:rPr>
          <w:rFonts w:ascii="Times New Roman" w:hAnsi="Times New Roman" w:cs="Times New Roman" w:eastAsia="Batang"/>
          <w:sz w:val="20"/>
        </w:rPr>
        <w:t>(11)</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where V_ref and V_pred are the sets of valid lattice points in each domain, ε = 10⁻⁸ m/s is the zero-velocity exclusion threshold, N_dir is the count of points satisfying the exclusion criterion, and p′ denotes the gauge-corrected pressure obtained by subtracting the overlap-domain mean from each field. This composite score is reported as a summary statistic alongside individual components for failure-mode analysis. Because it compares one CFD solution against another rather than against measurements, it is a reference-agreement metric rather than a formal ASME V&amp;V 20 validation. The following standard metrics </w:t>
      </w:r>
      <w:r>
        <w:rPr>
          <w:rFonts w:ascii="Times New Roman" w:hAnsi="Times New Roman" w:cs="Times New Roman" w:eastAsia="Batang"/>
          <w:sz w:val="20"/>
          <w:vertAlign w:val="superscript"/>
        </w:rPr>
        <w:t>(35)</w:t>
      </w:r>
      <w:r>
        <w:rPr>
          <w:rFonts w:ascii="Times New Roman" w:hAnsi="Times New Roman" w:cs="Times New Roman" w:eastAsia="Batang"/>
          <w:i w:val="0"/>
          <w:sz w:val="20"/>
        </w:rPr>
        <w:t xml:space="preserve"> are also computed and reported in the supplementary data:</w:t>
      </w:r>
    </w:p>
    <w:p>
      <w:pPr>
        <w:sectPr>
          <w:type w:val="continuous"/>
          <w:pgSz w:w="11906" w:h="16838" w:code="9"/>
          <w:pgMar w:top="1418" w:right="1134" w:bottom="851" w:left="1134" w:header="1134" w:footer="397" w:gutter="0"/>
          <w:cols w:num="2" w:space="425" w:equalWidth="1"/>
          <w:docGrid w:linePitch="272"/>
        </w:sectPr>
      </w:pPr>
    </w:p>
    <w:p>
      <w:pPr>
        <w:numPr>
          <w:ilvl w:val="0"/>
          <w:numId w:val="0"/>
        </w:numPr>
        <w:tabs>
          <w:tab w:pos="4819" w:val="center"/>
          <w:tab w:pos="9566" w:val="right"/>
        </w:tabs>
        <w:spacing w:before="60" w:after="60" w:line="240" w:lineRule="auto"/>
      </w:pPr>
      <w:r>
        <w:tab/>
      </w:r>
      <m:oMath>
        <m:r>
          <m:t>q</m:t>
        </m:r>
        <m:r>
          <m:t>=</m:t>
        </m:r>
        <m:f>
          <m:fPr>
            <m:type m:val="bar"/>
          </m:fPr>
          <m:num>
            <m:r>
              <m:t>1</m:t>
            </m:r>
          </m:num>
          <m:den>
            <m:r>
              <m:t>N</m:t>
            </m:r>
          </m:den>
        </m:f>
        <m:nary>
          <m:naryPr>
            <m:chr m:val="∑"/>
            <m:limLoc m:val="undOvr"/>
            <m:subHide m:val="0"/>
            <m:supHide m:val="0"/>
          </m:naryPr>
          <m:sub>
            <m:r>
              <m:t>i</m:t>
            </m:r>
            <m:r>
              <m:t>=</m:t>
            </m:r>
            <m:r>
              <m:t>1</m:t>
            </m:r>
          </m:sub>
          <m:sup>
            <m:r>
              <m:t>N</m:t>
            </m:r>
          </m:sup>
          <m:e>
            <m:r>
              <m:rPr>
                <m:sty m:val="p"/>
                <m:scr m:val="double-struck"/>
              </m:rPr>
              <m:t>1</m:t>
            </m:r>
          </m:e>
        </m:nary>
        <m:r>
          <m:t>(</m:t>
        </m:r>
        <m:r>
          <m:t>|</m:t>
        </m:r>
        <m:sSub>
          <m:e>
            <m:r>
              <m:t>ϕ</m:t>
            </m:r>
          </m:e>
          <m:sub>
            <m:r>
              <m:t>i</m:t>
            </m:r>
            <m:r>
              <m:t>,</m:t>
            </m:r>
            <m:r>
              <m:rPr>
                <m:sty m:val="p"/>
              </m:rPr>
              <m:t>p</m:t>
            </m:r>
            <m:r>
              <m:rPr>
                <m:sty m:val="p"/>
              </m:rPr>
              <m:t>r</m:t>
            </m:r>
            <m:r>
              <m:rPr>
                <m:sty m:val="p"/>
              </m:rPr>
              <m:t>e</m:t>
            </m:r>
            <m:r>
              <m:rPr>
                <m:sty m:val="p"/>
              </m:rPr>
              <m:t>d</m:t>
            </m:r>
          </m:sub>
        </m:sSub>
        <m:r>
          <m:t>−</m:t>
        </m:r>
        <m:sSub>
          <m:e>
            <m:r>
              <m:t>ϕ</m:t>
            </m:r>
          </m:e>
          <m:sub>
            <m:r>
              <m:t>i</m:t>
            </m:r>
            <m:r>
              <m:t>,</m:t>
            </m:r>
            <m:r>
              <m:rPr>
                <m:sty m:val="p"/>
              </m:rPr>
              <m:t>r</m:t>
            </m:r>
            <m:r>
              <m:rPr>
                <m:sty m:val="p"/>
              </m:rPr>
              <m:t>e</m:t>
            </m:r>
            <m:r>
              <m:rPr>
                <m:sty m:val="p"/>
              </m:rPr>
              <m:t>f</m:t>
            </m:r>
          </m:sub>
        </m:sSub>
        <m:r>
          <m:t>|</m:t>
        </m:r>
        <m:r>
          <m:t>&lt;</m:t>
        </m:r>
        <m:r>
          <m:rPr>
            <m:nor/>
            <m:sty m:val="p"/>
          </m:rPr>
          <m:t>max</m:t>
        </m:r>
        <m:r>
          <m:t>(</m:t>
        </m:r>
        <m:r>
          <m:t>W</m:t>
        </m:r>
        <m:r>
          <m:t>,</m:t>
        </m:r>
        <m:r>
          <m:t> </m:t>
        </m:r>
        <m:r>
          <m:t>D</m:t>
        </m:r>
        <m:r>
          <m:t> </m:t>
        </m:r>
        <m:r>
          <m:t>|</m:t>
        </m:r>
        <m:sSub>
          <m:e>
            <m:r>
              <m:t>ϕ</m:t>
            </m:r>
          </m:e>
          <m:sub>
            <m:r>
              <m:t>i</m:t>
            </m:r>
            <m:r>
              <m:t>,</m:t>
            </m:r>
            <m:r>
              <m:rPr>
                <m:sty m:val="p"/>
              </m:rPr>
              <m:t>r</m:t>
            </m:r>
            <m:r>
              <m:rPr>
                <m:sty m:val="p"/>
              </m:rPr>
              <m:t>e</m:t>
            </m:r>
            <m:r>
              <m:rPr>
                <m:sty m:val="p"/>
              </m:rPr>
              <m:t>f</m:t>
            </m:r>
          </m:sub>
        </m:sSub>
        <m:r>
          <m:t>|</m:t>
        </m:r>
        <m:r>
          <m:t>)</m:t>
        </m:r>
        <m:r>
          <m:t>)</m:t>
        </m:r>
      </m:oMath>
      <w:r>
        <w:tab/>
      </w:r>
      <w:r>
        <w:rPr>
          <w:rFonts w:ascii="Times New Roman" w:hAnsi="Times New Roman" w:cs="Times New Roman" w:eastAsia="Batang"/>
          <w:sz w:val="20"/>
        </w:rPr>
        <w:t>(12)</w:t>
      </w:r>
    </w:p>
    <w:p>
      <w:pPr>
        <w:numPr>
          <w:ilvl w:val="0"/>
          <w:numId w:val="0"/>
        </w:numPr>
        <w:tabs>
          <w:tab w:pos="4819" w:val="center"/>
          <w:tab w:pos="9566" w:val="right"/>
        </w:tabs>
        <w:spacing w:before="60" w:after="60" w:line="240" w:lineRule="auto"/>
      </w:pPr>
      <w:r>
        <w:tab/>
      </w:r>
      <m:oMath>
        <m:r>
          <m:rPr>
            <m:sty m:val="p"/>
          </m:rPr>
          <m:t>F</m:t>
        </m:r>
        <m:r>
          <m:rPr>
            <m:sty m:val="p"/>
          </m:rPr>
          <m:t>A</m:t>
        </m:r>
        <m:r>
          <m:rPr>
            <m:sty m:val="p"/>
          </m:rPr>
          <m:t>C</m:t>
        </m:r>
        <m:r>
          <m:rPr>
            <m:sty m:val="p"/>
          </m:rPr>
          <m:t>2</m:t>
        </m:r>
        <m:r>
          <m:t>=</m:t>
        </m:r>
        <m:f>
          <m:fPr>
            <m:type m:val="bar"/>
          </m:fPr>
          <m:num>
            <m:r>
              <m:t>1</m:t>
            </m:r>
          </m:num>
          <m:den>
            <m:r>
              <m:t>N</m:t>
            </m:r>
          </m:den>
        </m:f>
        <m:nary>
          <m:naryPr>
            <m:chr m:val="∑"/>
            <m:limLoc m:val="undOvr"/>
            <m:subHide m:val="0"/>
            <m:supHide m:val="0"/>
          </m:naryPr>
          <m:sub>
            <m:r>
              <m:t>i</m:t>
            </m:r>
            <m:r>
              <m:t>=</m:t>
            </m:r>
            <m:r>
              <m:t>1</m:t>
            </m:r>
          </m:sub>
          <m:sup>
            <m:r>
              <m:t>N</m:t>
            </m:r>
          </m:sup>
          <m:e>
            <m:r>
              <m:rPr>
                <m:sty m:val="p"/>
                <m:scr m:val="double-struck"/>
              </m:rPr>
              <m:t>1</m:t>
            </m:r>
          </m:e>
        </m:nary>
        <m:d>
          <m:dPr>
            <m:begChr m:val="("/>
            <m:endChr m:val=")"/>
            <m:grow/>
          </m:dPr>
          <m:e>
            <m:r>
              <m:t>0.5</m:t>
            </m:r>
            <m:r>
              <m:t>≤</m:t>
            </m:r>
            <m:f>
              <m:fPr>
                <m:type m:val="bar"/>
              </m:fPr>
              <m:num>
                <m:sSub>
                  <m:e>
                    <m:r>
                      <m:t>ϕ</m:t>
                    </m:r>
                  </m:e>
                  <m:sub>
                    <m:r>
                      <m:t>i</m:t>
                    </m:r>
                    <m:r>
                      <m:t>,</m:t>
                    </m:r>
                    <m:r>
                      <m:rPr>
                        <m:sty m:val="p"/>
                      </m:rPr>
                      <m:t>p</m:t>
                    </m:r>
                    <m:r>
                      <m:rPr>
                        <m:sty m:val="p"/>
                      </m:rPr>
                      <m:t>r</m:t>
                    </m:r>
                    <m:r>
                      <m:rPr>
                        <m:sty m:val="p"/>
                      </m:rPr>
                      <m:t>e</m:t>
                    </m:r>
                    <m:r>
                      <m:rPr>
                        <m:sty m:val="p"/>
                      </m:rPr>
                      <m:t>d</m:t>
                    </m:r>
                  </m:sub>
                </m:sSub>
              </m:num>
              <m:den>
                <m:sSub>
                  <m:e>
                    <m:r>
                      <m:t>ϕ</m:t>
                    </m:r>
                  </m:e>
                  <m:sub>
                    <m:r>
                      <m:t>i</m:t>
                    </m:r>
                    <m:r>
                      <m:t>,</m:t>
                    </m:r>
                    <m:r>
                      <m:rPr>
                        <m:sty m:val="p"/>
                      </m:rPr>
                      <m:t>r</m:t>
                    </m:r>
                    <m:r>
                      <m:rPr>
                        <m:sty m:val="p"/>
                      </m:rPr>
                      <m:t>e</m:t>
                    </m:r>
                    <m:r>
                      <m:rPr>
                        <m:sty m:val="p"/>
                      </m:rPr>
                      <m:t>f</m:t>
                    </m:r>
                  </m:sub>
                </m:sSub>
              </m:den>
            </m:f>
            <m:r>
              <m:t>≤</m:t>
            </m:r>
            <m:r>
              <m:t>2.0</m:t>
            </m:r>
          </m:e>
        </m:d>
      </m:oMath>
      <w:r>
        <w:tab/>
      </w:r>
      <w:r>
        <w:rPr>
          <w:rFonts w:ascii="Times New Roman" w:hAnsi="Times New Roman" w:cs="Times New Roman" w:eastAsia="Batang"/>
          <w:sz w:val="20"/>
        </w:rPr>
        <w:t>(13)</w:t>
      </w:r>
    </w:p>
    <w:p>
      <w:pPr>
        <w:numPr>
          <w:ilvl w:val="0"/>
          <w:numId w:val="0"/>
        </w:numPr>
        <w:tabs>
          <w:tab w:pos="4819" w:val="center"/>
          <w:tab w:pos="9566" w:val="right"/>
        </w:tabs>
        <w:spacing w:before="60" w:after="60" w:line="240" w:lineRule="auto"/>
      </w:pPr>
      <w:r>
        <w:tab/>
      </w:r>
      <m:oMath>
        <m:r>
          <m:rPr>
            <m:sty m:val="p"/>
          </m:rPr>
          <m:t>F</m:t>
        </m:r>
        <m:r>
          <m:rPr>
            <m:sty m:val="p"/>
          </m:rPr>
          <m:t>B</m:t>
        </m:r>
        <m:r>
          <m:t>=</m:t>
        </m:r>
        <m:f>
          <m:fPr>
            <m:type m:val="bar"/>
          </m:fPr>
          <m:num>
            <m:r>
              <m:t>2</m:t>
            </m:r>
            <m:r>
              <m:t> </m:t>
            </m:r>
            <m:r>
              <m:t>(</m:t>
            </m:r>
            <m:sSub>
              <m:e>
                <m:acc>
                  <m:accPr>
                    <m:chr m:val="‾"/>
                  </m:accPr>
                  <m:e>
                    <m:r>
                      <m:t>ϕ</m:t>
                    </m:r>
                  </m:e>
                </m:acc>
              </m:e>
              <m:sub>
                <m:r>
                  <m:rPr>
                    <m:sty m:val="p"/>
                  </m:rPr>
                  <m:t>r</m:t>
                </m:r>
                <m:r>
                  <m:rPr>
                    <m:sty m:val="p"/>
                  </m:rPr>
                  <m:t>e</m:t>
                </m:r>
                <m:r>
                  <m:rPr>
                    <m:sty m:val="p"/>
                  </m:rPr>
                  <m:t>f</m:t>
                </m:r>
              </m:sub>
            </m:sSub>
            <m:r>
              <m:t>−</m:t>
            </m:r>
            <m:sSub>
              <m:e>
                <m:acc>
                  <m:accPr>
                    <m:chr m:val="‾"/>
                  </m:accPr>
                  <m:e>
                    <m:r>
                      <m:t>ϕ</m:t>
                    </m:r>
                  </m:e>
                </m:acc>
              </m:e>
              <m:sub>
                <m:r>
                  <m:rPr>
                    <m:sty m:val="p"/>
                  </m:rPr>
                  <m:t>p</m:t>
                </m:r>
                <m:r>
                  <m:rPr>
                    <m:sty m:val="p"/>
                  </m:rPr>
                  <m:t>r</m:t>
                </m:r>
                <m:r>
                  <m:rPr>
                    <m:sty m:val="p"/>
                  </m:rPr>
                  <m:t>e</m:t>
                </m:r>
                <m:r>
                  <m:rPr>
                    <m:sty m:val="p"/>
                  </m:rPr>
                  <m:t>d</m:t>
                </m:r>
              </m:sub>
            </m:sSub>
            <m:r>
              <m:t>)</m:t>
            </m:r>
          </m:num>
          <m:den>
            <m:sSub>
              <m:e>
                <m:acc>
                  <m:accPr>
                    <m:chr m:val="‾"/>
                  </m:accPr>
                  <m:e>
                    <m:r>
                      <m:t>ϕ</m:t>
                    </m:r>
                  </m:e>
                </m:acc>
              </m:e>
              <m:sub>
                <m:r>
                  <m:rPr>
                    <m:sty m:val="p"/>
                  </m:rPr>
                  <m:t>r</m:t>
                </m:r>
                <m:r>
                  <m:rPr>
                    <m:sty m:val="p"/>
                  </m:rPr>
                  <m:t>e</m:t>
                </m:r>
                <m:r>
                  <m:rPr>
                    <m:sty m:val="p"/>
                  </m:rPr>
                  <m:t>f</m:t>
                </m:r>
              </m:sub>
            </m:sSub>
            <m:r>
              <m:t>+</m:t>
            </m:r>
            <m:sSub>
              <m:e>
                <m:acc>
                  <m:accPr>
                    <m:chr m:val="‾"/>
                  </m:accPr>
                  <m:e>
                    <m:r>
                      <m:t>ϕ</m:t>
                    </m:r>
                  </m:e>
                </m:acc>
              </m:e>
              <m:sub>
                <m:r>
                  <m:rPr>
                    <m:sty m:val="p"/>
                  </m:rPr>
                  <m:t>p</m:t>
                </m:r>
                <m:r>
                  <m:rPr>
                    <m:sty m:val="p"/>
                  </m:rPr>
                  <m:t>r</m:t>
                </m:r>
                <m:r>
                  <m:rPr>
                    <m:sty m:val="p"/>
                  </m:rPr>
                  <m:t>e</m:t>
                </m:r>
                <m:r>
                  <m:rPr>
                    <m:sty m:val="p"/>
                  </m:rPr>
                  <m:t>d</m:t>
                </m:r>
              </m:sub>
            </m:sSub>
          </m:den>
        </m:f>
      </m:oMath>
      <w:r>
        <w:tab/>
      </w:r>
      <w:r>
        <w:rPr>
          <w:rFonts w:ascii="Times New Roman" w:hAnsi="Times New Roman" w:cs="Times New Roman" w:eastAsia="Batang"/>
          <w:sz w:val="20"/>
        </w:rPr>
        <w:t>(14)</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where q is the hit rate with relative tolerance D and absolute tolerance W, FAC2 is the fraction of predictions within a factor of 2, and FB is the fractional bias.</w:t>
      </w:r>
    </w:p>
    <w:p>
      <w:pPr>
        <w:pStyle w:val="af7"/>
        <w:numPr>
          <w:ilvl w:val="0"/>
          <w:numId w:val="0"/>
        </w:numPr>
        <w:spacing w:before="160" w:after="80"/>
        <w:jc w:val="left"/>
      </w:pPr>
      <w:r>
        <w:rPr>
          <w:rFonts w:ascii="Times New Roman" w:hAnsi="Times New Roman" w:cs="Times New Roman" w:eastAsia="Batang"/>
          <w:b/>
          <w:sz w:val="21"/>
        </w:rPr>
        <w:t>2.4 Solver validation against experimental data</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To establish the credibility of the reference CFD solutions independently of the VLM evaluation, the solver configuration (simpleFoam with k–ω SST, wall functions, SIMPLE algorithm) was validated against the widely used Nielsen et al. (1978) ventilated room benchmark </w:t>
      </w:r>
      <w:r>
        <w:rPr>
          <w:rFonts w:ascii="Times New Roman" w:hAnsi="Times New Roman" w:cs="Times New Roman" w:eastAsia="Batang"/>
          <w:sz w:val="20"/>
          <w:vertAlign w:val="superscript"/>
        </w:rPr>
        <w:t>(36)</w:t>
      </w:r>
      <w:r>
        <w:rPr>
          <w:rFonts w:ascii="Times New Roman" w:hAnsi="Times New Roman" w:cs="Times New Roman" w:eastAsia="Batang"/>
          <w:i w:val="0"/>
          <w:sz w:val="20"/>
        </w:rPr>
        <w:t>. This benchmark consists of a 9.0 m × 3.0 m two-dimensional room with a ceiling-mounted slot inlet (height h = 0.168 m, U₀ = 0.455 m/s, Re ≈ 5,000) and a floor-level slot outlet of equal dimensions. Laser Doppler Anemometry (LDA) measurements of the normalised streamwise velocity u/U₀ are available at three vertical profiles (x/L = 1/3, 1/2, 2/3).</w:t>
      </w:r>
    </w:p>
    <w:p>
      <w:pPr>
        <w:pStyle w:val="a1"/>
        <w:numPr>
          <w:ilvl w:val="0"/>
          <w:numId w:val="0"/>
        </w:numPr>
        <w:spacing w:after="80" w:line="276" w:lineRule="auto"/>
        <w:ind w:firstLine="230"/>
        <w:jc w:val="both"/>
      </w:pPr>
      <w:r>
        <w:rPr>
          <w:rFonts w:ascii="Times New Roman" w:hAnsi="Times New Roman" w:cs="Times New Roman" w:eastAsia="Batang"/>
          <w:i w:val="0"/>
          <w:sz w:val="20"/>
        </w:rPr>
        <w:t>The case was solved on a structured mesh of 43,200 cells (360 × 120 × 1 in the streamwise, vertical, and spanwise directions, with symmetry boundary conditions to enforce 2D flow). Table 2 compares the CFD predictions against the experimental measurements, and Fig. 2 shows the velocity profile comparison at each measurement station.</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2167816"/>
            <wp:docPr id="2" name="Picture 2"/>
            <wp:cNvGraphicFramePr>
              <a:graphicFrameLocks noChangeAspect="1"/>
            </wp:cNvGraphicFramePr>
            <a:graphic>
              <a:graphicData uri="http://schemas.openxmlformats.org/drawingml/2006/picture">
                <pic:pic>
                  <pic:nvPicPr>
                    <pic:cNvPr id="0" name="fig_method_validation_contour.png"/>
                    <pic:cNvPicPr/>
                  </pic:nvPicPr>
                  <pic:blipFill>
                    <a:blip r:embed="rId36"/>
                    <a:stretch>
                      <a:fillRect/>
                    </a:stretch>
                  </pic:blipFill>
                  <pic:spPr>
                    <a:xfrm>
                      <a:off x="0" y="0"/>
                      <a:ext cx="6028690" cy="2167816"/>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2  </w:t>
      </w:r>
      <w:r>
        <w:rPr>
          <w:rFonts w:ascii="Times New Roman" w:hAnsi="Times New Roman" w:cs="Times New Roman" w:eastAsia="Batang"/>
          <w:i w:val="0"/>
          <w:sz w:val="18"/>
        </w:rPr>
        <w:t>Solver validation against Nielsen et al. (1978) benchmark (9 m × 3 m, Re ≈ 5,000). Colour contours show velocity magnitude; white streamlines show the ceiling jet, recirculation zone, and corner vortex. Red markers (A, B, C) indicate the three LDA measurement stations compared in Table 2.</w:t>
      </w:r>
    </w:p>
    <w:p>
      <w:pPr>
        <w:sectPr>
          <w:type w:val="continuous"/>
          <w:pgSz w:w="11906" w:h="16838" w:code="9"/>
          <w:pgMar w:top="1418" w:right="1134" w:bottom="851" w:left="1134" w:header="1134" w:footer="397" w:gutter="0"/>
          <w:cols w:space="720"/>
          <w:docGrid w:linePitch="272"/>
        </w:sectPr>
      </w:pP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2  </w:t>
      </w:r>
      <w:r>
        <w:rPr>
          <w:rFonts w:ascii="Times New Roman" w:hAnsi="Times New Roman" w:cs="Times New Roman" w:eastAsia="Batang"/>
          <w:i w:val="0"/>
          <w:sz w:val="18"/>
        </w:rPr>
        <w:t>Solver validation: simpleFoam k–ω SST against Nielsen et al. (1978) LDA measurements at three vertical profiles (43,200 cells).</w:t>
      </w:r>
    </w:p>
    <w:tbl>
      <w:tblPr>
        <w:tblW w:type="auto" w:w="0"/>
        <w:jc w:val="center"/>
        <w:tblLayout w:type="fixed"/>
        <w:tblLook w:firstColumn="1" w:firstRow="1" w:lastColumn="0" w:lastRow="0" w:noHBand="0" w:noVBand="1" w:val="04A0"/>
        <w:tblW w:w="9494" w:type="dxa"/>
      </w:tblPr>
      <w:tblGrid>
        <w:gridCol w:w="1606"/>
        <w:gridCol w:w="1606"/>
        <w:gridCol w:w="1606"/>
        <w:gridCol w:w="1606"/>
        <w:gridCol w:w="1606"/>
        <w:gridCol w:w="1606"/>
      </w:tblGrid>
      <w:tr>
        <w:tc>
          <w:tcPr>
            <w:tcW w:type="dxa" w:w="1582"/>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Profile</w:t>
            </w:r>
          </w:p>
        </w:tc>
        <w:tc>
          <w:tcPr>
            <w:tcW w:type="dxa" w:w="1582"/>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x/L</w:t>
            </w:r>
          </w:p>
        </w:tc>
        <w:tc>
          <w:tcPr>
            <w:tcW w:type="dxa" w:w="1582"/>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Points</w:t>
            </w:r>
          </w:p>
        </w:tc>
        <w:tc>
          <w:tcPr>
            <w:tcW w:type="dxa" w:w="1582"/>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Hit rate (D = 0.25)</w:t>
            </w:r>
          </w:p>
        </w:tc>
        <w:tc>
          <w:tcPr>
            <w:tcW w:type="dxa" w:w="1582"/>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RMSE (u/U₀)</w:t>
            </w:r>
          </w:p>
        </w:tc>
        <w:tc>
          <w:tcPr>
            <w:tcW w:type="dxa" w:w="1582"/>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Pearson R</w:t>
            </w:r>
          </w:p>
        </w:tc>
      </w:tr>
      <w:tr>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0.33</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16</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0.125</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0.250</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0.788</w:t>
            </w:r>
          </w:p>
        </w:tc>
      </w:tr>
      <w:tr>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B</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0.50</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16</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0.188</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0.227</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0.806</w:t>
            </w:r>
          </w:p>
        </w:tc>
      </w:tr>
      <w:tr>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C</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0.67</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16</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0.000</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0.332</w:t>
            </w:r>
          </w:p>
        </w:tc>
        <w:tc>
          <w:tcPr>
            <w:tcW w:type="dxa" w:w="1582"/>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0.932</w:t>
            </w:r>
          </w:p>
        </w:tc>
      </w:tr>
      <w:tr>
        <w:tc>
          <w:tcPr>
            <w:tcW w:type="dxa" w:w="1582"/>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w:t>
            </w:r>
          </w:p>
        </w:tc>
        <w:tc>
          <w:tcPr>
            <w:tcW w:type="dxa" w:w="1582"/>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w:t>
            </w:r>
          </w:p>
        </w:tc>
        <w:tc>
          <w:tcPr>
            <w:tcW w:type="dxa" w:w="1582"/>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48</w:t>
            </w:r>
          </w:p>
        </w:tc>
        <w:tc>
          <w:tcPr>
            <w:tcW w:type="dxa" w:w="1582"/>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0.104</w:t>
            </w:r>
          </w:p>
        </w:tc>
        <w:tc>
          <w:tcPr>
            <w:tcW w:type="dxa" w:w="1582"/>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0.270</w:t>
            </w:r>
          </w:p>
        </w:tc>
        <w:tc>
          <w:tcPr>
            <w:tcW w:type="dxa" w:w="1582"/>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0.842</w:t>
            </w:r>
          </w:p>
        </w:tc>
      </w:tr>
    </w:tbl>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The Pearson correlation (R = 0.842) confirms that the solver reproduces the qualitative velocity profile shape (Fig. 2). The low hit rate (q = 0.104) reflects quantitative magnitude differences in the low-speed recirculation region, consistent with known wall-function RANS limitations at moderate Reynolds numbers. A grid independence check (10,800 vs. 43,200 cells) showed negligible change in R and hit rate. The solver accurately predicts flow topology but absolute velocity magnitudes carry approximately 27% normalised RMSE uncertainty, which propagates into the velocity magnitude similarity component of the CFD agreement score. This validation is limited to a single 2D benchmark case; the 3D obstructed indoor flows in the benchmark are more complex, and the CFD agreement scores should be interpreted as relative comparisons between predicted and reference geometries rather than as absolute accuracy measures.</w:t>
      </w:r>
    </w:p>
    <w:p>
      <w:pPr>
        <w:pStyle w:val="af7"/>
        <w:numPr>
          <w:ilvl w:val="0"/>
          <w:numId w:val="0"/>
        </w:numPr>
        <w:spacing w:before="160" w:after="80"/>
        <w:jc w:val="left"/>
      </w:pPr>
      <w:r>
        <w:rPr>
          <w:rFonts w:ascii="Times New Roman" w:hAnsi="Times New Roman" w:cs="Times New Roman" w:eastAsia="Batang"/>
          <w:b/>
          <w:sz w:val="21"/>
        </w:rPr>
        <w:t>2.5 Reference path and data-leakage prevention</w:t>
      </w:r>
    </w:p>
    <w:p>
      <w:pPr>
        <w:pStyle w:val="a1"/>
        <w:numPr>
          <w:ilvl w:val="0"/>
          <w:numId w:val="0"/>
        </w:numPr>
        <w:spacing w:after="80" w:line="276" w:lineRule="auto"/>
        <w:ind w:firstLine="230"/>
        <w:jc w:val="both"/>
      </w:pPr>
      <w:r>
        <w:rPr>
          <w:rFonts w:ascii="Times New Roman" w:hAnsi="Times New Roman" w:cs="Times New Roman" w:eastAsia="Batang"/>
          <w:i w:val="0"/>
          <w:sz w:val="20"/>
        </w:rPr>
        <w:t>The reference CFD solution for each benchmark case is computed from the ground-truth scene JSON using the same meshing and solver pipeline described above (Fig. 3). The reference path does not involve any VLM invocation: the ground-truth scene is generated by the rule-based benchmark generator and is never presented to Gemini. The 2D input images are rendered from the 3D ground-truth scene, but these renderings are used only as inputs to the VLM and do not participate in the reference CFD computation. This separation ensures that the evaluation is free from circular reasoning or data leakage.</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3364850"/>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28690" cy="3364850"/>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3  </w:t>
      </w:r>
      <w:r>
        <w:rPr>
          <w:rFonts w:ascii="Times New Roman" w:hAnsi="Times New Roman" w:cs="Times New Roman" w:eastAsia="Batang"/>
          <w:i w:val="0"/>
          <w:sz w:val="18"/>
        </w:rPr>
        <w:t>Evaluation pathway. The predicted path (top) processes the 2D input through VLM, scale calibration, and CFD; the reference path (bottom) uses the rule-based ground-truth scene directly. Both paths converge at the metric comparison stage.</w:t>
      </w:r>
    </w:p>
    <w:p>
      <w:pPr>
        <w:sectPr>
          <w:type w:val="continuous"/>
          <w:pgSz w:w="11906" w:h="16838" w:code="9"/>
          <w:pgMar w:top="1418" w:right="1134" w:bottom="851" w:left="1134" w:header="1134" w:footer="397" w:gutter="0"/>
          <w:cols w:space="720"/>
          <w:docGrid w:linePitch="272"/>
        </w:sectPr>
      </w:pPr>
    </w:p>
    <w:p>
      <w:pPr>
        <w:pStyle w:val="a0"/>
        <w:numPr>
          <w:ilvl w:val="0"/>
          <w:numId w:val="0"/>
        </w:numPr>
        <w:spacing w:before="200" w:after="100"/>
        <w:jc w:val="center"/>
      </w:pPr>
      <w:r>
        <w:rPr>
          <w:rFonts w:ascii="Times New Roman" w:hAnsi="Times New Roman" w:cs="Times New Roman" w:eastAsia="Batang"/>
          <w:b/>
          <w:sz w:val="22"/>
        </w:rPr>
        <w:t>3. Benchmark Dataset</w:t>
      </w:r>
    </w:p>
    <w:p>
      <w:pPr>
        <w:pStyle w:val="af7"/>
        <w:numPr>
          <w:ilvl w:val="0"/>
          <w:numId w:val="0"/>
        </w:numPr>
        <w:spacing w:before="160" w:after="80"/>
        <w:jc w:val="left"/>
      </w:pPr>
      <w:r>
        <w:rPr>
          <w:rFonts w:ascii="Times New Roman" w:hAnsi="Times New Roman" w:cs="Times New Roman" w:eastAsia="Batang"/>
          <w:b/>
          <w:sz w:val="21"/>
        </w:rPr>
        <w:t>3.1 Geometry design</w:t>
      </w:r>
    </w:p>
    <w:p>
      <w:pPr>
        <w:pStyle w:val="a1"/>
        <w:numPr>
          <w:ilvl w:val="0"/>
          <w:numId w:val="0"/>
        </w:numPr>
        <w:spacing w:after="80" w:line="276" w:lineRule="auto"/>
        <w:ind w:firstLine="230"/>
        <w:jc w:val="both"/>
      </w:pPr>
      <w:r>
        <w:rPr>
          <w:rFonts w:ascii="Times New Roman" w:hAnsi="Times New Roman" w:cs="Times New Roman" w:eastAsia="Batang"/>
          <w:i w:val="0"/>
          <w:sz w:val="20"/>
        </w:rPr>
        <w:t>The benchmark dataset comprises 20 indoor geometries organised into a 2 × 2 complexity matrix along two independent axes: room topology (rectangular versus composite L-shaped) and obstacle density (simple versus dense). The four resulting categories are designated A1 through A4 (Fig. 4). Category A1 contains simple rectangular rooms with zero or one obstacle, serving as a positive control where the framework is expected to perform well. Category A2 adds two to three obstacles to the rectangular room, introducing clutter without topological complexity. Category A3 replaces the rectangular room with an L-shaped composite geometry formed by the Boolean union of two axis-aligned blocks, while keeping obstacle density low. Category A4 combines the composite topology with dense obstacle placement, representing the most challenging condition. Each category contains five independently generated cases, yielding 20 geometries in total. Fig. 5 shows a representative case from each category with its reference CFD velocity field, illustrating the range of geometric complexity and the corresponding flow patterns.</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5023908"/>
            <wp:docPr id="4" name="Picture 4"/>
            <wp:cNvGraphicFramePr>
              <a:graphicFrameLocks noChangeAspect="1"/>
            </wp:cNvGraphicFramePr>
            <a:graphic>
              <a:graphicData uri="http://schemas.openxmlformats.org/drawingml/2006/picture">
                <pic:pic>
                  <pic:nvPicPr>
                    <pic:cNvPr id="0" name="fig_bench_design.png"/>
                    <pic:cNvPicPr/>
                  </pic:nvPicPr>
                  <pic:blipFill>
                    <a:blip r:embed="rId37"/>
                    <a:stretch>
                      <a:fillRect/>
                    </a:stretch>
                  </pic:blipFill>
                  <pic:spPr>
                    <a:xfrm>
                      <a:off x="0" y="0"/>
                      <a:ext cx="6028690" cy="5023908"/>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4  </w:t>
      </w:r>
      <w:r>
        <w:rPr>
          <w:rFonts w:ascii="Times New Roman" w:hAnsi="Times New Roman" w:cs="Times New Roman" w:eastAsia="Batang"/>
          <w:i w:val="0"/>
          <w:sz w:val="18"/>
        </w:rPr>
        <w:t>Benchmark dataset design. The 20 geometries are organised into a 2 × 2 matrix of room topology (rectangular vs. composite L-shaped) and obstacle density (simple vs. dense), yielding categories A1–A4; the summary table reports per-category evaluation statistics.</w:t>
      </w:r>
    </w:p>
    <w:p>
      <w:pPr>
        <w:sectPr>
          <w:type w:val="continuous"/>
          <w:pgSz w:w="11906" w:h="16838" w:code="9"/>
          <w:pgMar w:top="1418" w:right="1134" w:bottom="851" w:left="1134" w:header="1134" w:footer="397" w:gutter="0"/>
          <w:cols w:space="720"/>
          <w:docGrid w:linePitch="272"/>
        </w:sectPr>
      </w:pP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3805611"/>
            <wp:docPr id="5" name="Picture 5"/>
            <wp:cNvGraphicFramePr>
              <a:graphicFrameLocks noChangeAspect="1"/>
            </wp:cNvGraphicFramePr>
            <a:graphic>
              <a:graphicData uri="http://schemas.openxmlformats.org/drawingml/2006/picture">
                <pic:pic>
                  <pic:nvPicPr>
                    <pic:cNvPr id="0" name="fig_bench_cfd_showcase.png"/>
                    <pic:cNvPicPr/>
                  </pic:nvPicPr>
                  <pic:blipFill>
                    <a:blip r:embed="rId38"/>
                    <a:stretch>
                      <a:fillRect/>
                    </a:stretch>
                  </pic:blipFill>
                  <pic:spPr>
                    <a:xfrm>
                      <a:off x="0" y="0"/>
                      <a:ext cx="6028690" cy="3805611"/>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5  </w:t>
      </w:r>
      <w:r>
        <w:rPr>
          <w:rFonts w:ascii="Times New Roman" w:hAnsi="Times New Roman" w:cs="Times New Roman" w:eastAsia="Batang"/>
          <w:i w:val="0"/>
          <w:sz w:val="18"/>
        </w:rPr>
        <w:t>Representative reference cases from each complexity category: 3D geometry (left) and steady-state CFD velocity field with streamlines (right). (a) A1, (b) A2, (c) A3, (d) A4.</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All geometries are generated by a deterministic rule-based generator with fixed random seeds to ensure reproducibility. Room dimensions are sampled uniformly within realistic ranges (3 to 8 m in length, 3 to 6 m in width, 2.4 to 3.5 m in height). Obstacles are placed with a minimum wall clearance of 0.4 m and a minimum inter-obstacle clearance sufficient to avoid degenerate mesh cells. Each room has exactly one inlet and one outlet, placed on different walls. Opening sizes are sampled from a range of 0.3 to 1.0 m in each dimension, consistent with typical indoor ventilation diffuser dimensions.</w:t>
      </w:r>
    </w:p>
    <w:p>
      <w:pPr>
        <w:pStyle w:val="af7"/>
        <w:numPr>
          <w:ilvl w:val="0"/>
          <w:numId w:val="0"/>
        </w:numPr>
        <w:spacing w:before="160" w:after="80"/>
        <w:jc w:val="left"/>
      </w:pPr>
      <w:r>
        <w:rPr>
          <w:rFonts w:ascii="Times New Roman" w:hAnsi="Times New Roman" w:cs="Times New Roman" w:eastAsia="Batang"/>
          <w:b/>
          <w:sz w:val="21"/>
        </w:rPr>
        <w:t>3.2 Multi-view rendering protocol</w:t>
      </w:r>
    </w:p>
    <w:p>
      <w:pPr>
        <w:pStyle w:val="a1"/>
        <w:numPr>
          <w:ilvl w:val="0"/>
          <w:numId w:val="0"/>
        </w:numPr>
        <w:spacing w:after="80" w:line="276" w:lineRule="auto"/>
        <w:ind w:firstLine="230"/>
        <w:jc w:val="both"/>
      </w:pPr>
      <w:r>
        <w:rPr>
          <w:rFonts w:ascii="Times New Roman" w:hAnsi="Times New Roman" w:cs="Times New Roman" w:eastAsia="Batang"/>
          <w:i w:val="0"/>
          <w:sz w:val="20"/>
        </w:rPr>
        <w:t>Each of the 20 benchmark geometries is rendered into five distinct 2D input views (Fig. 6): perspective, bird's-eye, floor plan, wireframe, and section. The perspective view provides a natural photographic viewpoint with depth cues and foreshortening. The bird's-eye view offers a top-down oblique angle that reveals the overall layout. The floor-plan view is an orthographic top-down projection that preserves planimetric proportions but eliminates height information. The wireframe view renders the geometry as line edges without surface shading. The section view shows a vertical cut through the room, revealing the cross-sectional profile but obscuring features outside the cutting plane. Rendering all five views from each geometry yields 100 input images in total, enabling a controlled analysis of how input view type affects downstream prediction quality while holding the underlying geometry constant.</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1730736"/>
            <wp:docPr id="6" name="Picture 6"/>
            <wp:cNvGraphicFramePr>
              <a:graphicFrameLocks noChangeAspect="1"/>
            </wp:cNvGraphicFramePr>
            <a:graphic>
              <a:graphicData uri="http://schemas.openxmlformats.org/drawingml/2006/picture">
                <pic:pic>
                  <pic:nvPicPr>
                    <pic:cNvPr id="0" name="fig_bench_multiview.png"/>
                    <pic:cNvPicPr/>
                  </pic:nvPicPr>
                  <pic:blipFill>
                    <a:blip r:embed="rId39"/>
                    <a:stretch>
                      <a:fillRect/>
                    </a:stretch>
                  </pic:blipFill>
                  <pic:spPr>
                    <a:xfrm>
                      <a:off x="0" y="0"/>
                      <a:ext cx="6028690" cy="1730736"/>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6  </w:t>
      </w:r>
      <w:r>
        <w:rPr>
          <w:rFonts w:ascii="Times New Roman" w:hAnsi="Times New Roman" w:cs="Times New Roman" w:eastAsia="Batang"/>
          <w:i w:val="0"/>
          <w:sz w:val="18"/>
        </w:rPr>
        <w:t>Multi-view rendering protocol. The same geometry (A4-03) rendered into five input views: (a) perspective, (b) bird's-eye, (c) floor plan, (d) wireframe, and (e) section, illustrating the variation in information content.</w:t>
      </w:r>
    </w:p>
    <w:p>
      <w:pPr>
        <w:sectPr>
          <w:type w:val="continuous"/>
          <w:pgSz w:w="11906" w:h="16838" w:code="9"/>
          <w:pgMar w:top="1418" w:right="1134" w:bottom="851" w:left="1134" w:header="1134" w:footer="397" w:gutter="0"/>
          <w:cols w:space="720"/>
          <w:docGrid w:linePitch="272"/>
        </w:sectPr>
      </w:pPr>
    </w:p>
    <w:p>
      <w:pPr>
        <w:pStyle w:val="af7"/>
        <w:numPr>
          <w:ilvl w:val="0"/>
          <w:numId w:val="0"/>
        </w:numPr>
        <w:spacing w:before="160" w:after="80"/>
        <w:jc w:val="left"/>
      </w:pPr>
      <w:r>
        <w:rPr>
          <w:rFonts w:ascii="Times New Roman" w:hAnsi="Times New Roman" w:cs="Times New Roman" w:eastAsia="Batang"/>
          <w:b/>
          <w:sz w:val="21"/>
        </w:rPr>
        <w:t>3.3 Scale calibration</w:t>
      </w:r>
    </w:p>
    <w:p>
      <w:pPr>
        <w:pStyle w:val="a1"/>
        <w:numPr>
          <w:ilvl w:val="0"/>
          <w:numId w:val="0"/>
        </w:numPr>
        <w:spacing w:after="80" w:line="276" w:lineRule="auto"/>
        <w:ind w:firstLine="230"/>
        <w:jc w:val="both"/>
      </w:pPr>
      <w:r>
        <w:rPr>
          <w:rFonts w:ascii="Times New Roman" w:hAnsi="Times New Roman" w:cs="Times New Roman" w:eastAsia="Batang"/>
          <w:i w:val="0"/>
          <w:sz w:val="20"/>
        </w:rPr>
        <w:t>The VLM does not have access to absolute dimensional references in the input image, and its predicted scene dimensions therefore exhibit a systematic scale error. To correct this, a single-factor post-hoc scaling is applied: the longest horizontal span in the predicted geometry is identified, and the ratio between this span and the corresponding span in the reference geometry is used as a uniform scale factor applied to all coordinates. After calibration, the mean relative error in the scaled dimension (Lx) drops to 0.4%, while the remaining dimensions retain relative errors of approximately 22% (Ly) and 20% (Lz). This residual anisotropy reflects the VLM's tendency to estimate the dominant room dimension more accurately than secondary dimensions, and it is a known limitation of single-factor calibration.</w:t>
      </w:r>
    </w:p>
    <w:p>
      <w:pPr>
        <w:pStyle w:val="a0"/>
        <w:numPr>
          <w:ilvl w:val="0"/>
          <w:numId w:val="0"/>
        </w:numPr>
        <w:spacing w:before="200" w:after="100"/>
        <w:jc w:val="center"/>
      </w:pPr>
      <w:r>
        <w:rPr>
          <w:rFonts w:ascii="Times New Roman" w:hAnsi="Times New Roman" w:cs="Times New Roman" w:eastAsia="Batang"/>
          <w:b/>
          <w:sz w:val="22"/>
        </w:rPr>
        <w:t>4. Results</w:t>
      </w:r>
    </w:p>
    <w:p>
      <w:pPr>
        <w:pStyle w:val="af7"/>
        <w:numPr>
          <w:ilvl w:val="0"/>
          <w:numId w:val="0"/>
        </w:numPr>
        <w:spacing w:before="160" w:after="80"/>
        <w:jc w:val="left"/>
      </w:pPr>
      <w:r>
        <w:rPr>
          <w:rFonts w:ascii="Times New Roman" w:hAnsi="Times New Roman" w:cs="Times New Roman" w:eastAsia="Batang"/>
          <w:b/>
          <w:sz w:val="21"/>
        </w:rPr>
        <w:t>4.1 Aggregate performance</w:t>
      </w:r>
    </w:p>
    <w:p>
      <w:pPr>
        <w:pStyle w:val="a1"/>
        <w:numPr>
          <w:ilvl w:val="0"/>
          <w:numId w:val="0"/>
        </w:numPr>
        <w:spacing w:after="80" w:line="276" w:lineRule="auto"/>
        <w:ind w:firstLine="230"/>
        <w:jc w:val="both"/>
      </w:pPr>
      <w:r>
        <w:rPr>
          <w:rFonts w:ascii="Times New Roman" w:hAnsi="Times New Roman" w:cs="Times New Roman" w:eastAsia="Batang"/>
          <w:i w:val="0"/>
          <w:sz w:val="20"/>
        </w:rPr>
        <w:t>To contextualise the framework's performance, a naive geometric baseline is evaluated alongside the scale-calibrated pipeline. The baseline predicts a fixed 5 m × 4 m × 3 m rectangular room with no obstacles and one inlet-outlet pair on opposite walls for every case. Table 3 compares the two conditions.</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3  </w:t>
      </w:r>
      <w:r>
        <w:rPr>
          <w:rFonts w:ascii="Times New Roman" w:hAnsi="Times New Roman" w:cs="Times New Roman" w:eastAsia="Batang"/>
          <w:i w:val="0"/>
          <w:sz w:val="18"/>
        </w:rPr>
        <w:t>Structural score comparison: naive baseline versus scale-calibrated VLM pipeline. The VLM structural score is the conditional mean over the 97 cases with a converged predicted CFD solution; the naive-baseline score, which involves no CFD solve, is averaged over all 100 cases. Match rates are computed over all 100 predictions for both conditions.</w:t>
      </w:r>
    </w:p>
    <w:tbl>
      <w:tblPr>
        <w:tblW w:type="auto" w:w="0"/>
        <w:jc w:val="center"/>
        <w:tblLayout w:type="fixed"/>
        <w:tblLook w:firstColumn="1" w:firstRow="1" w:lastColumn="0" w:lastRow="0" w:noHBand="0" w:noVBand="1" w:val="04A0"/>
        <w:tblW w:w="9494" w:type="dxa"/>
      </w:tblPr>
      <w:tblGrid>
        <w:gridCol w:w="2409"/>
        <w:gridCol w:w="2409"/>
        <w:gridCol w:w="2409"/>
        <w:gridCol w:w="2409"/>
      </w:tblGrid>
      <w:tr>
        <w:tc>
          <w:tcPr>
            <w:tcW w:type="dxa" w:w="2373"/>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Condition</w:t>
            </w:r>
          </w:p>
        </w:tc>
        <w:tc>
          <w:tcPr>
            <w:tcW w:type="dxa" w:w="2373"/>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Structural score</w:t>
            </w:r>
          </w:p>
        </w:tc>
        <w:tc>
          <w:tcPr>
            <w:tcW w:type="dxa" w:w="2373"/>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Room-kind match</w:t>
            </w:r>
          </w:p>
        </w:tc>
        <w:tc>
          <w:tcPr>
            <w:tcW w:type="dxa" w:w="2373"/>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Opening-wall match</w:t>
            </w:r>
          </w:p>
        </w:tc>
      </w:tr>
      <w:tr>
        <w:tc>
          <w:tcPr>
            <w:tcW w:type="dxa" w:w="2373"/>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Naive geometric default</w:t>
            </w:r>
          </w:p>
        </w:tc>
        <w:tc>
          <w:tcPr>
            <w:tcW w:type="dxa" w:w="2373"/>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0.621</w:t>
            </w:r>
          </w:p>
        </w:tc>
        <w:tc>
          <w:tcPr>
            <w:tcW w:type="dxa" w:w="2373"/>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50%</w:t>
            </w:r>
          </w:p>
        </w:tc>
        <w:tc>
          <w:tcPr>
            <w:tcW w:type="dxa" w:w="2373"/>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80%</w:t>
            </w:r>
          </w:p>
        </w:tc>
      </w:tr>
      <w:tr>
        <w:tc>
          <w:tcPr>
            <w:tcW w:type="dxa" w:w="2373"/>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VLM, scale-calibrated</w:t>
            </w:r>
          </w:p>
        </w:tc>
        <w:tc>
          <w:tcPr>
            <w:tcW w:type="dxa" w:w="2373"/>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0.781</w:t>
            </w:r>
          </w:p>
        </w:tc>
        <w:tc>
          <w:tcPr>
            <w:tcW w:type="dxa" w:w="2373"/>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95%</w:t>
            </w:r>
          </w:p>
        </w:tc>
        <w:tc>
          <w:tcPr>
            <w:tcW w:type="dxa" w:w="2373"/>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70%</w:t>
            </w:r>
          </w:p>
        </w:tc>
      </w:tr>
    </w:tbl>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Note: the naive baseline achieves a higher opening-wall match rate (80%) than the VLM (70%) because the fixed west-inlet/east-outlet assignment happens to match many reference cases by chance, not because of superior spatial reasoning. The scale-calibrated framework achieves a mean structural score of 0.781 (n = 97; +25.8% relative over the naive baseline). The baseline's non-trivial score of 0.621 reflects that the structural metric rewards correct opening-type classification even when dimensions and obstacles are wrong. The VLM achieves a substantially higher room-kind match rate (95% vs. 50%), confirming reliable rectangular/composite topology discrimination that a fixed-geometry baseline cannot perform.</w:t>
      </w:r>
    </w:p>
    <w:p>
      <w:pPr>
        <w:pStyle w:val="a1"/>
        <w:numPr>
          <w:ilvl w:val="0"/>
          <w:numId w:val="0"/>
        </w:numPr>
        <w:spacing w:after="80" w:line="276" w:lineRule="auto"/>
        <w:ind w:firstLine="230"/>
        <w:jc w:val="both"/>
      </w:pPr>
      <w:r>
        <w:rPr>
          <w:rFonts w:ascii="Times New Roman" w:hAnsi="Times New Roman" w:cs="Times New Roman" w:eastAsia="Batang"/>
          <w:i w:val="0"/>
          <w:sz w:val="20"/>
        </w:rPr>
        <w:t>To further clarify the contribution of each evaluation component, Table 4 decomposes the structural score into its four constituents for both the naive baseline and the scale-calibrated pipeline.</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4  </w:t>
      </w:r>
      <w:r>
        <w:rPr>
          <w:rFonts w:ascii="Times New Roman" w:hAnsi="Times New Roman" w:cs="Times New Roman" w:eastAsia="Batang"/>
          <w:i w:val="0"/>
          <w:sz w:val="18"/>
        </w:rPr>
        <w:t>Component-level breakdown of the structural score.</w:t>
      </w:r>
    </w:p>
    <w:tbl>
      <w:tblPr>
        <w:tblW w:type="auto" w:w="0"/>
        <w:jc w:val="center"/>
        <w:tblLayout w:type="fixed"/>
        <w:tblLook w:firstColumn="1" w:firstRow="1" w:lastColumn="0" w:lastRow="0" w:noHBand="0" w:noVBand="1" w:val="04A0"/>
        <w:tblW w:w="9494" w:type="dxa"/>
      </w:tblPr>
      <w:tblGrid>
        <w:gridCol w:w="3213"/>
        <w:gridCol w:w="3213"/>
        <w:gridCol w:w="3213"/>
      </w:tblGrid>
      <w:tr>
        <w:tc>
          <w:tcPr>
            <w:tcW w:type="dxa" w:w="3165"/>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Component</w:t>
            </w:r>
          </w:p>
        </w:tc>
        <w:tc>
          <w:tcPr>
            <w:tcW w:type="dxa" w:w="3165"/>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Naive</w:t>
            </w:r>
          </w:p>
        </w:tc>
        <w:tc>
          <w:tcPr>
            <w:tcW w:type="dxa" w:w="3165"/>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Scale-calibrated</w:t>
            </w:r>
          </w:p>
        </w:tc>
      </w:tr>
      <w:tr>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Room block F1 (IoU ≥ 0.2)</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0.833</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0.988</w:t>
            </w:r>
          </w:p>
        </w:tc>
      </w:tr>
      <w:tr>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Obstacle F1 (IoU ≥ 0.1)</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0.150</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0.400</w:t>
            </w:r>
          </w:p>
        </w:tc>
      </w:tr>
      <w:tr>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Opening type F1</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1.000</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1.000</w:t>
            </w:r>
          </w:p>
        </w:tc>
      </w:tr>
      <w:tr>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Opening wall match ratio</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0.500</w:t>
            </w:r>
          </w:p>
        </w:tc>
        <w:tc>
          <w:tcPr>
            <w:tcW w:type="dxa" w:w="3165"/>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0.737</w:t>
            </w:r>
          </w:p>
        </w:tc>
      </w:tr>
      <w:tr>
        <w:tc>
          <w:tcPr>
            <w:tcW w:type="dxa" w:w="3165"/>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Overall structural score</w:t>
            </w:r>
          </w:p>
        </w:tc>
        <w:tc>
          <w:tcPr>
            <w:tcW w:type="dxa" w:w="3165"/>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0.621</w:t>
            </w:r>
          </w:p>
        </w:tc>
        <w:tc>
          <w:tcPr>
            <w:tcW w:type="dxa" w:w="3165"/>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0.781</w:t>
            </w:r>
          </w:p>
        </w:tc>
      </w:tr>
    </w:tbl>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Opening type F1 is trivially 1.0 for both conditions because the benchmark design specifies exactly one inlet and one outlet per case, guaranteeing a perfect match regardless of method. This component contributes a fixed 0.25 to the overall structural score; the remaining three components carry the discriminative power. Opening wall match ratio improves from 0.500 (naive, chance alignment) to 0.737 (VLM), confirming genuine spatial reasoning about which walls carry openings. Room block F1 is near-perfect for the VLM (0.988) after scale calibration, while obstacle F1 is the weakest component (0.400), accounting for most of the gap between current performance and a perfect score. </w:t>
      </w:r>
      <w:r>
        <w:rPr>
          <w:rFonts w:ascii="Times New Roman" w:hAnsi="Times New Roman" w:cs="Times New Roman" w:eastAsia="Batang"/>
          <w:i w:val="0"/>
          <w:sz w:val="20"/>
        </w:rPr>
        <w:t>To make the saturated component's contribution explicit, the aggregate is also reported with component (iii) excluded: the unweighted mean of the remaining three components is 0.708 ± 0.201 for the scale-calibrated pipeline versus 0.495 for the naive baseline, an approximately +43% relative improvement, compared with +25.8% when the saturated component is included. Because opening type F1 equals 1.0 in every case, the two aggregates are related by an exact linear transformation and rank all conditions and views identically; the four-component score is retained as the primary metric for comparability with the general schema. An application-weighted aggregate, for instance weighting opening-wall assignment more heavily when the target application is ventilation-pathway screening, is a further alternative left for future benchmark revisions.</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The mean reference CFD agreement score is 0.477 </w:t>
      </w:r>
      <w:r>
        <w:rPr>
          <w:rFonts w:ascii="Times New Roman" w:hAnsi="Times New Roman" w:cs="Times New Roman" w:eastAsia="Batang"/>
          <w:i w:val="0"/>
          <w:sz w:val="20"/>
        </w:rPr>
        <w:t>(n = 97)</w:t>
      </w:r>
      <w:r>
        <w:rPr>
          <w:rFonts w:ascii="Times New Roman" w:hAnsi="Times New Roman" w:cs="Times New Roman" w:eastAsia="Batang"/>
          <w:i w:val="0"/>
          <w:sz w:val="20"/>
        </w:rPr>
        <w:t xml:space="preserve">. Component decomposition (Fig. 7) shows overlap ratio (0.888) and velocity direction similarity (0.634) are moderate to high, while velocity magnitude similarity (0.117) is low and pressure similarity (0.269) is intermediate. These values indicate qualitatively correct flow patterns but quantitatively different velocity magnitudes. </w:t>
      </w:r>
      <w:r>
        <w:rPr>
          <w:rFonts w:ascii="Times New Roman" w:hAnsi="Times New Roman" w:cs="Times New Roman" w:eastAsia="Batang"/>
          <w:i w:val="0"/>
          <w:sz w:val="20"/>
        </w:rPr>
        <w:t>Component means are computed over the cases in which the corresponding field data are available, whereas the composite score assigns 0.0 to unavailable components (Section 2.3.2); the composite mean therefore sits slightly below the average of the four component means.</w:t>
      </w:r>
      <w:r>
        <w:rPr>
          <w:rFonts w:ascii="Times New Roman" w:hAnsi="Times New Roman" w:cs="Times New Roman" w:eastAsia="Batang"/>
          <w:i w:val="0"/>
          <w:sz w:val="20"/>
        </w:rPr>
        <w:t xml:space="preserve"> For reference, the COST 732 standard metrics averaged across all 97 cases yield a velocity magnitude hit rate of q = 0.09, FAC2 = 0.28, and a Pearson correlation of R = 0.44, confirming the limited quantitative velocity agreement identified by the agreement score decomposition. Detailed aggregate statistics are reported in Table 5.</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3875945"/>
            <wp:docPr id="7" name="Picture 7"/>
            <wp:cNvGraphicFramePr>
              <a:graphicFrameLocks noChangeAspect="1"/>
            </wp:cNvGraphicFramePr>
            <a:graphic>
              <a:graphicData uri="http://schemas.openxmlformats.org/drawingml/2006/picture">
                <pic:pic>
                  <pic:nvPicPr>
                    <pic:cNvPr id="0" name="fig_result_cfd_component_breakdown.png"/>
                    <pic:cNvPicPr/>
                  </pic:nvPicPr>
                  <pic:blipFill>
                    <a:blip r:embed="rId40"/>
                    <a:stretch>
                      <a:fillRect/>
                    </a:stretch>
                  </pic:blipFill>
                  <pic:spPr>
                    <a:xfrm>
                      <a:off x="0" y="0"/>
                      <a:ext cx="6028690" cy="3875945"/>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7  </w:t>
      </w:r>
      <w:r>
        <w:rPr>
          <w:rFonts w:ascii="Times New Roman" w:hAnsi="Times New Roman" w:cs="Times New Roman" w:eastAsia="Batang"/>
          <w:i w:val="0"/>
          <w:sz w:val="18"/>
        </w:rPr>
        <w:t>CFD agreement score decomposed into its four components (overlap ratio, velocity magnitude similarity, velocity direction similarity, pressure similarity), averaged over the 97 converged cases with standard-deviation error bars; the dashed line marks the overall composite CFD agreement score (0.477). Component means are computed over cases with available field data, whereas the composite score assigns 0.0 to unavailable components, so the composite mean sits slightly below the average of the component means. Velocity magnitude similarity is the weakest component, driving the low overall score despite high overlap and moderate directional agreement.</w:t>
      </w:r>
    </w:p>
    <w:p>
      <w:pPr>
        <w:sectPr>
          <w:type w:val="continuous"/>
          <w:pgSz w:w="11906" w:h="16838" w:code="9"/>
          <w:pgMar w:top="1418" w:right="1134" w:bottom="851" w:left="1134" w:header="1134" w:footer="397" w:gutter="0"/>
          <w:cols w:space="720"/>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5  </w:t>
      </w:r>
      <w:r>
        <w:rPr>
          <w:rFonts w:ascii="Times New Roman" w:hAnsi="Times New Roman" w:cs="Times New Roman" w:eastAsia="Batang"/>
          <w:i w:val="0"/>
          <w:sz w:val="18"/>
        </w:rPr>
        <w:t>Detailed evaluation results for the scale-calibrated pipeline. Structural and CFD scores are conditional means over the n = 97 converged cases (out of 100; three solver-divergence failures); match rates and dimensional errors are computed over all 100 predictions.</w:t>
      </w:r>
    </w:p>
    <w:tbl>
      <w:tblPr>
        <w:tblW w:type="auto" w:w="0"/>
        <w:jc w:val="center"/>
        <w:tblLayout w:type="fixed"/>
        <w:tblLook w:firstColumn="1" w:firstRow="1" w:lastColumn="0" w:lastRow="0" w:noHBand="0" w:noVBand="1" w:val="04A0"/>
        <w:tblW w:w="4534" w:type="dxa"/>
      </w:tblPr>
      <w:tblGrid>
        <w:gridCol w:w="4819"/>
        <w:gridCol w:w="4819"/>
      </w:tblGrid>
      <w:tr>
        <w:tc>
          <w:tcPr>
            <w:tcW w:type="dxa" w:w="2267"/>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Metric</w:t>
            </w:r>
          </w:p>
        </w:tc>
        <w:tc>
          <w:tcPr>
            <w:tcW w:type="dxa" w:w="2267"/>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Value</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structural score (n = 97)</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0.781 ± 0.150</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structural score, excl. opening type F1 (n = 97)</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0.708 ± 0.201</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CFD agreement score (n = 97)</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0.477 ± 0.158</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Room-kind match rate</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95%</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Opening-wall match rate</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70%</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Lx relative error</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0.4%</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Ly relative error</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21.9%</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Lz relative error</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19.8%</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Mean volume relative error</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36.6%</w:t>
            </w:r>
          </w:p>
        </w:tc>
      </w:tr>
      <w:tr>
        <w:tc>
          <w:tcPr>
            <w:tcW w:type="dxa" w:w="2267"/>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Solver divergence failures</w:t>
            </w:r>
          </w:p>
        </w:tc>
        <w:tc>
          <w:tcPr>
            <w:tcW w:type="dxa" w:w="2267"/>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3 / 100</w:t>
            </w:r>
          </w:p>
        </w:tc>
      </w:tr>
    </w:tbl>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Three cases (bench_a3_04/perspective, bench_a4_02/perspective, bench_a4_02/wireframe) failed to converge due to non-physical predicted geometries. </w:t>
      </w:r>
      <w:r>
        <w:rPr>
          <w:rFonts w:ascii="Times New Roman" w:hAnsi="Times New Roman" w:cs="Times New Roman" w:eastAsia="Batang"/>
          <w:i w:val="0"/>
          <w:sz w:val="20"/>
        </w:rPr>
        <w:t>These cases are excluded from both the structural and the CFD score aggregations, which are therefore conditional on solver convergence (n = 97); the room-kind and opening-wall match rates depend only on the VLM prediction and are computed over all 100 cases. For transparency, the unconditional scores obtained by assigning 0.0 to the three failed cases are: structural 0.758, CFD agreement 0.463.</w:t>
      </w:r>
      <w:r>
        <w:rPr>
          <w:rFonts w:ascii="Times New Roman" w:hAnsi="Times New Roman" w:cs="Times New Roman" w:eastAsia="Batang"/>
          <w:i w:val="0"/>
          <w:sz w:val="20"/>
        </w:rPr>
        <w:t xml:space="preserve"> The conditional scores (n = 97) are used throughout the paper unless noted otherwise.</w:t>
      </w:r>
    </w:p>
    <w:p>
      <w:pPr>
        <w:pStyle w:val="af7"/>
        <w:numPr>
          <w:ilvl w:val="0"/>
          <w:numId w:val="0"/>
        </w:numPr>
        <w:spacing w:before="160" w:after="80"/>
        <w:jc w:val="left"/>
      </w:pPr>
      <w:r>
        <w:rPr>
          <w:rFonts w:ascii="Times New Roman" w:hAnsi="Times New Roman" w:cs="Times New Roman" w:eastAsia="Batang"/>
          <w:b/>
          <w:sz w:val="21"/>
        </w:rPr>
        <w:t>4.2 Effect of input view type</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The input view type has a pronounced effect on performance (Fig. 8). The floor-plan view achieves the highest scores (structural 0.884 ± 0.110, CFD 0.572 ± 0.185), consistent with its orthographic top-down projection preserving planimetric information. Rankings for the remaining views are: bird's-eye (0.800, 0.495), perspective (0.782, 0.443), wireframe (0.760, 0.476), and section (0.679, 0.396). </w:t>
      </w:r>
      <w:r>
        <w:rPr>
          <w:rFonts w:ascii="Times New Roman" w:hAnsi="Times New Roman" w:cs="Times New Roman" w:eastAsia="Batang"/>
          <w:i w:val="0"/>
          <w:sz w:val="20"/>
        </w:rPr>
        <w:t>Excluding the non-discriminative opening type component preserves this ranking exactly (floor plan 0.845, bird's-eye 0.733, perspective 0.710, wireframe 0.680, section 0.572).</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3308244"/>
            <wp:docPr id="8" name="Picture 8"/>
            <wp:cNvGraphicFramePr>
              <a:graphicFrameLocks noChangeAspect="1"/>
            </wp:cNvGraphicFramePr>
            <a:graphic>
              <a:graphicData uri="http://schemas.openxmlformats.org/drawingml/2006/picture">
                <pic:pic>
                  <pic:nvPicPr>
                    <pic:cNvPr id="0" name="fig_result_view_aggregate.png"/>
                    <pic:cNvPicPr/>
                  </pic:nvPicPr>
                  <pic:blipFill>
                    <a:blip r:embed="rId41"/>
                    <a:stretch>
                      <a:fillRect/>
                    </a:stretch>
                  </pic:blipFill>
                  <pic:spPr>
                    <a:xfrm>
                      <a:off x="0" y="0"/>
                      <a:ext cx="6028690" cy="3308244"/>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8  </w:t>
      </w:r>
      <w:r>
        <w:rPr>
          <w:rFonts w:ascii="Times New Roman" w:hAnsi="Times New Roman" w:cs="Times New Roman" w:eastAsia="Batang"/>
          <w:i w:val="0"/>
          <w:sz w:val="18"/>
        </w:rPr>
        <w:t>Aggregate performance by input view type. (a) Mean structural and CFD scores. (b) Room-kind and opening-wall match rates. Floor plan achieves the highest performance across all metrics.</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Opening-wall match rate shows the most dramatic view dependence: floor plan 100%, bird's-eye 85%, wireframe 75%, perspective 65%, and section only 25%. The section view's poor performance arises because a vertical cutting plane typically intersects only one or two walls, leaving remaining openings invisible to the VLM. Room-kind match rate is more robust, ranging from 90% (perspective and section) to 100% (bird's-eye and floor plan), as topology identification depends more on the overall room silhouette than on fine-grained wall visibility.</w:t>
      </w:r>
    </w:p>
    <w:p>
      <w:pPr>
        <w:pStyle w:val="af7"/>
        <w:numPr>
          <w:ilvl w:val="0"/>
          <w:numId w:val="0"/>
        </w:numPr>
        <w:spacing w:before="160" w:after="80"/>
        <w:jc w:val="left"/>
      </w:pPr>
      <w:r>
        <w:rPr>
          <w:rFonts w:ascii="Times New Roman" w:hAnsi="Times New Roman" w:cs="Times New Roman" w:eastAsia="Batang"/>
          <w:b/>
          <w:sz w:val="21"/>
        </w:rPr>
        <w:t>4.3 Effect of geometric complexity</w:t>
      </w:r>
    </w:p>
    <w:p>
      <w:pPr>
        <w:pStyle w:val="a1"/>
        <w:numPr>
          <w:ilvl w:val="0"/>
          <w:numId w:val="0"/>
        </w:numPr>
        <w:spacing w:after="80" w:line="276" w:lineRule="auto"/>
        <w:ind w:firstLine="230"/>
        <w:jc w:val="both"/>
      </w:pPr>
      <w:r>
        <w:rPr>
          <w:rFonts w:ascii="Times New Roman" w:hAnsi="Times New Roman" w:cs="Times New Roman" w:eastAsia="Batang"/>
          <w:i w:val="0"/>
          <w:sz w:val="20"/>
        </w:rPr>
        <w:t>Performance varies across complexity categories (Fig. 9). A1 (simple rectangular) achieves the highest scores (structural 0.845, CFD 0.519). A2 (rectangular dense) yields the lowest structural score (0.707) despite simpler room topology, because higher obstacle density increases placement errors. A3 and A4 (composite) achieve structural scores of 0.783 and 0.791, showing that composite topology alone does not severely degrade structural prediction; CFD scores are 0.498 (A2), 0.480 (A3), and 0.407 (A4).</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3426305"/>
            <wp:docPr id="9" name="Picture 9"/>
            <wp:cNvGraphicFramePr>
              <a:graphicFrameLocks noChangeAspect="1"/>
            </wp:cNvGraphicFramePr>
            <a:graphic>
              <a:graphicData uri="http://schemas.openxmlformats.org/drawingml/2006/picture">
                <pic:pic>
                  <pic:nvPicPr>
                    <pic:cNvPr id="0" name="fig_result_category_aggregate.png"/>
                    <pic:cNvPicPr/>
                  </pic:nvPicPr>
                  <pic:blipFill>
                    <a:blip r:embed="rId42"/>
                    <a:stretch>
                      <a:fillRect/>
                    </a:stretch>
                  </pic:blipFill>
                  <pic:spPr>
                    <a:xfrm>
                      <a:off x="0" y="0"/>
                      <a:ext cx="6028690" cy="3426305"/>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9  </w:t>
      </w:r>
      <w:r>
        <w:rPr>
          <w:rFonts w:ascii="Times New Roman" w:hAnsi="Times New Roman" w:cs="Times New Roman" w:eastAsia="Batang"/>
          <w:i w:val="0"/>
          <w:sz w:val="18"/>
        </w:rPr>
        <w:t>Aggregate performance by benchmark category. (a) Mean structural and CFD scores. (b) Room-kind and opening-wall match rates.</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Opening-wall match rates differ: A1 88%, A3 and A4 each 72%, A2 only 48%. The low A2 rate reflects the geometric equivalence of all four walls in a rectangular room, leaving the VLM without topological cues. In composite rooms, the L-shaped topology provides a spatial anchor that improves opening-wall assignment.</w:t>
      </w:r>
    </w:p>
    <w:p>
      <w:pPr>
        <w:pStyle w:val="af7"/>
        <w:numPr>
          <w:ilvl w:val="0"/>
          <w:numId w:val="0"/>
        </w:numPr>
        <w:spacing w:before="160" w:after="80"/>
        <w:jc w:val="left"/>
      </w:pPr>
      <w:r>
        <w:rPr>
          <w:rFonts w:ascii="Times New Roman" w:hAnsi="Times New Roman" w:cs="Times New Roman" w:eastAsia="Batang"/>
          <w:b/>
          <w:sz w:val="21"/>
        </w:rPr>
        <w:t>4.4 Solver robustness</w:t>
      </w:r>
    </w:p>
    <w:p>
      <w:pPr>
        <w:pStyle w:val="a1"/>
        <w:numPr>
          <w:ilvl w:val="0"/>
          <w:numId w:val="0"/>
        </w:numPr>
        <w:spacing w:after="80" w:line="276" w:lineRule="auto"/>
        <w:ind w:firstLine="230"/>
        <w:jc w:val="both"/>
      </w:pPr>
      <w:r>
        <w:rPr>
          <w:rFonts w:ascii="Times New Roman" w:hAnsi="Times New Roman" w:cs="Times New Roman" w:eastAsia="Batang"/>
          <w:i w:val="0"/>
          <w:sz w:val="20"/>
        </w:rPr>
        <w:t>Of the 100 cases, 97 produce a converged solution and 3 fail due to solver divergence from non-physical predicted geometries. Of the 97 converged cases, the majority converge under the nominal solver configuration; the remainder require escalation through the robustness pathway (Fig. 10). The escalation rate is highest for the section view and the floor-plan view, the latter driven by cases where the accurate geometry produces complex internal flow structures that challenge the turbulence model at the nominal mesh resolution.</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2931450"/>
            <wp:docPr id="10" name="Picture 10"/>
            <wp:cNvGraphicFramePr>
              <a:graphicFrameLocks noChangeAspect="1"/>
            </wp:cNvGraphicFramePr>
            <a:graphic>
              <a:graphicData uri="http://schemas.openxmlformats.org/drawingml/2006/picture">
                <pic:pic>
                  <pic:nvPicPr>
                    <pic:cNvPr id="0" name="fig_result_robustness.png"/>
                    <pic:cNvPicPr/>
                  </pic:nvPicPr>
                  <pic:blipFill>
                    <a:blip r:embed="rId43"/>
                    <a:stretch>
                      <a:fillRect/>
                    </a:stretch>
                  </pic:blipFill>
                  <pic:spPr>
                    <a:xfrm>
                      <a:off x="0" y="0"/>
                      <a:ext cx="6028690" cy="2931450"/>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10  </w:t>
      </w:r>
      <w:r>
        <w:rPr>
          <w:rFonts w:ascii="Times New Roman" w:hAnsi="Times New Roman" w:cs="Times New Roman" w:eastAsia="Batang"/>
          <w:i w:val="0"/>
          <w:sz w:val="18"/>
        </w:rPr>
        <w:t>Robustness and convergence summary.</w:t>
      </w:r>
    </w:p>
    <w:p>
      <w:pPr>
        <w:sectPr>
          <w:type w:val="continuous"/>
          <w:pgSz w:w="11906" w:h="16838" w:code="9"/>
          <w:pgMar w:top="1418" w:right="1134" w:bottom="851" w:left="1134" w:header="1134" w:footer="397" w:gutter="0"/>
          <w:cols w:space="720"/>
          <w:docGrid w:linePitch="272"/>
        </w:sectPr>
      </w:pPr>
    </w:p>
    <w:p>
      <w:pPr>
        <w:pStyle w:val="af7"/>
        <w:numPr>
          <w:ilvl w:val="0"/>
          <w:numId w:val="0"/>
        </w:numPr>
        <w:spacing w:before="160" w:after="80"/>
        <w:jc w:val="left"/>
      </w:pPr>
      <w:r>
        <w:rPr>
          <w:rFonts w:ascii="Times New Roman" w:hAnsi="Times New Roman" w:cs="Times New Roman" w:eastAsia="Batang"/>
          <w:b/>
          <w:sz w:val="21"/>
        </w:rPr>
        <w:t>4.5 VLM output repeatability</w:t>
      </w:r>
    </w:p>
    <w:p>
      <w:pPr>
        <w:pStyle w:val="a1"/>
        <w:numPr>
          <w:ilvl w:val="0"/>
          <w:numId w:val="0"/>
        </w:numPr>
        <w:spacing w:after="80" w:line="276" w:lineRule="auto"/>
        <w:ind w:firstLine="230"/>
        <w:jc w:val="both"/>
      </w:pPr>
      <w:r>
        <w:rPr>
          <w:rFonts w:ascii="Times New Roman" w:hAnsi="Times New Roman" w:cs="Times New Roman" w:eastAsia="Batang"/>
          <w:i w:val="0"/>
          <w:sz w:val="20"/>
        </w:rPr>
        <w:t>Because the VLM operates with a sampling temperature of 0.2, its output is stochastic rather than deterministic. To characterise this variation, three representative cases (bench_a1_01, bench_a3_03, bench_a4_03) were each processed three times through the floor-plan pipeline. Table 6 reports the structural scores across runs.</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6  </w:t>
      </w:r>
      <w:r>
        <w:rPr>
          <w:rFonts w:ascii="Times New Roman" w:hAnsi="Times New Roman" w:cs="Times New Roman" w:eastAsia="Batang"/>
          <w:i w:val="0"/>
          <w:sz w:val="18"/>
        </w:rPr>
        <w:t>VLM repeatability: structural scores across 3 independent runs per case (floor-plan view).</w:t>
      </w:r>
    </w:p>
    <w:tbl>
      <w:tblPr>
        <w:tblW w:type="auto" w:w="0"/>
        <w:jc w:val="center"/>
        <w:tblLayout w:type="fixed"/>
        <w:tblLook w:firstColumn="1" w:firstRow="1" w:lastColumn="0" w:lastRow="0" w:noHBand="0" w:noVBand="1" w:val="04A0"/>
        <w:tblW w:w="9494" w:type="dxa"/>
      </w:tblPr>
      <w:tblGrid>
        <w:gridCol w:w="1928"/>
        <w:gridCol w:w="1928"/>
        <w:gridCol w:w="1928"/>
        <w:gridCol w:w="1928"/>
        <w:gridCol w:w="1928"/>
      </w:tblGrid>
      <w:tr>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Case</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Run 1</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Run 2</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Run 3</w:t>
            </w:r>
          </w:p>
        </w:tc>
        <w:tc>
          <w:tcPr>
            <w:tcW w:type="dxa" w:w="1899"/>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Mean ± SD</w:t>
            </w:r>
          </w:p>
        </w:tc>
      </w:tr>
      <w:tr>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A1-01 (simple)</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0.875</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0.875</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0.875</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0.875 ± 0.000</w:t>
            </w:r>
          </w:p>
        </w:tc>
      </w:tr>
      <w:tr>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A3-03 (composite)</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1.000</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0.875</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0.875</w:t>
            </w:r>
          </w:p>
        </w:tc>
        <w:tc>
          <w:tcPr>
            <w:tcW w:type="dxa" w:w="1899"/>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0.917 ± 0.059</w:t>
            </w:r>
          </w:p>
        </w:tc>
      </w:tr>
      <w:tr>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A4-03 (dense)</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0.917</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1.000</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1.000</w:t>
            </w:r>
          </w:p>
        </w:tc>
        <w:tc>
          <w:tcPr>
            <w:tcW w:type="dxa" w:w="1899"/>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0.972 ± 0.039</w:t>
            </w:r>
          </w:p>
        </w:tc>
      </w:tr>
    </w:tbl>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The mean standard deviation is 0.033. Room topology (room block F1 = 1.0) and opening-wall assignment (wall match ratio = 1.0) are perfectly consistent across all runs; variation arises solely from obstacle matching. Raw room dimensions vary substantially between runs (e.g., scale factors of 0.54, 1.08, and 0.86 for the same case), confirming that post-hoc scale calibration is essential. The small sample size (9 observations) limits statistical power; a larger study is needed to fully characterise VLM stochastic variation.</w:t>
      </w:r>
    </w:p>
    <w:p>
      <w:pPr>
        <w:pStyle w:val="a0"/>
        <w:numPr>
          <w:ilvl w:val="0"/>
          <w:numId w:val="0"/>
        </w:numPr>
        <w:spacing w:before="200" w:after="100"/>
        <w:jc w:val="center"/>
      </w:pPr>
      <w:r>
        <w:rPr>
          <w:rFonts w:ascii="Times New Roman" w:hAnsi="Times New Roman" w:cs="Times New Roman" w:eastAsia="Batang"/>
          <w:b/>
          <w:sz w:val="22"/>
        </w:rPr>
        <w:t>5. Discussion</w:t>
      </w:r>
    </w:p>
    <w:p>
      <w:pPr>
        <w:pStyle w:val="af7"/>
        <w:numPr>
          <w:ilvl w:val="0"/>
          <w:numId w:val="0"/>
        </w:numPr>
        <w:spacing w:before="160" w:after="80"/>
        <w:jc w:val="left"/>
      </w:pPr>
      <w:r>
        <w:rPr>
          <w:rFonts w:ascii="Times New Roman" w:hAnsi="Times New Roman" w:cs="Times New Roman" w:eastAsia="Batang"/>
          <w:b/>
          <w:sz w:val="21"/>
        </w:rPr>
        <w:t>5.1 Failure mode I: composite-room collapse under section view</w:t>
      </w:r>
    </w:p>
    <w:p>
      <w:pPr>
        <w:pStyle w:val="a1"/>
        <w:numPr>
          <w:ilvl w:val="0"/>
          <w:numId w:val="0"/>
        </w:numPr>
        <w:spacing w:after="80" w:line="276" w:lineRule="auto"/>
        <w:ind w:firstLine="230"/>
        <w:jc w:val="both"/>
      </w:pPr>
      <w:r>
        <w:rPr>
          <w:rFonts w:ascii="Times New Roman" w:hAnsi="Times New Roman" w:cs="Times New Roman" w:eastAsia="Batang"/>
          <w:i w:val="0"/>
          <w:sz w:val="20"/>
        </w:rPr>
        <w:t>When a section cutting plane passes through only one block of an L-shaped room, the VLM infers a rectangular room and discards the second block entirely (Fig. 11). This collapse eliminates recirculation zones present in the reference solution and degrades both structural and CFD scores. The failure is inherent to the section view's limited information content: a vertical section through an L-shaped room is geometrically indistinguishable from a rectangular section unless the plane intersects the block junction. Section views should therefore be avoided for suspected non-rectangular topologies, or supplemented with a second view.</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4323073"/>
            <wp:docPr id="11" name="Picture 11"/>
            <wp:cNvGraphicFramePr>
              <a:graphicFrameLocks noChangeAspect="1"/>
            </wp:cNvGraphicFramePr>
            <a:graphic>
              <a:graphicData uri="http://schemas.openxmlformats.org/drawingml/2006/picture">
                <pic:pic>
                  <pic:nvPicPr>
                    <pic:cNvPr id="0" name="fig_discuss_section_collapse.png"/>
                    <pic:cNvPicPr/>
                  </pic:nvPicPr>
                  <pic:blipFill>
                    <a:blip r:embed="rId44"/>
                    <a:stretch>
                      <a:fillRect/>
                    </a:stretch>
                  </pic:blipFill>
                  <pic:spPr>
                    <a:xfrm>
                      <a:off x="0" y="0"/>
                      <a:ext cx="6028690" cy="4323073"/>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11  </w:t>
      </w:r>
      <w:r>
        <w:rPr>
          <w:rFonts w:ascii="Times New Roman" w:hAnsi="Times New Roman" w:cs="Times New Roman" w:eastAsia="Batang"/>
          <w:i w:val="0"/>
          <w:sz w:val="18"/>
        </w:rPr>
        <w:t>Composite-room collapse under section view. Cases A3-04 and A4-05 are shown with reference geometry (left) and VLM prediction with ground-truth overlay (right); the VLM collapses the L-shaped room to a single rectangular block in both cases.</w:t>
      </w:r>
    </w:p>
    <w:p>
      <w:pPr>
        <w:sectPr>
          <w:type w:val="continuous"/>
          <w:pgSz w:w="11906" w:h="16838" w:code="9"/>
          <w:pgMar w:top="1418" w:right="1134" w:bottom="851" w:left="1134" w:header="1134" w:footer="397" w:gutter="0"/>
          <w:cols w:space="720"/>
          <w:docGrid w:linePitch="272"/>
        </w:sectPr>
      </w:pPr>
    </w:p>
    <w:p>
      <w:pPr>
        <w:pStyle w:val="af7"/>
        <w:numPr>
          <w:ilvl w:val="0"/>
          <w:numId w:val="0"/>
        </w:numPr>
        <w:spacing w:before="160" w:after="80"/>
        <w:jc w:val="left"/>
      </w:pPr>
      <w:r>
        <w:rPr>
          <w:rFonts w:ascii="Times New Roman" w:hAnsi="Times New Roman" w:cs="Times New Roman" w:eastAsia="Batang"/>
          <w:b/>
          <w:sz w:val="21"/>
        </w:rPr>
        <w:t>5.2 Failure mode II: obstacle hallucination with limited CFD penalty</w:t>
      </w:r>
    </w:p>
    <w:p>
      <w:pPr>
        <w:pStyle w:val="a1"/>
        <w:numPr>
          <w:ilvl w:val="0"/>
          <w:numId w:val="0"/>
        </w:numPr>
        <w:spacing w:after="80" w:line="276" w:lineRule="auto"/>
        <w:ind w:firstLine="230"/>
        <w:jc w:val="both"/>
      </w:pPr>
      <w:r>
        <w:rPr>
          <w:rFonts w:ascii="Times New Roman" w:hAnsi="Times New Roman" w:cs="Times New Roman" w:eastAsia="Batang"/>
          <w:i w:val="0"/>
          <w:sz w:val="20"/>
        </w:rPr>
        <w:t>The VLM frequently predicts obstacles absent from the reference, particularly in wireframe and section views where sparse visual cues are misinterpreted as internal structures (Fig. 12). In two representative A3 wireframe cases, obstacle counts inflate from 0 to 3 and from 1 to 3, yet CFD agreement scores remain 0.380 and 0.529, with opening assignments preserved. Hallucinated obstacles tend to be small relative to room volume and sit away from the main flow path, so they disturb the local velocity field but leave bulk ventilation patterns intact. Obstacle prediction errors are therefore tolerable when the primary interest is bulk airflow rather than near-furniture velocity detail.</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4365776"/>
            <wp:docPr id="12" name="Picture 12"/>
            <wp:cNvGraphicFramePr>
              <a:graphicFrameLocks noChangeAspect="1"/>
            </wp:cNvGraphicFramePr>
            <a:graphic>
              <a:graphicData uri="http://schemas.openxmlformats.org/drawingml/2006/picture">
                <pic:pic>
                  <pic:nvPicPr>
                    <pic:cNvPr id="0" name="fig_discuss_obstacle_hallucination.png"/>
                    <pic:cNvPicPr/>
                  </pic:nvPicPr>
                  <pic:blipFill>
                    <a:blip r:embed="rId45"/>
                    <a:stretch>
                      <a:fillRect/>
                    </a:stretch>
                  </pic:blipFill>
                  <pic:spPr>
                    <a:xfrm>
                      <a:off x="0" y="0"/>
                      <a:ext cx="6028690" cy="4365776"/>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12  </w:t>
      </w:r>
      <w:r>
        <w:rPr>
          <w:rFonts w:ascii="Times New Roman" w:hAnsi="Times New Roman" w:cs="Times New Roman" w:eastAsia="Batang"/>
          <w:i w:val="0"/>
          <w:sz w:val="18"/>
        </w:rPr>
        <w:t>Obstacle hallucination with limited CFD penalty. Two A3 wireframe cases show obstacle count inflation (0 → 3 and 1 → 3); hallucinated obstacles (orange cross-hatch) are distinguished from matched predictions (tan). Opening topology is preserved and CFD scores remain 0.380 and 0.529.</w:t>
      </w:r>
    </w:p>
    <w:p>
      <w:pPr>
        <w:sectPr>
          <w:type w:val="continuous"/>
          <w:pgSz w:w="11906" w:h="16838" w:code="9"/>
          <w:pgMar w:top="1418" w:right="1134" w:bottom="851" w:left="1134" w:header="1134" w:footer="397" w:gutter="0"/>
          <w:cols w:space="720"/>
          <w:docGrid w:linePitch="272"/>
        </w:sectPr>
      </w:pPr>
    </w:p>
    <w:p>
      <w:pPr>
        <w:pStyle w:val="af7"/>
        <w:numPr>
          <w:ilvl w:val="0"/>
          <w:numId w:val="0"/>
        </w:numPr>
        <w:spacing w:before="160" w:after="80"/>
        <w:jc w:val="left"/>
      </w:pPr>
      <w:r>
        <w:rPr>
          <w:rFonts w:ascii="Times New Roman" w:hAnsi="Times New Roman" w:cs="Times New Roman" w:eastAsia="Batang"/>
          <w:b/>
          <w:sz w:val="21"/>
        </w:rPr>
        <w:t>5.3 Failure mode III: structure-versus-fidelity gap in dense composites</w:t>
      </w:r>
    </w:p>
    <w:p>
      <w:pPr>
        <w:pStyle w:val="a1"/>
        <w:numPr>
          <w:ilvl w:val="0"/>
          <w:numId w:val="0"/>
        </w:numPr>
        <w:spacing w:after="80" w:line="276" w:lineRule="auto"/>
        <w:ind w:firstLine="230"/>
        <w:jc w:val="both"/>
      </w:pPr>
      <w:r>
        <w:rPr>
          <w:rFonts w:ascii="Times New Roman" w:hAnsi="Times New Roman" w:cs="Times New Roman" w:eastAsia="Batang"/>
          <w:i w:val="0"/>
          <w:sz w:val="20"/>
        </w:rPr>
        <w:t>Structural and CFD scores are only weakly correlated across all 97 valid cases (Fig. 14). The decoupling is most pronounced in A4: case A4-02 achieves a structural score of 0.813 yet a CFD score of only 0.346; case A4-04 scores 0.917 structurally yet 0.302 in CFD (Fig. 13). In dense obstacle configurations, the flow field is sensitive to small geometric perturbations: misalignments of a few centimetres, even within the IoU matching threshold, can redirect jets, create or eliminate recirculation zones, and shift stagnation points. Bounding-box structural matching alone does not guarantee CFD fidelity in these cases.</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5445917"/>
            <wp:docPr id="13" name="Picture 13"/>
            <wp:cNvGraphicFramePr>
              <a:graphicFrameLocks noChangeAspect="1"/>
            </wp:cNvGraphicFramePr>
            <a:graphic>
              <a:graphicData uri="http://schemas.openxmlformats.org/drawingml/2006/picture">
                <pic:pic>
                  <pic:nvPicPr>
                    <pic:cNvPr id="0" name="fig_discuss_structure_cfd_gap.png"/>
                    <pic:cNvPicPr/>
                  </pic:nvPicPr>
                  <pic:blipFill>
                    <a:blip r:embed="rId46"/>
                    <a:stretch>
                      <a:fillRect/>
                    </a:stretch>
                  </pic:blipFill>
                  <pic:spPr>
                    <a:xfrm>
                      <a:off x="0" y="0"/>
                      <a:ext cx="6028690" cy="5445917"/>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13  </w:t>
      </w:r>
      <w:r>
        <w:rPr>
          <w:rFonts w:ascii="Times New Roman" w:hAnsi="Times New Roman" w:cs="Times New Roman" w:eastAsia="Batang"/>
          <w:i w:val="0"/>
          <w:sz w:val="18"/>
        </w:rPr>
        <w:t xml:space="preserve">Structure-versus-fidelity gap in dense composites. </w:t>
      </w:r>
      <w:r>
        <w:rPr>
          <w:rFonts w:ascii="Times New Roman" w:hAnsi="Times New Roman" w:cs="Times New Roman" w:eastAsia="Batang"/>
          <w:i w:val="0"/>
          <w:sz w:val="18"/>
        </w:rPr>
        <w:t>Two A4 cases (bird's-eye view) with high structural scores, 0.813 for A4-02 and 0.917 for A4-04, achieve low CFD scores of 0.346 and 0.302, respectively</w:t>
      </w:r>
      <w:r>
        <w:rPr>
          <w:rFonts w:ascii="Times New Roman" w:hAnsi="Times New Roman" w:cs="Times New Roman" w:eastAsia="Batang"/>
          <w:i w:val="0"/>
          <w:sz w:val="18"/>
        </w:rPr>
        <w:t>; left panels show geometry overlap, right panels compare flow fields.</w:t>
      </w:r>
    </w:p>
    <w:p>
      <w:pPr>
        <w:sectPr>
          <w:type w:val="continuous"/>
          <w:pgSz w:w="11906" w:h="16838" w:code="9"/>
          <w:pgMar w:top="1418" w:right="1134" w:bottom="851" w:left="1134" w:header="1134" w:footer="397" w:gutter="0"/>
          <w:cols w:space="720"/>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2851658" cy="2709075"/>
            <wp:docPr id="14" name="Picture 14"/>
            <wp:cNvGraphicFramePr>
              <a:graphicFrameLocks noChangeAspect="1"/>
            </wp:cNvGraphicFramePr>
            <a:graphic>
              <a:graphicData uri="http://schemas.openxmlformats.org/drawingml/2006/picture">
                <pic:pic>
                  <pic:nvPicPr>
                    <pic:cNvPr id="0" name="fig_discuss_scatter_struct_cfd.png"/>
                    <pic:cNvPicPr/>
                  </pic:nvPicPr>
                  <pic:blipFill>
                    <a:blip r:embed="rId47"/>
                    <a:stretch>
                      <a:fillRect/>
                    </a:stretch>
                  </pic:blipFill>
                  <pic:spPr>
                    <a:xfrm>
                      <a:off x="0" y="0"/>
                      <a:ext cx="2851658" cy="2709075"/>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14  </w:t>
      </w:r>
      <w:r>
        <w:rPr>
          <w:rFonts w:ascii="Times New Roman" w:hAnsi="Times New Roman" w:cs="Times New Roman" w:eastAsia="Batang"/>
          <w:i w:val="0"/>
          <w:sz w:val="18"/>
        </w:rPr>
        <w:t>Structural score versus CFD agreement score for all 97 valid cases.</w:t>
      </w:r>
    </w:p>
    <w:p>
      <w:pPr>
        <w:pStyle w:val="af7"/>
        <w:numPr>
          <w:ilvl w:val="0"/>
          <w:numId w:val="0"/>
        </w:numPr>
        <w:spacing w:before="160" w:after="80"/>
        <w:jc w:val="left"/>
      </w:pPr>
      <w:r>
        <w:rPr>
          <w:rFonts w:ascii="Times New Roman" w:hAnsi="Times New Roman" w:cs="Times New Roman" w:eastAsia="Batang"/>
          <w:b/>
          <w:sz w:val="21"/>
        </w:rPr>
        <w:t>5.4 Scale calibration and its limitations</w:t>
      </w:r>
    </w:p>
    <w:p>
      <w:pPr>
        <w:pStyle w:val="a1"/>
        <w:numPr>
          <w:ilvl w:val="0"/>
          <w:numId w:val="0"/>
        </w:numPr>
        <w:spacing w:after="80" w:line="276" w:lineRule="auto"/>
        <w:ind w:firstLine="230"/>
        <w:jc w:val="both"/>
      </w:pPr>
      <w:r>
        <w:rPr>
          <w:rFonts w:ascii="Times New Roman" w:hAnsi="Times New Roman" w:cs="Times New Roman" w:eastAsia="Batang"/>
          <w:i w:val="0"/>
          <w:sz w:val="20"/>
        </w:rPr>
        <w:t>The single-factor scaling requires one user-provided dimension, the minimum input needed for physically meaningful CFD from a monocular image. This is an intentional design choice: absolute scale cannot be inferred from a single image regardless of the VLM's capability, and omitting it would produce dimensionally arbitrary results unsuitable for engineering use. In the benchmark, this dimension is taken from the ground-truth geometry; in practice, a single tape measurement or a dimension annotation on the drawing suffices. The calibration reduces the mean Lx error to 0.4% but leaves the secondary dimensions (Ly, Lz) with relative errors of approximately 20%. This anisotropic residual error distorts the room volume (affecting bulk velocity magnitude for a given inlet flow rate) and alters the aspect ratio (shifting reattachment points and recirculation zones). A multi-factor calibration correcting each dimension independently would reduce these errors but would require multiple measurements, adding user burden. The single-factor approach balances accuracy against practical simplicity.</w:t>
      </w:r>
    </w:p>
    <w:p>
      <w:pPr>
        <w:pStyle w:val="af7"/>
        <w:numPr>
          <w:ilvl w:val="0"/>
          <w:numId w:val="0"/>
        </w:numPr>
        <w:spacing w:before="160" w:after="80"/>
        <w:jc w:val="left"/>
      </w:pPr>
      <w:r>
        <w:rPr>
          <w:rFonts w:ascii="Times New Roman" w:hAnsi="Times New Roman" w:cs="Times New Roman" w:eastAsia="Batang"/>
          <w:b/>
          <w:sz w:val="21"/>
        </w:rPr>
        <w:t>5.5 Reference solver preset matching</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To ensure fair flow-field comparison, the reference CFD solution for each benchmark case was computed using the same solver preset, and therefore the same inlet velocity boundary condition, as the corresponding predicted case. </w:t>
      </w:r>
      <w:r>
        <w:rPr>
          <w:rFonts w:ascii="Times New Roman" w:hAnsi="Times New Roman" w:cs="Times New Roman" w:eastAsia="Batang"/>
          <w:i w:val="0"/>
          <w:sz w:val="20"/>
        </w:rPr>
        <w:t>The controlled quantity is the imposed inlet velocity, not the volumetric flow rate: because the predicted and reference opening areas generally differ, the two cannot be matched simultaneously, and preset matching fixes the velocity scale while the flow rate follows the respective opening areas (Section 2.2).</w:t>
      </w:r>
      <w:r>
        <w:rPr>
          <w:rFonts w:ascii="Times New Roman" w:hAnsi="Times New Roman" w:cs="Times New Roman" w:eastAsia="Batang"/>
          <w:i w:val="0"/>
          <w:sz w:val="20"/>
        </w:rPr>
        <w:t xml:space="preserve"> This preset matching eliminates systematic velocity scale discrepancies that would arise when different cases require different levels of solver stabilisation to achieve convergence at the 0.18 m mesh resolution.</w:t>
      </w:r>
    </w:p>
    <w:p>
      <w:pPr>
        <w:pStyle w:val="af7"/>
        <w:numPr>
          <w:ilvl w:val="0"/>
          <w:numId w:val="0"/>
        </w:numPr>
        <w:spacing w:before="160" w:after="80"/>
        <w:jc w:val="left"/>
      </w:pPr>
      <w:r>
        <w:rPr>
          <w:rFonts w:ascii="Times New Roman" w:hAnsi="Times New Roman" w:cs="Times New Roman" w:eastAsia="Batang"/>
          <w:b/>
          <w:sz w:val="21"/>
        </w:rPr>
        <w:t>5.6 Computational cost</w:t>
      </w:r>
    </w:p>
    <w:p>
      <w:pPr>
        <w:pStyle w:val="a1"/>
        <w:numPr>
          <w:ilvl w:val="0"/>
          <w:numId w:val="0"/>
        </w:numPr>
        <w:spacing w:after="80" w:line="276" w:lineRule="auto"/>
        <w:ind w:firstLine="230"/>
        <w:jc w:val="both"/>
      </w:pPr>
      <w:r>
        <w:rPr>
          <w:rFonts w:ascii="Times New Roman" w:hAnsi="Times New Roman" w:cs="Times New Roman" w:eastAsia="Batang"/>
          <w:i w:val="0"/>
          <w:sz w:val="20"/>
        </w:rPr>
        <w:t>The end-to-end pipeline time per case is approximately 3 to 8 minutes on a single workstation, depending on the mesh resolution and solver convergence behaviour. The VLM API call (Gemini 3.1 Pro) typically returns within 10 to 30 seconds. Mesh generation with Gmsh takes 5 to 15 seconds at the nominal 0.18 m cell size. The dominant cost is the steady-state CFD solve, which ranges from 1 to 6 minutes depending on the case complexity and whether solver escalation is triggered. Manual geometry preparation for a comparable indoor space typically takes hours of CAD work; the automated pipeline replaces this with minutes.</w:t>
      </w:r>
    </w:p>
    <w:p>
      <w:pPr>
        <w:pStyle w:val="af7"/>
        <w:numPr>
          <w:ilvl w:val="0"/>
          <w:numId w:val="0"/>
        </w:numPr>
        <w:spacing w:before="160" w:after="80"/>
        <w:jc w:val="left"/>
      </w:pPr>
      <w:r>
        <w:rPr>
          <w:rFonts w:ascii="Times New Roman" w:hAnsi="Times New Roman" w:cs="Times New Roman" w:eastAsia="Batang"/>
          <w:b/>
          <w:sz w:val="21"/>
        </w:rPr>
        <w:t>5.7 Practical considerations and limitations</w:t>
      </w:r>
    </w:p>
    <w:p>
      <w:pPr>
        <w:pStyle w:val="a1"/>
        <w:numPr>
          <w:ilvl w:val="0"/>
          <w:numId w:val="0"/>
        </w:numPr>
        <w:spacing w:after="80" w:line="276" w:lineRule="auto"/>
        <w:ind w:firstLine="230"/>
        <w:jc w:val="both"/>
      </w:pPr>
      <w:r>
        <w:rPr>
          <w:rFonts w:ascii="Times New Roman" w:hAnsi="Times New Roman" w:cs="Times New Roman" w:eastAsia="Batang"/>
          <w:i w:val="0"/>
          <w:sz w:val="20"/>
        </w:rPr>
        <w:t>The current study has several limitations. First, all results reported in this paper use a mesh cell size of 0.18 m for both reference and predicted cases. A grid independence study was conducted on three representative cases at cell sizes of 0.35, 0.25, 0.18, and 0.10 m. Table 7 shows the reference CFD agreement score evaluated at each reference resolution against the same predicted solution.</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160" w:after="60" w:line="240" w:lineRule="auto"/>
        <w:jc w:val="center"/>
      </w:pPr>
      <w:r>
        <w:rPr>
          <w:rFonts w:ascii="Times New Roman" w:hAnsi="Times New Roman" w:cs="Times New Roman" w:eastAsia="Batang"/>
          <w:b/>
          <w:sz w:val="18"/>
        </w:rPr>
        <w:t xml:space="preserve">Table 7  </w:t>
      </w:r>
      <w:r>
        <w:rPr>
          <w:rFonts w:ascii="Times New Roman" w:hAnsi="Times New Roman" w:cs="Times New Roman" w:eastAsia="Batang"/>
          <w:i w:val="0"/>
          <w:sz w:val="18"/>
        </w:rPr>
        <w:t>Grid independence check: reference CFD agreement score evaluated against reference solutions at four mesh resolutions, spanning a 34× range in cell count. All predicted solutions use a cell size of 0.18 m.</w:t>
      </w:r>
    </w:p>
    <w:tbl>
      <w:tblPr>
        <w:tblW w:type="auto" w:w="0"/>
        <w:jc w:val="center"/>
        <w:tblLayout w:type="fixed"/>
        <w:tblLook w:firstColumn="1" w:firstRow="1" w:lastColumn="0" w:lastRow="0" w:noHBand="0" w:noVBand="1" w:val="04A0"/>
        <w:tblW w:w="9494" w:type="dxa"/>
      </w:tblPr>
      <w:tblGrid>
        <w:gridCol w:w="1377"/>
        <w:gridCol w:w="1377"/>
        <w:gridCol w:w="1377"/>
        <w:gridCol w:w="1377"/>
        <w:gridCol w:w="1377"/>
        <w:gridCol w:w="1377"/>
        <w:gridCol w:w="1377"/>
      </w:tblGrid>
      <w:tr>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Case</w:t>
            </w:r>
          </w:p>
        </w:tc>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Cells (0.18 m)</w:t>
            </w:r>
          </w:p>
        </w:tc>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Ref. 0.35 m</w:t>
            </w:r>
          </w:p>
        </w:tc>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Ref. 0.25 m</w:t>
            </w:r>
          </w:p>
        </w:tc>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Ref. 0.18 m</w:t>
            </w:r>
          </w:p>
        </w:tc>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Ref. 0.10 m</w:t>
            </w:r>
          </w:p>
        </w:tc>
        <w:tc>
          <w:tcPr>
            <w:tcW w:type="dxa" w:w="1356"/>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Δ max</w:t>
            </w:r>
          </w:p>
        </w:tc>
      </w:tr>
      <w:tr>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A1-01</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~37,000</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0.389</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0.568</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0.579</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0.625</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0.236</w:t>
            </w:r>
          </w:p>
        </w:tc>
      </w:tr>
      <w:tr>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A3-03</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~62,000</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0.739</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0.726</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0.641</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0.616</w:t>
            </w:r>
          </w:p>
        </w:tc>
        <w:tc>
          <w:tcPr>
            <w:tcW w:type="dxa" w:w="1356"/>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0.123</w:t>
            </w:r>
          </w:p>
        </w:tc>
      </w:tr>
      <w:tr>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A4-03</w:t>
            </w:r>
          </w:p>
        </w:tc>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~55,000</w:t>
            </w:r>
          </w:p>
        </w:tc>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0.576</w:t>
            </w:r>
          </w:p>
        </w:tc>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0.553</w:t>
            </w:r>
          </w:p>
        </w:tc>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0.558</w:t>
            </w:r>
          </w:p>
        </w:tc>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0.598</w:t>
            </w:r>
          </w:p>
        </w:tc>
        <w:tc>
          <w:tcPr>
            <w:tcW w:type="dxa" w:w="1356"/>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0.045</w:t>
            </w:r>
          </w:p>
        </w:tc>
      </w:tr>
    </w:tbl>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At 0.35 m, mean velocities are underpredicted by up to 50% for simple geometries, confirming that resolution is inadequate for quantitative comparison. </w:t>
      </w:r>
      <w:r>
        <w:rPr>
          <w:rFonts w:ascii="Times New Roman" w:hAnsi="Times New Roman" w:cs="Times New Roman" w:eastAsia="Batang"/>
          <w:i w:val="0"/>
          <w:sz w:val="20"/>
        </w:rPr>
        <w:t>For the simple-geometry case A1-01, the domain-averaged velocity magnitude changes by 1.4% from 0.25 to 0.18 m and by 1.9% from 0.18 to 0.10 m, indicating approximately converged bulk flow quantities from 0.18 m onward</w:t>
      </w:r>
      <w:r>
        <w:rPr>
          <w:rFonts w:ascii="Times New Roman" w:hAnsi="Times New Roman" w:cs="Times New Roman" w:eastAsia="Batang"/>
          <w:i w:val="0"/>
          <w:sz w:val="20"/>
        </w:rPr>
        <w:t xml:space="preserve">; 0.18 m was therefore selected as the operational mesh size (3–8 min per case vs. 30+ min at 0.10 m). </w:t>
      </w:r>
      <w:r>
        <w:rPr>
          <w:rFonts w:ascii="Times New Roman" w:hAnsi="Times New Roman" w:cs="Times New Roman" w:eastAsia="Batang"/>
          <w:i w:val="0"/>
          <w:sz w:val="20"/>
        </w:rPr>
        <w:t>The composite CFD agreement score is a stricter, normalised-difference metric and varies more than the bulk quantities: as Table 7 shows, it changes by up to 0.046 (approximately 8% relative) between the 0.18 m and 0.10 m reference resolutions.</w:t>
      </w:r>
      <w:r>
        <w:rPr>
          <w:rFonts w:ascii="Times New Roman" w:hAnsi="Times New Roman" w:cs="Times New Roman" w:eastAsia="Batang"/>
          <w:i w:val="0"/>
          <w:sz w:val="20"/>
        </w:rPr>
        <w:t xml:space="preserve"> The non-monotonic trend for A3-03 reflects that a more refined reference exposes geometric discrepancies masked at coarser resolution. Relative case rankings are preserved across all resolutions.</w:t>
      </w:r>
    </w:p>
    <w:p>
      <w:pPr>
        <w:pStyle w:val="a1"/>
        <w:numPr>
          <w:ilvl w:val="0"/>
          <w:numId w:val="0"/>
        </w:numPr>
        <w:spacing w:after="80" w:line="276" w:lineRule="auto"/>
        <w:ind w:firstLine="230"/>
        <w:jc w:val="both"/>
      </w:pPr>
      <w:r>
        <w:rPr>
          <w:rFonts w:ascii="Times New Roman" w:hAnsi="Times New Roman" w:cs="Times New Roman" w:eastAsia="Batang"/>
          <w:i w:val="0"/>
          <w:sz w:val="20"/>
        </w:rPr>
        <w:t>A related limitation concerns the mesh resolution relative to the opening sizes. With a nominal cell size of 0.18 m and opening dimensions of 0.3–1.0 m (Section 3.1), an opening edge is spanned by only about 1.7 to 5.6 cells, and the smallest openings by as few as one to two; no local mesh refinement is applied near openings. Inlet jet development and near-opening velocity gradients are therefore under-resolved, which limits the local accuracy of the flow field near openings and adjacent obstacles even where bulk quantities are approximately grid-converged. This is consistent with the screening-level intent of the framework, bulk flow-pattern identification rather than local velocity prediction, and opening-adaptive local refinement is left as future work.</w:t>
      </w:r>
    </w:p>
    <w:p>
      <w:pPr>
        <w:pStyle w:val="a1"/>
        <w:numPr>
          <w:ilvl w:val="0"/>
          <w:numId w:val="0"/>
        </w:numPr>
        <w:spacing w:after="80" w:line="276" w:lineRule="auto"/>
        <w:ind w:firstLine="230"/>
        <w:jc w:val="both"/>
      </w:pPr>
      <w:r>
        <w:rPr>
          <w:rFonts w:ascii="Times New Roman" w:hAnsi="Times New Roman" w:cs="Times New Roman" w:eastAsia="Batang"/>
          <w:i w:val="0"/>
          <w:sz w:val="20"/>
        </w:rPr>
        <w:t>Second, the benchmark uses only axis-aligned rectangular and L-shaped rooms; curved walls, sloped ceilings, and multi-storey configurations are not evaluated. Third, steady-state isothermal RANS may not capture transient flow features, complex turbulence in densely obstructed rooms, or buoyancy-driven stratification important in energy audit scenarios; extension to conjugate heat transfer or buoyant flow models is left as future work. Fourth, the intersection-domain comparison may under-represent errors where predicted rooms extend beyond or fall short of the reference domain, and single-factor scale calibration requires one known reference dimension that may be unavailable in fully unsupervised deployment. Fifth, all results use a single VLM (Gemini 3.1 Pro, preview, accessed March 2026); the framework architecture is VLM-agnostic, but the reported scores are specific to this model version, and a multi-model comparison is left as future work.</w:t>
      </w:r>
    </w:p>
    <w:p>
      <w:pPr>
        <w:pStyle w:val="a0"/>
        <w:numPr>
          <w:ilvl w:val="0"/>
          <w:numId w:val="0"/>
        </w:numPr>
        <w:spacing w:before="200" w:after="100"/>
        <w:jc w:val="center"/>
      </w:pPr>
      <w:r>
        <w:rPr>
          <w:rFonts w:ascii="Times New Roman" w:hAnsi="Times New Roman" w:cs="Times New Roman" w:eastAsia="Batang"/>
          <w:b/>
          <w:sz w:val="22"/>
        </w:rPr>
        <w:t>6. Application to Architectural Floor Plans</w:t>
      </w:r>
    </w:p>
    <w:p>
      <w:pPr>
        <w:pStyle w:val="a1"/>
        <w:numPr>
          <w:ilvl w:val="0"/>
          <w:numId w:val="0"/>
        </w:numPr>
        <w:spacing w:after="80" w:line="276" w:lineRule="auto"/>
        <w:ind w:firstLine="230"/>
        <w:jc w:val="both"/>
      </w:pPr>
      <w:r>
        <w:rPr>
          <w:rFonts w:ascii="Times New Roman" w:hAnsi="Times New Roman" w:cs="Times New Roman" w:eastAsia="Batang"/>
          <w:i w:val="0"/>
          <w:sz w:val="20"/>
        </w:rPr>
        <w:t>As a qualitative demonstration of the framework on non-synthetic inputs, two architectural floor plan images were prepared and processed through the full pipeline. No ground-truth reference CFD is available for these cases; the results are assessed only for geometric plausibility and solver convergence, not for quantitative accuracy. Both cases use the floor-plan view, which achieved the highest performance in the benchmark evaluation (structural score 0.884, opening-wall match 100%).</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The first case is a simple rectangular office of 6.0 m × 4.0 m (Fig. 15a). The floor plan includes hatched walls, a door with arc symbol on the south wall, a window on the north wall, and three furniture items (desk, chair, shelf). Dimension annotations on the drawing provide the scale reference. The VLM correctly identifies the rectangular room topology with dimensions 6.0 × 4.0 × 2.7 m, places three obstacles corresponding to the furniture items, and assigns the door as inlet (south wall) and the window as outlet (north wall). </w:t>
      </w:r>
      <w:r>
        <w:rPr>
          <w:rFonts w:ascii="Times New Roman" w:hAnsi="Times New Roman" w:cs="Times New Roman" w:eastAsia="Batang"/>
          <w:i w:val="0"/>
          <w:sz w:val="20"/>
        </w:rPr>
        <w:t>This inlet/outlet designation is produced by the VLM itself, under the prompt's requirement that each scene contain exactly one inlet and one outlet on outer walls (Appendix A); since the flow direction is not observable from a drawing, the door-as-inlet assignment is a screening assumption generated by the model rather than a condition verified from the image.</w:t>
      </w:r>
      <w:r>
        <w:rPr>
          <w:rFonts w:ascii="Times New Roman" w:hAnsi="Times New Roman" w:cs="Times New Roman" w:eastAsia="Batang"/>
          <w:i w:val="0"/>
          <w:sz w:val="20"/>
        </w:rPr>
        <w:t xml:space="preserve"> The resulting CFD simulation converges under the robust solver preset at 0.18 m mesh resolution, producing a physically plausible flow field with a jet from the south-wall inlet traversing the room toward the north-wall outlet (Fig. 15b).</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5749863"/>
            <wp:docPr id="15" name="Picture 15"/>
            <wp:cNvGraphicFramePr>
              <a:graphicFrameLocks noChangeAspect="1"/>
            </wp:cNvGraphicFramePr>
            <a:graphic>
              <a:graphicData uri="http://schemas.openxmlformats.org/drawingml/2006/picture">
                <pic:pic>
                  <pic:nvPicPr>
                    <pic:cNvPr id="0" name="fig_demo_floorplan_application.png"/>
                    <pic:cNvPicPr/>
                  </pic:nvPicPr>
                  <pic:blipFill>
                    <a:blip r:embed="rId48"/>
                    <a:stretch>
                      <a:fillRect/>
                    </a:stretch>
                  </pic:blipFill>
                  <pic:spPr>
                    <a:xfrm>
                      <a:off x="0" y="0"/>
                      <a:ext cx="6028690" cy="5749863"/>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15  </w:t>
      </w:r>
      <w:r>
        <w:rPr>
          <w:rFonts w:ascii="Times New Roman" w:hAnsi="Times New Roman" w:cs="Times New Roman" w:eastAsia="Batang"/>
          <w:i w:val="0"/>
          <w:sz w:val="18"/>
        </w:rPr>
        <w:t>Application to architectural floor plans. (a,b) Rectangular office (6.0 m × 4.0 m): input floor plan and CFD velocity field. (c,d) L-shaped room (5.0 m × 4.0 m + 3.0 m × 2.5 m alcove): input and CFD result. Both cases converge at 0.18 m mesh resolution.</w:t>
      </w:r>
    </w:p>
    <w:p>
      <w:pPr>
        <w:sectPr>
          <w:type w:val="continuous"/>
          <w:pgSz w:w="11906" w:h="16838" w:code="9"/>
          <w:pgMar w:top="1418" w:right="1134" w:bottom="851" w:left="1134" w:header="1134" w:footer="397" w:gutter="0"/>
          <w:cols w:space="720"/>
          <w:docGrid w:linePitch="272"/>
        </w:sectPr>
      </w:pPr>
    </w:p>
    <w:p>
      <w:pPr>
        <w:pStyle w:val="a1"/>
        <w:numPr>
          <w:ilvl w:val="0"/>
          <w:numId w:val="0"/>
        </w:numPr>
        <w:spacing w:after="80" w:line="276" w:lineRule="auto"/>
        <w:ind w:firstLine="230"/>
        <w:jc w:val="both"/>
      </w:pPr>
      <w:r>
        <w:rPr>
          <w:rFonts w:ascii="Times New Roman" w:hAnsi="Times New Roman" w:cs="Times New Roman" w:eastAsia="Batang"/>
          <w:i w:val="0"/>
          <w:sz w:val="20"/>
        </w:rPr>
        <w:t>The second case is an L-shaped composite room consisting of a 5.0 m × 4.0 m living room connected to a 3.0 m × 2.5 m alcove (Fig. 15c). The VLM correctly identifies the composite topology as a two-block structure. However, it places four obstacles (a sofa present in the drawing, a coffee table, a bookshelf, and an alcove desk), of which the latter three are hallucinated and do not appear in the input image. This obstacle hallucination is consistent with the failure mode identified in Section 5.2 from the synthetic benchmark. The inlet is assigned to the north wall and the outlet to the west wall. Despite the hallucinated obstacles, the CFD simulation converges and produces a physically plausible flow pattern in which the main jet passes through the living room with a secondary branch entering the alcove region (Fig. 15d). The scale calibration factor of 0.625 was applied to correct the VLM's initial overestimate of the room dimensions.</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Both cases show that the framework tolerates realistic visual noise (hatched walls, furniture icons, dimension lines, door arc symbols) and still converges. The hallucinated obstacles in Case 2 are consistent with the benchmark finding: small spurious obstacles do not disrupt bulk flow patterns. Scale calibration is straightforward when dimension annotations appear on the drawing, which is typical in architectural practice. </w:t>
      </w:r>
      <w:r>
        <w:rPr>
          <w:rFonts w:ascii="Times New Roman" w:hAnsi="Times New Roman" w:cs="Times New Roman" w:eastAsia="Batang"/>
          <w:i w:val="0"/>
          <w:sz w:val="20"/>
        </w:rPr>
        <w:t>In an actual deployment, the ventilation roles and strengths of the openings would need to be specified from additional information, such as supply/exhaust flow rates, pressure differentials, or HVAC operating data, rather than inferred from the drawing alone.</w:t>
      </w:r>
      <w:r>
        <w:rPr>
          <w:rFonts w:ascii="Times New Roman" w:hAnsi="Times New Roman" w:cs="Times New Roman" w:eastAsia="Batang"/>
          <w:i w:val="0"/>
          <w:sz w:val="20"/>
        </w:rPr>
        <w:t xml:space="preserve"> With that caveat, floor plan inputs from real drawings are a practical use case for the framework.</w:t>
      </w:r>
    </w:p>
    <w:p>
      <w:pPr>
        <w:pStyle w:val="a0"/>
        <w:numPr>
          <w:ilvl w:val="0"/>
          <w:numId w:val="0"/>
        </w:numPr>
        <w:spacing w:before="200" w:after="100"/>
        <w:jc w:val="center"/>
      </w:pPr>
      <w:r>
        <w:rPr>
          <w:rFonts w:ascii="Times New Roman" w:hAnsi="Times New Roman" w:cs="Times New Roman" w:eastAsia="Batang"/>
          <w:b/>
          <w:sz w:val="22"/>
        </w:rPr>
        <w:t>7. Conclusion</w:t>
      </w:r>
    </w:p>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This paper described a framework that converts a single 2D image into an indoor CFD solution by using a VLM for geometric abstraction. On a 100-case benchmark (four complexity levels, five view types), 97 cases converged; over these, the framework achieved a mean structural score of 0.781 </w:t>
      </w:r>
      <w:r>
        <w:rPr>
          <w:rFonts w:ascii="Times New Roman" w:hAnsi="Times New Roman" w:cs="Times New Roman" w:eastAsia="Batang"/>
          <w:i w:val="0"/>
          <w:sz w:val="20"/>
        </w:rPr>
        <w:t>(0.708 when the benchmark-saturated opening-type component is excluded)</w:t>
      </w:r>
      <w:r>
        <w:rPr>
          <w:rFonts w:ascii="Times New Roman" w:hAnsi="Times New Roman" w:cs="Times New Roman" w:eastAsia="Batang"/>
          <w:i w:val="0"/>
          <w:sz w:val="20"/>
        </w:rPr>
        <w:t xml:space="preserve"> and a mean CFD agreement score of 0.477 with single-factor scale calibration. The floor-plan view yields the best results, achieving a structural score of 0.884, a CFD agreement score of 0.572, and a 100% opening-wall match rate. Three characteristic failure modes have been identified and analysed: composite-room collapse under section views, obstacle hallucination with limited CFD penalty, and a structure-versus-fidelity gap in dense configurations. The framework converges for 97 of 100 cases through a multi-level robustness strategy.</w:t>
      </w:r>
    </w:p>
    <w:p>
      <w:pPr>
        <w:pStyle w:val="a1"/>
        <w:numPr>
          <w:ilvl w:val="0"/>
          <w:numId w:val="0"/>
        </w:numPr>
        <w:spacing w:after="80" w:line="276" w:lineRule="auto"/>
        <w:ind w:firstLine="230"/>
        <w:jc w:val="both"/>
      </w:pPr>
      <w:r>
        <w:rPr>
          <w:rFonts w:ascii="Times New Roman" w:hAnsi="Times New Roman" w:cs="Times New Roman" w:eastAsia="Batang"/>
          <w:i w:val="0"/>
          <w:sz w:val="20"/>
        </w:rPr>
        <w:t>VLM-based geometric abstraction is adequate for rapid indoor CFD screening when the goal is qualitative flow pattern identification (locating dominant recirculation zones, jet paths, and stagnation regions) rather than precise local velocity magnitudes, particularly near openings that are spanned by only a few mesh cells at the screening resolution. For applications requiring high-fidelity local flow prediction near specific obstacles, the current framework's accuracy is insufficient and should be supplemented with manual geometry refinement or multi-view input fusion. Future work will explore multi-factor scale calibration, multi-view input strategies, and extension to transient thermal simulations.</w:t>
      </w:r>
    </w:p>
    <w:p>
      <w:pPr>
        <w:pStyle w:val="a0"/>
        <w:numPr>
          <w:ilvl w:val="0"/>
          <w:numId w:val="0"/>
        </w:numPr>
        <w:spacing w:before="200" w:after="100"/>
        <w:jc w:val="center"/>
      </w:pPr>
      <w:r>
        <w:rPr>
          <w:rFonts w:ascii="Times New Roman" w:hAnsi="Times New Roman" w:cs="Times New Roman" w:eastAsia="Batang"/>
          <w:b/>
          <w:sz w:val="22"/>
        </w:rPr>
        <w:t>Appendix A. VLM Prompt Template</w:t>
      </w:r>
    </w:p>
    <w:p>
      <w:pPr>
        <w:pStyle w:val="a1"/>
        <w:numPr>
          <w:ilvl w:val="0"/>
          <w:numId w:val="0"/>
        </w:numPr>
        <w:spacing w:after="80" w:line="276" w:lineRule="auto"/>
        <w:ind w:firstLine="230"/>
        <w:jc w:val="both"/>
      </w:pPr>
      <w:r>
        <w:rPr>
          <w:rFonts w:ascii="Times New Roman" w:hAnsi="Times New Roman" w:cs="Times New Roman" w:eastAsia="Batang"/>
          <w:i w:val="0"/>
          <w:sz w:val="20"/>
        </w:rPr>
        <w:t>The full prompt template used for Gemini 3.1 Pro scene extraction (approximately 659 words) is provided as supplementary material. The prompt specifies the indoor_cfd_scene_v1 JSON schema, the coordinate system convention (origin at room minimum corner, x = west-east, y = south-north, z = floor-ceiling), and solver-stability constraints (no overlapping obstacles, openings within wall bounds, connected fluid domain). When a scale hint is available, an addendum anchors absolute dimensions to a user-provided metric span. The complete prompt text is reproduced in the online supplementary material.</w:t>
      </w:r>
    </w:p>
    <w:p>
      <w:pPr>
        <w:pStyle w:val="a0"/>
        <w:numPr>
          <w:ilvl w:val="0"/>
          <w:numId w:val="0"/>
        </w:numPr>
        <w:spacing w:before="200" w:after="100"/>
        <w:jc w:val="center"/>
      </w:pPr>
      <w:r>
        <w:rPr>
          <w:rFonts w:ascii="Times New Roman" w:hAnsi="Times New Roman" w:cs="Times New Roman" w:eastAsia="Batang"/>
          <w:b/>
          <w:sz w:val="22"/>
        </w:rPr>
        <w:t>Appendix B. IoU Threshold Sensitivity</w:t>
      </w:r>
    </w:p>
    <w:p>
      <w:pPr>
        <w:pStyle w:val="a1"/>
        <w:numPr>
          <w:ilvl w:val="0"/>
          <w:numId w:val="0"/>
        </w:numPr>
        <w:spacing w:after="80" w:line="276" w:lineRule="auto"/>
        <w:ind w:firstLine="230"/>
        <w:jc w:val="both"/>
      </w:pPr>
      <w:r>
        <w:rPr>
          <w:rFonts w:ascii="Times New Roman" w:hAnsi="Times New Roman" w:cs="Times New Roman" w:eastAsia="Batang"/>
          <w:i w:val="0"/>
          <w:sz w:val="20"/>
        </w:rPr>
        <w:t>The structural score depends on the IoU thresholds used for room-block matching (default 0.2) and obstacle matching (default 0.1). To assess the sensitivity of the reported results to these thresholds, the structural score was recomputed with a uniform IoU threshold applied to both components, ranging from 0.05 to 0.50. Opening type F1 and opening wall match ratio are unaffected by this variation.</w:t>
      </w:r>
    </w:p>
    <w:p>
      <w:pPr>
        <w:numPr>
          <w:ilvl w:val="0"/>
          <w:numId w:val="0"/>
        </w:numPr>
        <w:spacing w:before="160" w:after="60" w:line="240" w:lineRule="auto"/>
        <w:jc w:val="center"/>
      </w:pPr>
      <w:r>
        <w:rPr>
          <w:rFonts w:ascii="Times New Roman" w:hAnsi="Times New Roman" w:cs="Times New Roman" w:eastAsia="Batang"/>
          <w:b/>
          <w:sz w:val="18"/>
        </w:rPr>
        <w:t xml:space="preserve">Table 8  </w:t>
      </w:r>
      <w:r>
        <w:rPr>
          <w:rFonts w:ascii="Times New Roman" w:hAnsi="Times New Roman" w:cs="Times New Roman" w:eastAsia="Batang"/>
          <w:i w:val="0"/>
          <w:sz w:val="18"/>
        </w:rPr>
        <w:t>Mean structural score as a function of uniform IoU matching threshold (n = 97).</w:t>
      </w:r>
    </w:p>
    <w:tbl>
      <w:tblPr>
        <w:tblW w:type="auto" w:w="0"/>
        <w:jc w:val="center"/>
        <w:tblLayout w:type="fixed"/>
        <w:tblLook w:firstColumn="1" w:firstRow="1" w:lastColumn="0" w:lastRow="0" w:noHBand="0" w:noVBand="1" w:val="04A0"/>
        <w:tblW w:w="4534" w:type="dxa"/>
      </w:tblPr>
      <w:tblGrid>
        <w:gridCol w:w="4819"/>
        <w:gridCol w:w="4819"/>
      </w:tblGrid>
      <w:tr>
        <w:tc>
          <w:tcPr>
            <w:tcW w:type="dxa" w:w="2267"/>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IoU threshold</w:t>
            </w:r>
          </w:p>
        </w:tc>
        <w:tc>
          <w:tcPr>
            <w:tcW w:type="dxa" w:w="2267"/>
            <w:tcBorders>
              <w:top w:val="single" w:sz="8" w:space="0" w:color="000000"/>
              <w:bottom w:val="single" w:sz="6"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sz w:val="18"/>
              </w:rPr>
            </w:r>
            <w:r>
              <w:rPr>
                <w:rFonts w:ascii="Times New Roman" w:hAnsi="Times New Roman" w:cs="Times New Roman" w:eastAsia="Batang"/>
                <w:b/>
                <w:i w:val="0"/>
                <w:sz w:val="18"/>
              </w:rPr>
              <w:t>Mean structural score</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0.05</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0.803</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0.10</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0.783</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0.15</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0.759</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0.20</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0.749</w:t>
            </w:r>
          </w:p>
        </w:tc>
      </w:tr>
      <w:tr>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0.30</w:t>
            </w:r>
          </w:p>
        </w:tc>
        <w:tc>
          <w:tcPr>
            <w:tcW w:type="dxa" w:w="2267"/>
            <w:tcBorders>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0.710</w:t>
            </w:r>
          </w:p>
        </w:tc>
      </w:tr>
      <w:tr>
        <w:tc>
          <w:tcPr>
            <w:tcW w:type="dxa" w:w="2267"/>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0.50</w:t>
            </w:r>
          </w:p>
        </w:tc>
        <w:tc>
          <w:tcPr>
            <w:tcW w:type="dxa" w:w="2267"/>
            <w:tcBorders>
              <w:bottom w:val="single" w:sz="8" w:space="0" w:color="000000"/>
              <w:left w:val="nil" w:sz="0" w:space="0" w:color="000000"/>
              <w:right w:val="nil" w:sz="0" w:space="0" w:color="000000"/>
            </w:tcBorders>
          </w:tcPr>
          <w:p>
            <w:pPr>
              <w:spacing w:before="20" w:after="20" w:line="240" w:lineRule="auto"/>
              <w:jc w:val="center"/>
            </w:pPr>
            <w:r>
              <w:rPr>
                <w:rFonts w:ascii="Times New Roman" w:hAnsi="Times New Roman" w:cs="Times New Roman" w:eastAsia="Batang"/>
                <w:b w:val="0"/>
                <w:sz w:val="18"/>
              </w:rPr>
            </w:r>
            <w:r>
              <w:rPr>
                <w:rFonts w:ascii="Times New Roman" w:hAnsi="Times New Roman" w:cs="Times New Roman" w:eastAsia="Batang"/>
                <w:b w:val="0"/>
                <w:i w:val="0"/>
                <w:sz w:val="18"/>
              </w:rPr>
              <w:t>0.618</w:t>
            </w:r>
          </w:p>
        </w:tc>
      </w:tr>
    </w:tbl>
    <w:p>
      <w:pPr>
        <w:pStyle w:val="a1"/>
        <w:numPr>
          <w:ilvl w:val="0"/>
          <w:numId w:val="0"/>
        </w:numPr>
        <w:spacing w:after="80" w:line="276" w:lineRule="auto"/>
        <w:ind w:firstLine="230"/>
        <w:jc w:val="both"/>
      </w:pPr>
      <w:r>
        <w:rPr>
          <w:rFonts w:ascii="Times New Roman" w:hAnsi="Times New Roman" w:cs="Times New Roman" w:eastAsia="Batang"/>
          <w:i w:val="0"/>
          <w:sz w:val="20"/>
        </w:rPr>
        <w:t xml:space="preserve">The score degrades monotonically from 0.803 at the most lenient threshold to 0.618 at the strictest. The steepest decline occurs between 0.30 and 0.50, indicating that many obstacle and room-block matches fall in the IoU range of 0.3 to 0.5, indicating geometrically reasonable overlap but not tight alignment. The relative ranking of view types and categories is preserved across all thresholds, confirming that the reported conclusions are not artefacts of the particular threshold choice. </w:t>
      </w:r>
      <w:r>
        <w:rPr>
          <w:rFonts w:ascii="Times New Roman" w:hAnsi="Times New Roman" w:cs="Times New Roman" w:eastAsia="Batang"/>
          <w:i w:val="0"/>
          <w:sz w:val="20"/>
        </w:rPr>
        <w:t xml:space="preserve">For context, the default thresholds bracket the 0.25 IoU criterion conventional in indoor 3D object detection benchmarks </w:t>
      </w:r>
      <w:r>
        <w:rPr>
          <w:rFonts w:ascii="Times New Roman" w:hAnsi="Times New Roman" w:cs="Times New Roman" w:eastAsia="Batang"/>
          <w:sz w:val="20"/>
          <w:vertAlign w:val="superscript"/>
        </w:rPr>
        <w:t>(32,33,34)</w:t>
      </w:r>
      <w:r>
        <w:rPr>
          <w:rFonts w:ascii="Times New Roman" w:hAnsi="Times New Roman" w:cs="Times New Roman" w:eastAsia="Batang"/>
          <w:i w:val="0"/>
          <w:sz w:val="20"/>
        </w:rPr>
        <w:t>: the room threshold (0.2) is close to this standard, while the obstacle threshold (0.1) is deliberately more lenient to reflect furniture-scale uncertainty in single-image inference.</w:t>
      </w:r>
      <w:r>
        <w:rPr>
          <w:rFonts w:ascii="Times New Roman" w:hAnsi="Times New Roman" w:cs="Times New Roman" w:eastAsia="Batang"/>
          <w:i w:val="0"/>
          <w:sz w:val="20"/>
        </w:rPr>
        <w:t xml:space="preserve"> Cross-view outcomes for two representative cases are shown in Fig. 16, and category × view interaction heatmaps in Fig. 17.</w:t>
      </w: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4029174"/>
            <wp:docPr id="16" name="Picture 16"/>
            <wp:cNvGraphicFramePr>
              <a:graphicFrameLocks noChangeAspect="1"/>
            </wp:cNvGraphicFramePr>
            <a:graphic>
              <a:graphicData uri="http://schemas.openxmlformats.org/drawingml/2006/picture">
                <pic:pic>
                  <pic:nvPicPr>
                    <pic:cNvPr id="0" name="fig_result_crossview_outcome.png"/>
                    <pic:cNvPicPr/>
                  </pic:nvPicPr>
                  <pic:blipFill>
                    <a:blip r:embed="rId49"/>
                    <a:stretch>
                      <a:fillRect/>
                    </a:stretch>
                  </pic:blipFill>
                  <pic:spPr>
                    <a:xfrm>
                      <a:off x="0" y="0"/>
                      <a:ext cx="6028690" cy="4029174"/>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16  </w:t>
      </w:r>
      <w:r>
        <w:rPr>
          <w:rFonts w:ascii="Times New Roman" w:hAnsi="Times New Roman" w:cs="Times New Roman" w:eastAsia="Batang"/>
          <w:i w:val="0"/>
          <w:sz w:val="18"/>
        </w:rPr>
        <w:t>Cross-view outcome comparison for cases A2-03 and A3-03 across three view types. Matched obstacles are shown in tan, hallucinated obstacles in orange cross-hatch, and reference outlines as dashed purple. Structural (S) and CFD (C) scores are annotated per panel.</w:t>
      </w:r>
    </w:p>
    <w:p>
      <w:pPr>
        <w:sectPr>
          <w:type w:val="continuous"/>
          <w:pgSz w:w="11906" w:h="16838" w:code="9"/>
          <w:pgMar w:top="1418" w:right="1134" w:bottom="851" w:left="1134" w:header="1134" w:footer="397" w:gutter="0"/>
          <w:cols w:space="720"/>
          <w:docGrid w:linePitch="272"/>
        </w:sectPr>
      </w:pPr>
    </w:p>
    <w:p>
      <w:pPr>
        <w:sectPr>
          <w:type w:val="continuous"/>
          <w:pgSz w:w="11906" w:h="16838" w:code="9"/>
          <w:pgMar w:top="1418" w:right="1134" w:bottom="851" w:left="1134" w:header="1134" w:footer="397" w:gutter="0"/>
          <w:cols w:num="2" w:space="425" w:equalWidth="1"/>
          <w:docGrid w:linePitch="272"/>
        </w:sectPr>
      </w:pPr>
    </w:p>
    <w:p>
      <w:pPr>
        <w:numPr>
          <w:ilvl w:val="0"/>
          <w:numId w:val="0"/>
        </w:numPr>
        <w:spacing w:before="40" w:after="40" w:line="240" w:lineRule="auto"/>
        <w:jc w:val="center"/>
      </w:pPr>
      <w:r>
        <w:drawing>
          <wp:inline xmlns:a="http://schemas.openxmlformats.org/drawingml/2006/main" xmlns:pic="http://schemas.openxmlformats.org/drawingml/2006/picture">
            <wp:extent cx="6028690" cy="2680255"/>
            <wp:docPr id="17" name="Picture 17"/>
            <wp:cNvGraphicFramePr>
              <a:graphicFrameLocks noChangeAspect="1"/>
            </wp:cNvGraphicFramePr>
            <a:graphic>
              <a:graphicData uri="http://schemas.openxmlformats.org/drawingml/2006/picture">
                <pic:pic>
                  <pic:nvPicPr>
                    <pic:cNvPr id="0" name="fig_result_heatmap_category_view.png"/>
                    <pic:cNvPicPr/>
                  </pic:nvPicPr>
                  <pic:blipFill>
                    <a:blip r:embed="rId50"/>
                    <a:stretch>
                      <a:fillRect/>
                    </a:stretch>
                  </pic:blipFill>
                  <pic:spPr>
                    <a:xfrm>
                      <a:off x="0" y="0"/>
                      <a:ext cx="6028690" cy="2680255"/>
                    </a:xfrm>
                    <a:prstGeom prst="rect"/>
                  </pic:spPr>
                </pic:pic>
              </a:graphicData>
            </a:graphic>
          </wp:inline>
        </w:drawing>
      </w:r>
    </w:p>
    <w:p>
      <w:pPr>
        <w:numPr>
          <w:ilvl w:val="0"/>
          <w:numId w:val="0"/>
        </w:numPr>
        <w:spacing w:before="60" w:after="160" w:line="240" w:lineRule="auto"/>
        <w:jc w:val="center"/>
      </w:pPr>
      <w:r>
        <w:rPr>
          <w:rFonts w:ascii="Times New Roman" w:hAnsi="Times New Roman" w:cs="Times New Roman" w:eastAsia="Batang"/>
          <w:b/>
          <w:sz w:val="18"/>
        </w:rPr>
        <w:t xml:space="preserve">Fig. 17  </w:t>
      </w:r>
      <w:r>
        <w:rPr>
          <w:rFonts w:ascii="Times New Roman" w:hAnsi="Times New Roman" w:cs="Times New Roman" w:eastAsia="Batang"/>
          <w:i w:val="0"/>
          <w:sz w:val="18"/>
        </w:rPr>
        <w:t>Category × view interaction heatmaps.</w:t>
      </w:r>
    </w:p>
    <w:p>
      <w:pPr>
        <w:sectPr>
          <w:type w:val="continuous"/>
          <w:pgSz w:w="11906" w:h="16838" w:code="9"/>
          <w:pgMar w:top="1418" w:right="1134" w:bottom="851" w:left="1134" w:header="1134" w:footer="397" w:gutter="0"/>
          <w:cols w:space="720"/>
          <w:docGrid w:linePitch="272"/>
        </w:sectPr>
      </w:pPr>
    </w:p>
    <w:p>
      <w:pPr>
        <w:pStyle w:val="af7"/>
        <w:numPr>
          <w:ilvl w:val="0"/>
          <w:numId w:val="0"/>
        </w:numPr>
        <w:spacing w:before="200" w:after="100"/>
        <w:jc w:val="left"/>
      </w:pPr>
      <w:r>
        <w:rPr>
          <w:rFonts w:ascii="Times New Roman" w:hAnsi="Times New Roman" w:cs="Times New Roman" w:eastAsia="Batang"/>
          <w:b/>
          <w:sz w:val="20"/>
        </w:rPr>
        <w:t>Declaration of competing interest</w:t>
      </w:r>
    </w:p>
    <w:p>
      <w:pPr>
        <w:pStyle w:val="a1"/>
        <w:numPr>
          <w:ilvl w:val="0"/>
          <w:numId w:val="0"/>
        </w:numPr>
        <w:spacing w:after="80" w:line="276" w:lineRule="auto"/>
        <w:ind w:firstLine="230"/>
        <w:jc w:val="both"/>
      </w:pPr>
      <w:r>
        <w:rPr>
          <w:rFonts w:ascii="Times New Roman" w:hAnsi="Times New Roman" w:cs="Times New Roman" w:eastAsia="Batang"/>
          <w:i w:val="0"/>
          <w:sz w:val="20"/>
        </w:rPr>
        <w:t>The author declares no known competing financial interests or personal relationships that could have appeared to influence the work reported in this paper.</w:t>
      </w:r>
    </w:p>
    <w:p>
      <w:pPr>
        <w:pStyle w:val="af7"/>
        <w:numPr>
          <w:ilvl w:val="0"/>
          <w:numId w:val="0"/>
        </w:numPr>
        <w:spacing w:before="200" w:after="100"/>
        <w:jc w:val="left"/>
      </w:pPr>
      <w:r>
        <w:rPr>
          <w:rFonts w:ascii="Times New Roman" w:hAnsi="Times New Roman" w:cs="Times New Roman" w:eastAsia="Batang"/>
          <w:b/>
          <w:sz w:val="20"/>
        </w:rPr>
        <w:t>Data availability</w:t>
      </w:r>
    </w:p>
    <w:p>
      <w:pPr>
        <w:pStyle w:val="a1"/>
        <w:numPr>
          <w:ilvl w:val="0"/>
          <w:numId w:val="0"/>
        </w:numPr>
        <w:spacing w:after="80" w:line="276" w:lineRule="auto"/>
        <w:ind w:firstLine="230"/>
        <w:jc w:val="both"/>
      </w:pPr>
      <w:r>
        <w:rPr>
          <w:rFonts w:ascii="Times New Roman" w:hAnsi="Times New Roman" w:cs="Times New Roman" w:eastAsia="Batang"/>
          <w:i w:val="0"/>
          <w:sz w:val="20"/>
        </w:rPr>
        <w:t>The benchmark dataset (scene definitions, multi-view renderings, evaluation results), pipeline source code, and evaluation scripts are publicly available on figshare at https://doi.org/10.6084/m9.figshare.31866127.</w:t>
      </w:r>
    </w:p>
    <w:p>
      <w:pPr>
        <w:pStyle w:val="af7"/>
        <w:numPr>
          <w:ilvl w:val="0"/>
          <w:numId w:val="0"/>
        </w:numPr>
        <w:spacing w:before="200" w:after="100"/>
        <w:jc w:val="left"/>
      </w:pPr>
      <w:r>
        <w:rPr>
          <w:rFonts w:ascii="Times New Roman" w:hAnsi="Times New Roman" w:cs="Times New Roman" w:eastAsia="Batang"/>
          <w:b/>
          <w:sz w:val="20"/>
        </w:rPr>
        <w:t>Acknowledgements</w:t>
      </w:r>
    </w:p>
    <w:p>
      <w:pPr>
        <w:pStyle w:val="a1"/>
        <w:numPr>
          <w:ilvl w:val="0"/>
          <w:numId w:val="0"/>
        </w:numPr>
        <w:spacing w:after="80" w:line="276" w:lineRule="auto"/>
        <w:ind w:firstLine="230"/>
        <w:jc w:val="both"/>
      </w:pPr>
      <w:r>
        <w:rPr>
          <w:rFonts w:ascii="Times New Roman" w:hAnsi="Times New Roman" w:cs="Times New Roman" w:eastAsia="Batang"/>
          <w:i w:val="0"/>
          <w:sz w:val="20"/>
        </w:rPr>
        <w:t>This work was conducted under the framework of the research and development program of the Korea Institute of Energy Research (C6-2419-63).</w:t>
      </w:r>
    </w:p>
    <w:p>
      <w:pPr>
        <w:pStyle w:val="af9"/>
        <w:numPr>
          <w:ilvl w:val="0"/>
          <w:numId w:val="0"/>
        </w:numPr>
        <w:spacing w:before="200" w:after="100"/>
        <w:jc w:val="center"/>
      </w:pPr>
      <w:r>
        <w:rPr>
          <w:rFonts w:ascii="Times New Roman" w:hAnsi="Times New Roman" w:cs="Times New Roman" w:eastAsia="Batang"/>
          <w:b/>
          <w:sz w:val="22"/>
        </w:rPr>
        <w:t>References</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 </w:t>
      </w:r>
      <w:r>
        <w:rPr>
          <w:rFonts w:ascii="Times New Roman" w:hAnsi="Times New Roman" w:cs="Times New Roman" w:eastAsia="Batang"/>
          <w:i w:val="0"/>
          <w:sz w:val="18"/>
        </w:rPr>
        <w:t xml:space="preserve">Gourlis, G. and Kovacic, I., 2017, “Building Information Modelling for Analysis of Energy Efficient Industrial Buildings – A Case Study,” </w:t>
      </w:r>
      <w:r>
        <w:rPr>
          <w:rFonts w:ascii="Times New Roman" w:hAnsi="Times New Roman" w:cs="Times New Roman" w:eastAsia="Batang"/>
          <w:i/>
          <w:sz w:val="18"/>
        </w:rPr>
        <w:t>Renewable and Sustainable Energy Reviews</w:t>
      </w:r>
      <w:r>
        <w:rPr>
          <w:rFonts w:ascii="Times New Roman" w:hAnsi="Times New Roman" w:cs="Times New Roman" w:eastAsia="Batang"/>
          <w:i w:val="0"/>
          <w:sz w:val="18"/>
        </w:rPr>
        <w:t>, Vol. 68, pp. 953–963.</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 </w:t>
      </w:r>
      <w:r>
        <w:rPr>
          <w:rFonts w:ascii="Times New Roman" w:hAnsi="Times New Roman" w:cs="Times New Roman" w:eastAsia="Batang"/>
          <w:i w:val="0"/>
          <w:sz w:val="18"/>
        </w:rPr>
        <w:t xml:space="preserve">Zhao, J., Ma, L., Zayed, M. E., Elsheikh, A. H., Li, W., Yan, Q. and Wang, J., 2021, “Industrial Reheating Furnaces: A Review of Energy Efficiency Assessments, Waste Heat Recovery Potentials, Heating Process Characteristics and Perspectives for Steel Industry,” </w:t>
      </w:r>
      <w:r>
        <w:rPr>
          <w:rFonts w:ascii="Times New Roman" w:hAnsi="Times New Roman" w:cs="Times New Roman" w:eastAsia="Batang"/>
          <w:i/>
          <w:sz w:val="18"/>
        </w:rPr>
        <w:t>Process Safety and Environmental Protection</w:t>
      </w:r>
      <w:r>
        <w:rPr>
          <w:rFonts w:ascii="Times New Roman" w:hAnsi="Times New Roman" w:cs="Times New Roman" w:eastAsia="Batang"/>
          <w:i w:val="0"/>
          <w:sz w:val="18"/>
        </w:rPr>
        <w:t>, Vol. 147, pp. 1209–1228.</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 </w:t>
      </w:r>
      <w:r>
        <w:rPr>
          <w:rFonts w:ascii="Times New Roman" w:hAnsi="Times New Roman" w:cs="Times New Roman" w:eastAsia="Batang"/>
          <w:i w:val="0"/>
          <w:sz w:val="18"/>
        </w:rPr>
        <w:t xml:space="preserve">Vuorinen, V., Aarnio, M., Alava, M., Alopaeus, V., Atanasova, N., Auvinen, M., Balasubramanian, N., Bordbar, H., Erästö, P., Grande, R., Hayward, N., Hellsten, A., Hostikka, S., Hokkanen, J., Kaario, O., Karvinen, A., Kivistö, I., Korhonen, M., Kosonen, R., Kuusela, J., Lestinen, S., Laurila, E., Nieminen, H. J., Peltonen, P., Pokki, J., Puisto, A., Råback, P., Salmenjoki, H., Sironen, T. and Österberg, M., 2020, “Modelling Aerosol Transport and Virus Exposure with Numerical Simulations in Relation to SARS-CoV-2 Transmission by Inhalation Indoors,” </w:t>
      </w:r>
      <w:r>
        <w:rPr>
          <w:rFonts w:ascii="Times New Roman" w:hAnsi="Times New Roman" w:cs="Times New Roman" w:eastAsia="Batang"/>
          <w:i/>
          <w:sz w:val="18"/>
        </w:rPr>
        <w:t>Safety Science</w:t>
      </w:r>
      <w:r>
        <w:rPr>
          <w:rFonts w:ascii="Times New Roman" w:hAnsi="Times New Roman" w:cs="Times New Roman" w:eastAsia="Batang"/>
          <w:i w:val="0"/>
          <w:sz w:val="18"/>
        </w:rPr>
        <w:t>, Vol. 130, pp. 104866.</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(4) </w:t>
      </w:r>
      <w:r>
        <w:rPr>
          <w:rFonts w:ascii="Times New Roman" w:hAnsi="Times New Roman" w:cs="Times New Roman" w:eastAsia="Batang"/>
          <w:i w:val="0"/>
          <w:sz w:val="18"/>
        </w:rPr>
        <w:t xml:space="preserve">Liu, J., Zhu, S., Kim, M. K. and Srebric, J., 2019, “A Review of CFD Analysis Methods for Personalized Ventilation (PV) in Indoor Built Environments,” </w:t>
      </w:r>
      <w:r>
        <w:rPr>
          <w:rFonts w:ascii="Times New Roman" w:hAnsi="Times New Roman" w:cs="Times New Roman" w:eastAsia="Batang"/>
          <w:i/>
          <w:sz w:val="18"/>
        </w:rPr>
        <w:t>Sustainability</w:t>
      </w:r>
      <w:r>
        <w:rPr>
          <w:rFonts w:ascii="Times New Roman" w:hAnsi="Times New Roman" w:cs="Times New Roman" w:eastAsia="Batang"/>
          <w:i w:val="0"/>
          <w:sz w:val="18"/>
        </w:rPr>
        <w:t>, Vol. 11, No. 15, pp. 4166.</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(5) </w:t>
      </w:r>
      <w:r>
        <w:rPr>
          <w:rFonts w:ascii="Times New Roman" w:hAnsi="Times New Roman" w:cs="Times New Roman" w:eastAsia="Batang"/>
          <w:i w:val="0"/>
          <w:sz w:val="18"/>
        </w:rPr>
        <w:t xml:space="preserve">Weller, H. G., Tabor, G., Jasak, H. and Fureby, C., 1998, “A Tensorial Approach to Computational Continuum Mechanics Using Object-Oriented Techniques,” </w:t>
      </w:r>
      <w:r>
        <w:rPr>
          <w:rFonts w:ascii="Times New Roman" w:hAnsi="Times New Roman" w:cs="Times New Roman" w:eastAsia="Batang"/>
          <w:i/>
          <w:sz w:val="18"/>
        </w:rPr>
        <w:t>Computers in Physics</w:t>
      </w:r>
      <w:r>
        <w:rPr>
          <w:rFonts w:ascii="Times New Roman" w:hAnsi="Times New Roman" w:cs="Times New Roman" w:eastAsia="Batang"/>
          <w:i w:val="0"/>
          <w:sz w:val="18"/>
        </w:rPr>
        <w:t>, Vol. 12, No. 6, pp. 620–631.</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(6) </w:t>
      </w:r>
      <w:r>
        <w:rPr>
          <w:rFonts w:ascii="Times New Roman" w:hAnsi="Times New Roman" w:cs="Times New Roman" w:eastAsia="Batang"/>
          <w:i w:val="0"/>
          <w:sz w:val="18"/>
        </w:rPr>
        <w:t xml:space="preserve">Calzolari, G. and Liu, W., 2021, “Deep Learning to Replace, Improve, or Aid CFD Analysis in Built Environment Applications: A Review,” </w:t>
      </w:r>
      <w:r>
        <w:rPr>
          <w:rFonts w:ascii="Times New Roman" w:hAnsi="Times New Roman" w:cs="Times New Roman" w:eastAsia="Batang"/>
          <w:i/>
          <w:sz w:val="18"/>
        </w:rPr>
        <w:t>Building and Environment</w:t>
      </w:r>
      <w:r>
        <w:rPr>
          <w:rFonts w:ascii="Times New Roman" w:hAnsi="Times New Roman" w:cs="Times New Roman" w:eastAsia="Batang"/>
          <w:i w:val="0"/>
          <w:sz w:val="18"/>
        </w:rPr>
        <w:t>, Vol. 206, pp. 108315.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(7) </w:t>
      </w:r>
      <w:r>
        <w:rPr>
          <w:rFonts w:ascii="Times New Roman" w:hAnsi="Times New Roman" w:cs="Times New Roman" w:eastAsia="Batang"/>
          <w:i w:val="0"/>
          <w:sz w:val="18"/>
        </w:rPr>
        <w:t xml:space="preserve">Utkucu, D. and Sözer, H., 2020, “Interoperability and Data Exchange within BIM Platform to Evaluate Building Energy Performance and Indoor Comfort,” </w:t>
      </w:r>
      <w:r>
        <w:rPr>
          <w:rFonts w:ascii="Times New Roman" w:hAnsi="Times New Roman" w:cs="Times New Roman" w:eastAsia="Batang"/>
          <w:i/>
          <w:sz w:val="18"/>
        </w:rPr>
        <w:t>Automation in Construction</w:t>
      </w:r>
      <w:r>
        <w:rPr>
          <w:rFonts w:ascii="Times New Roman" w:hAnsi="Times New Roman" w:cs="Times New Roman" w:eastAsia="Batang"/>
          <w:i w:val="0"/>
          <w:sz w:val="18"/>
        </w:rPr>
        <w:t>, Vol. 116, pp. 103225.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(8) </w:t>
      </w:r>
      <w:r>
        <w:rPr>
          <w:rFonts w:ascii="Times New Roman" w:hAnsi="Times New Roman" w:cs="Times New Roman" w:eastAsia="Batang"/>
          <w:i w:val="0"/>
          <w:sz w:val="18"/>
        </w:rPr>
        <w:t xml:space="preserve">Weerasuriya, A., Zhang, X., Gan, V. J. and Tan, Y., 2019, “A Holistic Framework to Utilize Natural Ventilation to Optimize Energy Performance of Residential High-Rise Buildings,” </w:t>
      </w:r>
      <w:r>
        <w:rPr>
          <w:rFonts w:ascii="Times New Roman" w:hAnsi="Times New Roman" w:cs="Times New Roman" w:eastAsia="Batang"/>
          <w:i/>
          <w:sz w:val="18"/>
        </w:rPr>
        <w:t>Building and Environment</w:t>
      </w:r>
      <w:r>
        <w:rPr>
          <w:rFonts w:ascii="Times New Roman" w:hAnsi="Times New Roman" w:cs="Times New Roman" w:eastAsia="Batang"/>
          <w:i w:val="0"/>
          <w:sz w:val="18"/>
        </w:rPr>
        <w:t>, Vol. 153, pp. 218–232.</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(9) </w:t>
      </w:r>
      <w:r>
        <w:rPr>
          <w:rFonts w:ascii="Times New Roman" w:hAnsi="Times New Roman" w:cs="Times New Roman" w:eastAsia="Batang"/>
          <w:i w:val="0"/>
          <w:sz w:val="18"/>
        </w:rPr>
        <w:t xml:space="preserve">Hou, F., Ma, J., Kwok, H. H. and Cheng, J. C., 2022, “Prediction and Optimization of Thermal Comfort, IAQ and Energy Consumption of Typical Air-Conditioned Rooms Based on a Hybrid Prediction Model,” </w:t>
      </w:r>
      <w:r>
        <w:rPr>
          <w:rFonts w:ascii="Times New Roman" w:hAnsi="Times New Roman" w:cs="Times New Roman" w:eastAsia="Batang"/>
          <w:i/>
          <w:sz w:val="18"/>
        </w:rPr>
        <w:t>Building and Environment</w:t>
      </w:r>
      <w:r>
        <w:rPr>
          <w:rFonts w:ascii="Times New Roman" w:hAnsi="Times New Roman" w:cs="Times New Roman" w:eastAsia="Batang"/>
          <w:i w:val="0"/>
          <w:sz w:val="18"/>
        </w:rPr>
        <w:t>, Vol. 225, pp. 109576.</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(10) </w:t>
      </w:r>
      <w:r>
        <w:rPr>
          <w:rFonts w:ascii="Times New Roman" w:hAnsi="Times New Roman" w:cs="Times New Roman" w:eastAsia="Batang"/>
          <w:i w:val="0"/>
          <w:sz w:val="18"/>
        </w:rPr>
        <w:t xml:space="preserve">Rocha, G., Mateus, L., Fernández, J. and Ferreira, V., 2020, “A Scan-to-BIM Methodology Applied to Heritage Buildings,” </w:t>
      </w:r>
      <w:r>
        <w:rPr>
          <w:rFonts w:ascii="Times New Roman" w:hAnsi="Times New Roman" w:cs="Times New Roman" w:eastAsia="Batang"/>
          <w:i/>
          <w:sz w:val="18"/>
        </w:rPr>
        <w:t>Heritage</w:t>
      </w:r>
      <w:r>
        <w:rPr>
          <w:rFonts w:ascii="Times New Roman" w:hAnsi="Times New Roman" w:cs="Times New Roman" w:eastAsia="Batang"/>
          <w:i w:val="0"/>
          <w:sz w:val="18"/>
        </w:rPr>
        <w:t>, Vol. 3, No. 1, pp. 47–67.</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(11) </w:t>
      </w:r>
      <w:r>
        <w:rPr>
          <w:rFonts w:ascii="Times New Roman" w:hAnsi="Times New Roman" w:cs="Times New Roman" w:eastAsia="Batang"/>
          <w:i w:val="0"/>
          <w:sz w:val="18"/>
        </w:rPr>
        <w:t xml:space="preserve">Guo, X., Li, W. and Iorio, F., 2016, “Convolutional Neural Networks for Steady Flow Approximation,” </w:t>
      </w:r>
      <w:r>
        <w:rPr>
          <w:rFonts w:ascii="Times New Roman" w:hAnsi="Times New Roman" w:cs="Times New Roman" w:eastAsia="Batang"/>
          <w:i/>
          <w:sz w:val="18"/>
        </w:rPr>
        <w:t>Proceedings of the 22nd ACM SIGKDD International Conference on Knowledge Discovery and Data Mining</w:t>
      </w:r>
      <w:r>
        <w:rPr>
          <w:rFonts w:ascii="Times New Roman" w:hAnsi="Times New Roman" w:cs="Times New Roman" w:eastAsia="Batang"/>
          <w:i w:val="0"/>
          <w:sz w:val="18"/>
        </w:rPr>
        <w:t>, pp. 481–490.</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(12) </w:t>
      </w:r>
      <w:r>
        <w:rPr>
          <w:rFonts w:ascii="Times New Roman" w:hAnsi="Times New Roman" w:cs="Times New Roman" w:eastAsia="Batang"/>
          <w:i w:val="0"/>
          <w:sz w:val="18"/>
        </w:rPr>
        <w:t xml:space="preserve">Kastner, P. and Dogan, T., 2023, “A GAN-Based Surrogate Model for Instantaneous Urban Wind Flow Prediction,” </w:t>
      </w:r>
      <w:r>
        <w:rPr>
          <w:rFonts w:ascii="Times New Roman" w:hAnsi="Times New Roman" w:cs="Times New Roman" w:eastAsia="Batang"/>
          <w:i/>
          <w:sz w:val="18"/>
        </w:rPr>
        <w:t>Building and Environment</w:t>
      </w:r>
      <w:r>
        <w:rPr>
          <w:rFonts w:ascii="Times New Roman" w:hAnsi="Times New Roman" w:cs="Times New Roman" w:eastAsia="Batang"/>
          <w:i w:val="0"/>
          <w:sz w:val="18"/>
        </w:rPr>
        <w:t>, Vol. 242, pp. 110384.</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(13) </w:t>
      </w:r>
      <w:r>
        <w:rPr>
          <w:rFonts w:ascii="Times New Roman" w:hAnsi="Times New Roman" w:cs="Times New Roman" w:eastAsia="Batang"/>
          <w:i w:val="0"/>
          <w:sz w:val="18"/>
        </w:rPr>
        <w:t xml:space="preserve">OpenAI, Achiam, J., Adler, S., et al., 2023, </w:t>
      </w:r>
      <w:r>
        <w:rPr>
          <w:rFonts w:ascii="Times New Roman" w:hAnsi="Times New Roman" w:cs="Times New Roman" w:eastAsia="Batang"/>
          <w:i w:val="0"/>
          <w:sz w:val="18"/>
        </w:rPr>
        <w:t>GPT-4 Technical Report</w:t>
      </w:r>
      <w:r>
        <w:rPr>
          <w:rFonts w:ascii="Times New Roman" w:hAnsi="Times New Roman" w:cs="Times New Roman" w:eastAsia="Batang"/>
          <w:i w:val="0"/>
          <w:sz w:val="18"/>
        </w:rPr>
        <w:t>, arXiv:2303.08774.</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(14) </w:t>
      </w:r>
      <w:r>
        <w:rPr>
          <w:rFonts w:ascii="Times New Roman" w:hAnsi="Times New Roman" w:cs="Times New Roman" w:eastAsia="Batang"/>
          <w:i w:val="0"/>
          <w:sz w:val="18"/>
        </w:rPr>
        <w:t xml:space="preserve">Gemini Team, Anil, R., Borgeaud, S., et al., 2023, </w:t>
      </w:r>
      <w:r>
        <w:rPr>
          <w:rFonts w:ascii="Times New Roman" w:hAnsi="Times New Roman" w:cs="Times New Roman" w:eastAsia="Batang"/>
          <w:i w:val="0"/>
          <w:sz w:val="18"/>
        </w:rPr>
        <w:t>Gemini: A Family of Highly Capable Multimodal Models</w:t>
      </w:r>
      <w:r>
        <w:rPr>
          <w:rFonts w:ascii="Times New Roman" w:hAnsi="Times New Roman" w:cs="Times New Roman" w:eastAsia="Batang"/>
          <w:i w:val="0"/>
          <w:sz w:val="18"/>
        </w:rPr>
        <w:t>, arXiv:2312.11805.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(15) </w:t>
      </w:r>
      <w:r>
        <w:rPr>
          <w:rFonts w:ascii="Times New Roman" w:hAnsi="Times New Roman" w:cs="Times New Roman" w:eastAsia="Batang"/>
          <w:i w:val="0"/>
          <w:sz w:val="18"/>
        </w:rPr>
        <w:t xml:space="preserve">Chen, B., Xu, Z., Kirmani, S., Ichter, B., Sadigh, D., Guibas, L. and Xia, F., 2024, “SpatialVLM: Endowing Vision-Language Models with Spatial Reasoning Capabilities,” </w:t>
      </w:r>
      <w:r>
        <w:rPr>
          <w:rFonts w:ascii="Times New Roman" w:hAnsi="Times New Roman" w:cs="Times New Roman" w:eastAsia="Batang"/>
          <w:i/>
          <w:sz w:val="18"/>
        </w:rPr>
        <w:t>2024 IEEE/CVF Conference on Computer Vision and Pattern Recognition (CVPR)</w:t>
      </w:r>
      <w:r>
        <w:rPr>
          <w:rFonts w:ascii="Times New Roman" w:hAnsi="Times New Roman" w:cs="Times New Roman" w:eastAsia="Batang"/>
          <w:i w:val="0"/>
          <w:sz w:val="18"/>
        </w:rPr>
        <w:t>, pp. 14455–14465.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(16) </w:t>
      </w:r>
      <w:r>
        <w:rPr>
          <w:rFonts w:ascii="Times New Roman" w:hAnsi="Times New Roman" w:cs="Times New Roman" w:eastAsia="Batang"/>
          <w:i w:val="0"/>
          <w:sz w:val="18"/>
        </w:rPr>
        <w:t xml:space="preserve">Hong, Y., Zhen, H., Chen, P., Zheng, S., Du, Y., Chen, Z. and Gan, C., 2023, “3D-LLM: Injecting the 3D World into Large Language Models,” </w:t>
      </w:r>
      <w:r>
        <w:rPr>
          <w:rFonts w:ascii="Times New Roman" w:hAnsi="Times New Roman" w:cs="Times New Roman" w:eastAsia="Batang"/>
          <w:i/>
          <w:sz w:val="18"/>
        </w:rPr>
        <w:t>Advances in Neural Information Processing Systems (NeurIPS)</w:t>
      </w:r>
      <w:r>
        <w:rPr>
          <w:rFonts w:ascii="Times New Roman" w:hAnsi="Times New Roman" w:cs="Times New Roman" w:eastAsia="Batang"/>
          <w:i w:val="0"/>
          <w:sz w:val="18"/>
        </w:rPr>
        <w:t>.</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(17) </w:t>
      </w:r>
      <w:r>
        <w:rPr>
          <w:rFonts w:ascii="Times New Roman" w:hAnsi="Times New Roman" w:cs="Times New Roman" w:eastAsia="Batang"/>
          <w:i w:val="0"/>
          <w:sz w:val="18"/>
        </w:rPr>
        <w:t xml:space="preserve">Kosutova, K., van Hooff, T., Vanderwel, C., Blocken, B. and Hensen, J., 2019, “Cross-Ventilation in a Generic Isolated Building Equipped with Louvers: Wind-tunnel Experiments and CFD Simulations,” </w:t>
      </w:r>
      <w:r>
        <w:rPr>
          <w:rFonts w:ascii="Times New Roman" w:hAnsi="Times New Roman" w:cs="Times New Roman" w:eastAsia="Batang"/>
          <w:i/>
          <w:sz w:val="18"/>
        </w:rPr>
        <w:t>Building and Environment</w:t>
      </w:r>
      <w:r>
        <w:rPr>
          <w:rFonts w:ascii="Times New Roman" w:hAnsi="Times New Roman" w:cs="Times New Roman" w:eastAsia="Batang"/>
          <w:i w:val="0"/>
          <w:sz w:val="18"/>
        </w:rPr>
        <w:t>, Vol. 154, pp. 263–280.</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(18) </w:t>
      </w:r>
      <w:r>
        <w:rPr>
          <w:rFonts w:ascii="Times New Roman" w:hAnsi="Times New Roman" w:cs="Times New Roman" w:eastAsia="Batang"/>
          <w:i w:val="0"/>
          <w:sz w:val="18"/>
        </w:rPr>
        <w:t xml:space="preserve">Chen, G., Rong, L. and Zhang, G., 2021, “Unsteady-State CFD Simulations on the Impacts of Urban Geometry on Outdoor Thermal Comfort within Idealized Building Arrays,” </w:t>
      </w:r>
      <w:r>
        <w:rPr>
          <w:rFonts w:ascii="Times New Roman" w:hAnsi="Times New Roman" w:cs="Times New Roman" w:eastAsia="Batang"/>
          <w:i/>
          <w:sz w:val="18"/>
        </w:rPr>
        <w:t>Sustainable Cities and Society</w:t>
      </w:r>
      <w:r>
        <w:rPr>
          <w:rFonts w:ascii="Times New Roman" w:hAnsi="Times New Roman" w:cs="Times New Roman" w:eastAsia="Batang"/>
          <w:i w:val="0"/>
          <w:sz w:val="18"/>
        </w:rPr>
        <w:t>, Vol. 74, pp. 103187.</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(19) </w:t>
      </w:r>
      <w:r>
        <w:rPr>
          <w:rFonts w:ascii="Times New Roman" w:hAnsi="Times New Roman" w:cs="Times New Roman" w:eastAsia="Batang"/>
          <w:i w:val="0"/>
          <w:sz w:val="18"/>
        </w:rPr>
        <w:t xml:space="preserve">Liu, H., He, S., Shen, L. and Hong, J., 2021, “Simulation-Based Study of COVID-19 Outbreak Associated with Air-Conditioning in a Restaurant,” </w:t>
      </w:r>
      <w:r>
        <w:rPr>
          <w:rFonts w:ascii="Times New Roman" w:hAnsi="Times New Roman" w:cs="Times New Roman" w:eastAsia="Batang"/>
          <w:i/>
          <w:sz w:val="18"/>
        </w:rPr>
        <w:t>Physics of Fluids</w:t>
      </w:r>
      <w:r>
        <w:rPr>
          <w:rFonts w:ascii="Times New Roman" w:hAnsi="Times New Roman" w:cs="Times New Roman" w:eastAsia="Batang"/>
          <w:i w:val="0"/>
          <w:sz w:val="18"/>
        </w:rPr>
        <w:t>, Vol. 33, No. 2.</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(20) </w:t>
      </w:r>
      <w:r>
        <w:rPr>
          <w:rFonts w:ascii="Times New Roman" w:hAnsi="Times New Roman" w:cs="Times New Roman" w:eastAsia="Batang"/>
          <w:i w:val="0"/>
          <w:sz w:val="18"/>
        </w:rPr>
        <w:t xml:space="preserve">Srivastava, S., Zhao, X., Manay, A. and Chen, Q., 2021, “Effective Ventilation and Air Disinfection System for Reducing Coronavirus Disease 2019 (COVID-19) Infection Risk in Office Buildings,” </w:t>
      </w:r>
      <w:r>
        <w:rPr>
          <w:rFonts w:ascii="Times New Roman" w:hAnsi="Times New Roman" w:cs="Times New Roman" w:eastAsia="Batang"/>
          <w:i/>
          <w:sz w:val="18"/>
        </w:rPr>
        <w:t>Sustainable Cities and Society</w:t>
      </w:r>
      <w:r>
        <w:rPr>
          <w:rFonts w:ascii="Times New Roman" w:hAnsi="Times New Roman" w:cs="Times New Roman" w:eastAsia="Batang"/>
          <w:i w:val="0"/>
          <w:sz w:val="18"/>
        </w:rPr>
        <w:t>, Vol. 75, pp. 103408.</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(21) </w:t>
      </w:r>
      <w:r>
        <w:rPr>
          <w:rFonts w:ascii="Times New Roman" w:hAnsi="Times New Roman" w:cs="Times New Roman" w:eastAsia="Batang"/>
          <w:i w:val="0"/>
          <w:sz w:val="18"/>
        </w:rPr>
        <w:t xml:space="preserve">Brozovsky, J., Radivojevic, J. and Simonsen, A., 2022, “Assessing the Impact of Urban Microclimate on Building Energy Demand by Coupling CFD and Building Performance Simulation,” </w:t>
      </w:r>
      <w:r>
        <w:rPr>
          <w:rFonts w:ascii="Times New Roman" w:hAnsi="Times New Roman" w:cs="Times New Roman" w:eastAsia="Batang"/>
          <w:i/>
          <w:sz w:val="18"/>
        </w:rPr>
        <w:t>Journal of Building Engineering</w:t>
      </w:r>
      <w:r>
        <w:rPr>
          <w:rFonts w:ascii="Times New Roman" w:hAnsi="Times New Roman" w:cs="Times New Roman" w:eastAsia="Batang"/>
          <w:i w:val="0"/>
          <w:sz w:val="18"/>
        </w:rPr>
        <w:t>, Vol. 55, pp. 104681.</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(22) </w:t>
      </w:r>
      <w:r>
        <w:rPr>
          <w:rFonts w:ascii="Times New Roman" w:hAnsi="Times New Roman" w:cs="Times New Roman" w:eastAsia="Batang"/>
          <w:i w:val="0"/>
          <w:sz w:val="18"/>
        </w:rPr>
        <w:t xml:space="preserve">Ren, C. and Cao, S. J., 2019, “Development and Application of Linear Ventilation and Temperature Models for Indoor Environmental Prediction and HVAC Systems Control,” </w:t>
      </w:r>
      <w:r>
        <w:rPr>
          <w:rFonts w:ascii="Times New Roman" w:hAnsi="Times New Roman" w:cs="Times New Roman" w:eastAsia="Batang"/>
          <w:i/>
          <w:sz w:val="18"/>
        </w:rPr>
        <w:t>Sustainable Cities and Society</w:t>
      </w:r>
      <w:r>
        <w:rPr>
          <w:rFonts w:ascii="Times New Roman" w:hAnsi="Times New Roman" w:cs="Times New Roman" w:eastAsia="Batang"/>
          <w:i w:val="0"/>
          <w:sz w:val="18"/>
        </w:rPr>
        <w:t>, Vol. 51, pp. 101673.</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(23) </w:t>
      </w:r>
      <w:r>
        <w:rPr>
          <w:rFonts w:ascii="Times New Roman" w:hAnsi="Times New Roman" w:cs="Times New Roman" w:eastAsia="Batang"/>
          <w:i w:val="0"/>
          <w:sz w:val="18"/>
        </w:rPr>
        <w:t xml:space="preserve">Wang, Q., Guo, J. and Kim, M. K., 2019, “An Application Oriented Scan-to-BIM Framework,” </w:t>
      </w:r>
      <w:r>
        <w:rPr>
          <w:rFonts w:ascii="Times New Roman" w:hAnsi="Times New Roman" w:cs="Times New Roman" w:eastAsia="Batang"/>
          <w:i/>
          <w:sz w:val="18"/>
        </w:rPr>
        <w:t>Remote Sensing</w:t>
      </w:r>
      <w:r>
        <w:rPr>
          <w:rFonts w:ascii="Times New Roman" w:hAnsi="Times New Roman" w:cs="Times New Roman" w:eastAsia="Batang"/>
          <w:i w:val="0"/>
          <w:sz w:val="18"/>
        </w:rPr>
        <w:t>, Vol. 11, No. 3, pp. 365.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(24) </w:t>
      </w:r>
      <w:r>
        <w:rPr>
          <w:rFonts w:ascii="Times New Roman" w:hAnsi="Times New Roman" w:cs="Times New Roman" w:eastAsia="Batang"/>
          <w:i w:val="0"/>
          <w:sz w:val="18"/>
        </w:rPr>
        <w:t xml:space="preserve">Mildenhall, B., Srinivasan, P. P., Tancik, M., Barron, J. T., Ramamoorthi, R. and Ng, R., 2020, “NeRF: Representing Scenes as Neural Radiance Fields for View Synthesis,” </w:t>
      </w:r>
      <w:r>
        <w:rPr>
          <w:rFonts w:ascii="Times New Roman" w:hAnsi="Times New Roman" w:cs="Times New Roman" w:eastAsia="Batang"/>
          <w:i/>
          <w:sz w:val="18"/>
        </w:rPr>
        <w:t>Lecture Notes in Computer Science</w:t>
      </w:r>
      <w:r>
        <w:rPr>
          <w:rFonts w:ascii="Times New Roman" w:hAnsi="Times New Roman" w:cs="Times New Roman" w:eastAsia="Batang"/>
          <w:i w:val="0"/>
          <w:sz w:val="18"/>
        </w:rPr>
        <w:t>, pp. 405–421.</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(25) </w:t>
      </w:r>
      <w:r>
        <w:rPr>
          <w:rFonts w:ascii="Times New Roman" w:hAnsi="Times New Roman" w:cs="Times New Roman" w:eastAsia="Batang"/>
          <w:i w:val="0"/>
          <w:sz w:val="18"/>
        </w:rPr>
        <w:t xml:space="preserve">Yang, S. D., Ali, Z. A. and Wong, B. M., 2023, “FLUID-GPT (Fast Learning to Understand and Investigate Dynamics with a Generative Pre-Trained Transformer): Efficient Predictions of Particle Trajectories and Erosion,” </w:t>
      </w:r>
      <w:r>
        <w:rPr>
          <w:rFonts w:ascii="Times New Roman" w:hAnsi="Times New Roman" w:cs="Times New Roman" w:eastAsia="Batang"/>
          <w:i/>
          <w:sz w:val="18"/>
        </w:rPr>
        <w:t>Industrial &amp; Engineering Chemistry Research</w:t>
      </w:r>
      <w:r>
        <w:rPr>
          <w:rFonts w:ascii="Times New Roman" w:hAnsi="Times New Roman" w:cs="Times New Roman" w:eastAsia="Batang"/>
          <w:i w:val="0"/>
          <w:sz w:val="18"/>
        </w:rPr>
        <w:t>, Vol. 62, No. 37, pp. 15278–15289.</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(26) </w:t>
      </w:r>
      <w:r>
        <w:rPr>
          <w:rFonts w:ascii="Times New Roman" w:hAnsi="Times New Roman" w:cs="Times New Roman" w:eastAsia="Batang"/>
          <w:i w:val="0"/>
          <w:sz w:val="18"/>
        </w:rPr>
        <w:t xml:space="preserve">Pandey, S., Xu, R., Wang, W. and Chu, X., 2025, “OpenFOAMGPT: A Retrieval-Augmented Large Language Model (LLM) Agent for OpenFOAM-based Computational Fluid Dynamics,” </w:t>
      </w:r>
      <w:r>
        <w:rPr>
          <w:rFonts w:ascii="Times New Roman" w:hAnsi="Times New Roman" w:cs="Times New Roman" w:eastAsia="Batang"/>
          <w:i/>
          <w:sz w:val="18"/>
        </w:rPr>
        <w:t>Physics of Fluids</w:t>
      </w:r>
      <w:r>
        <w:rPr>
          <w:rFonts w:ascii="Times New Roman" w:hAnsi="Times New Roman" w:cs="Times New Roman" w:eastAsia="Batang"/>
          <w:i w:val="0"/>
          <w:sz w:val="18"/>
        </w:rPr>
        <w:t>, Vol. 37, No. 3.</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(27) </w:t>
      </w:r>
      <w:r>
        <w:rPr>
          <w:rFonts w:ascii="Times New Roman" w:hAnsi="Times New Roman" w:cs="Times New Roman" w:eastAsia="Batang"/>
          <w:i w:val="0"/>
          <w:sz w:val="18"/>
        </w:rPr>
        <w:t xml:space="preserve">Dong, Z., Lu, Z. and Yang, Y., 2025, “Fine-Tuning a Large Language Model for Automating Computational Fluid Dynamics Simulations,” </w:t>
      </w:r>
      <w:r>
        <w:rPr>
          <w:rFonts w:ascii="Times New Roman" w:hAnsi="Times New Roman" w:cs="Times New Roman" w:eastAsia="Batang"/>
          <w:i/>
          <w:sz w:val="18"/>
        </w:rPr>
        <w:t>Theoretical and Applied Mechanics Letters</w:t>
      </w:r>
      <w:r>
        <w:rPr>
          <w:rFonts w:ascii="Times New Roman" w:hAnsi="Times New Roman" w:cs="Times New Roman" w:eastAsia="Batang"/>
          <w:i w:val="0"/>
          <w:sz w:val="18"/>
        </w:rPr>
        <w:t>, Vol. 15, No. 3, pp. 100594.</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(28) </w:t>
      </w:r>
      <w:r>
        <w:rPr>
          <w:rFonts w:ascii="Times New Roman" w:hAnsi="Times New Roman" w:cs="Times New Roman" w:eastAsia="Batang"/>
          <w:i w:val="0"/>
          <w:sz w:val="18"/>
        </w:rPr>
        <w:t xml:space="preserve">Menter, F. R., 1994, “Two-Equation Eddy-Viscosity Turbulence Models for Engineering Applications,” </w:t>
      </w:r>
      <w:r>
        <w:rPr>
          <w:rFonts w:ascii="Times New Roman" w:hAnsi="Times New Roman" w:cs="Times New Roman" w:eastAsia="Batang"/>
          <w:i/>
          <w:sz w:val="18"/>
        </w:rPr>
        <w:t>AIAA Journal</w:t>
      </w:r>
      <w:r>
        <w:rPr>
          <w:rFonts w:ascii="Times New Roman" w:hAnsi="Times New Roman" w:cs="Times New Roman" w:eastAsia="Batang"/>
          <w:i w:val="0"/>
          <w:sz w:val="18"/>
        </w:rPr>
        <w:t>, Vol. 32, No. 8, pp. 1598–1605.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(29) </w:t>
      </w:r>
      <w:r>
        <w:rPr>
          <w:rFonts w:ascii="Times New Roman" w:hAnsi="Times New Roman" w:cs="Times New Roman" w:eastAsia="Batang"/>
          <w:i w:val="0"/>
          <w:sz w:val="18"/>
        </w:rPr>
        <w:t xml:space="preserve">Launder, B. and Spalding, D., 1974, “The Numerical Computation of Turbulent Flows,” </w:t>
      </w:r>
      <w:r>
        <w:rPr>
          <w:rFonts w:ascii="Times New Roman" w:hAnsi="Times New Roman" w:cs="Times New Roman" w:eastAsia="Batang"/>
          <w:i/>
          <w:sz w:val="18"/>
        </w:rPr>
        <w:t>Computer Methods in Applied Mechanics and Engineering</w:t>
      </w:r>
      <w:r>
        <w:rPr>
          <w:rFonts w:ascii="Times New Roman" w:hAnsi="Times New Roman" w:cs="Times New Roman" w:eastAsia="Batang"/>
          <w:i w:val="0"/>
          <w:sz w:val="18"/>
        </w:rPr>
        <w:t>, Vol. 3, No. 2, pp. 269–289.</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(30) </w:t>
      </w:r>
      <w:r>
        <w:rPr>
          <w:rFonts w:ascii="Times New Roman" w:hAnsi="Times New Roman" w:cs="Times New Roman" w:eastAsia="Batang"/>
          <w:i w:val="0"/>
          <w:sz w:val="18"/>
        </w:rPr>
        <w:t xml:space="preserve">Geuzaine, C. and Remacle, J. F., 2009, “Gmsh: A 3-D Finite Element Mesh Generator with Built-in Pre- and Post-processing Facilities,” </w:t>
      </w:r>
      <w:r>
        <w:rPr>
          <w:rFonts w:ascii="Times New Roman" w:hAnsi="Times New Roman" w:cs="Times New Roman" w:eastAsia="Batang"/>
          <w:i/>
          <w:sz w:val="18"/>
        </w:rPr>
        <w:t>International Journal for Numerical Methods in Engineering</w:t>
      </w:r>
      <w:r>
        <w:rPr>
          <w:rFonts w:ascii="Times New Roman" w:hAnsi="Times New Roman" w:cs="Times New Roman" w:eastAsia="Batang"/>
          <w:i w:val="0"/>
          <w:sz w:val="18"/>
        </w:rPr>
        <w:t>, Vol. 79, No. 11, pp. 1309–1331.</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(31) </w:t>
      </w:r>
      <w:r>
        <w:rPr>
          <w:rFonts w:ascii="Times New Roman" w:hAnsi="Times New Roman" w:cs="Times New Roman" w:eastAsia="Batang"/>
          <w:i w:val="0"/>
          <w:sz w:val="18"/>
        </w:rPr>
        <w:t xml:space="preserve">Patankar, S. and Spalding, D., 1972, “A Calculation Procedure for Heat, Mass and Momentum Transfer in Three-Dimensional Parabolic Flows,” </w:t>
      </w:r>
      <w:r>
        <w:rPr>
          <w:rFonts w:ascii="Times New Roman" w:hAnsi="Times New Roman" w:cs="Times New Roman" w:eastAsia="Batang"/>
          <w:i/>
          <w:sz w:val="18"/>
        </w:rPr>
        <w:t>International Journal of Heat and Mass Transfer</w:t>
      </w:r>
      <w:r>
        <w:rPr>
          <w:rFonts w:ascii="Times New Roman" w:hAnsi="Times New Roman" w:cs="Times New Roman" w:eastAsia="Batang"/>
          <w:i w:val="0"/>
          <w:sz w:val="18"/>
        </w:rPr>
        <w:t>, Vol. 15, No. 10, pp. 1787–1806.</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(32) </w:t>
      </w:r>
      <w:r>
        <w:rPr>
          <w:rFonts w:ascii="Times New Roman" w:hAnsi="Times New Roman" w:cs="Times New Roman" w:eastAsia="Batang"/>
          <w:i w:val="0"/>
          <w:sz w:val="18"/>
        </w:rPr>
        <w:t xml:space="preserve">Qi, C. R., Litany, O., He, K. and Guibas, L. J., 2019, “Deep Hough Voting for 3D Object Detection in Point Clouds,” </w:t>
      </w:r>
      <w:r>
        <w:rPr>
          <w:rFonts w:ascii="Times New Roman" w:hAnsi="Times New Roman" w:cs="Times New Roman" w:eastAsia="Batang"/>
          <w:i/>
          <w:sz w:val="18"/>
        </w:rPr>
        <w:t>2019 IEEE/CVF International Conference on Computer Vision (ICCV)</w:t>
      </w:r>
      <w:r>
        <w:rPr>
          <w:rFonts w:ascii="Times New Roman" w:hAnsi="Times New Roman" w:cs="Times New Roman" w:eastAsia="Batang"/>
          <w:i w:val="0"/>
          <w:sz w:val="18"/>
        </w:rPr>
        <w:t>, pp. 9276–9285.</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(33) </w:t>
      </w:r>
      <w:r>
        <w:rPr>
          <w:rFonts w:ascii="Times New Roman" w:hAnsi="Times New Roman" w:cs="Times New Roman" w:eastAsia="Batang"/>
          <w:i w:val="0"/>
          <w:sz w:val="18"/>
        </w:rPr>
        <w:t xml:space="preserve">Dai, A., Chang, A. X., Savva, M., Halber, M., Funkhouser, T. and Niessner, M., 2017, “ScanNet: Richly-Annotated 3D Reconstructions of Indoor Scenes,” </w:t>
      </w:r>
      <w:r>
        <w:rPr>
          <w:rFonts w:ascii="Times New Roman" w:hAnsi="Times New Roman" w:cs="Times New Roman" w:eastAsia="Batang"/>
          <w:i/>
          <w:sz w:val="18"/>
        </w:rPr>
        <w:t>2017 IEEE Conference on Computer Vision and Pattern Recognition (CVPR)</w:t>
      </w:r>
      <w:r>
        <w:rPr>
          <w:rFonts w:ascii="Times New Roman" w:hAnsi="Times New Roman" w:cs="Times New Roman" w:eastAsia="Batang"/>
          <w:i w:val="0"/>
          <w:sz w:val="18"/>
        </w:rPr>
        <w:t>, pp. 2432–2443.</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(34) </w:t>
      </w:r>
      <w:r>
        <w:rPr>
          <w:rFonts w:ascii="Times New Roman" w:hAnsi="Times New Roman" w:cs="Times New Roman" w:eastAsia="Batang"/>
          <w:i w:val="0"/>
          <w:sz w:val="18"/>
        </w:rPr>
        <w:t xml:space="preserve">Song, S., Lichtenberg, S. P. and Xiao, J., 2015, “SUN RGB-D: A RGB-D Scene Understanding Benchmark Suite,” </w:t>
      </w:r>
      <w:r>
        <w:rPr>
          <w:rFonts w:ascii="Times New Roman" w:hAnsi="Times New Roman" w:cs="Times New Roman" w:eastAsia="Batang"/>
          <w:i/>
          <w:sz w:val="18"/>
        </w:rPr>
        <w:t>2015 IEEE Conference on Computer Vision and Pattern Recognition (CVPR)</w:t>
      </w:r>
      <w:r>
        <w:rPr>
          <w:rFonts w:ascii="Times New Roman" w:hAnsi="Times New Roman" w:cs="Times New Roman" w:eastAsia="Batang"/>
          <w:i w:val="0"/>
          <w:sz w:val="18"/>
        </w:rPr>
        <w:t>, pp. 567–576.</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(35) </w:t>
      </w:r>
      <w:r>
        <w:rPr>
          <w:rFonts w:ascii="Times New Roman" w:hAnsi="Times New Roman" w:cs="Times New Roman" w:eastAsia="Batang"/>
          <w:i w:val="0"/>
          <w:sz w:val="18"/>
        </w:rPr>
        <w:t xml:space="preserve">Franke, J., Hellsten, A., Schlunzen, K. H. and Carissimo, B., 2011, “The COST 732 Best Practice Guideline for CFD Simulation of Flows in the Urban Environment: A Summary,” </w:t>
      </w:r>
      <w:r>
        <w:rPr>
          <w:rFonts w:ascii="Times New Roman" w:hAnsi="Times New Roman" w:cs="Times New Roman" w:eastAsia="Batang"/>
          <w:i/>
          <w:sz w:val="18"/>
        </w:rPr>
        <w:t>International Journal of Environment and Pollution</w:t>
      </w:r>
      <w:r>
        <w:rPr>
          <w:rFonts w:ascii="Times New Roman" w:hAnsi="Times New Roman" w:cs="Times New Roman" w:eastAsia="Batang"/>
          <w:i w:val="0"/>
          <w:sz w:val="18"/>
        </w:rPr>
        <w:t>, Vol. 44, No. 1/2/3/4, pp. 419.</w:t>
      </w:r>
    </w:p>
    <w:p>
      <w:pPr>
        <w:pStyle w:val="a4"/>
        <w:numPr>
          <w:ilvl w:val="0"/>
          <w:numId w:val="0"/>
        </w:numPr>
        <w:spacing w:after="40" w:line="252" w:lineRule="auto"/>
        <w:ind w:left="230" w:hanging="230"/>
        <w:jc w:val="both"/>
      </w:pPr>
      <w:r>
        <w:rPr>
          <w:rFonts w:ascii="Times New Roman" w:hAnsi="Times New Roman" w:cs="Times New Roman" w:eastAsia="Batang"/>
          <w:sz w:val="18"/>
        </w:rPr>
        <w:t xml:space="preserve">(36) </w:t>
      </w:r>
      <w:r>
        <w:rPr>
          <w:rFonts w:ascii="Times New Roman" w:hAnsi="Times New Roman" w:cs="Times New Roman" w:eastAsia="Batang"/>
          <w:i w:val="0"/>
          <w:sz w:val="18"/>
        </w:rPr>
        <w:t xml:space="preserve">Nielsen, P. V., Restivo, A. and Whitelaw, J. H., 1978, “The Velocity Characteristics of Ventilated Rooms,” </w:t>
      </w:r>
      <w:r>
        <w:rPr>
          <w:rFonts w:ascii="Times New Roman" w:hAnsi="Times New Roman" w:cs="Times New Roman" w:eastAsia="Batang"/>
          <w:i/>
          <w:sz w:val="18"/>
        </w:rPr>
        <w:t>Journal of Fluids Engineering</w:t>
      </w:r>
      <w:r>
        <w:rPr>
          <w:rFonts w:ascii="Times New Roman" w:hAnsi="Times New Roman" w:cs="Times New Roman" w:eastAsia="Batang"/>
          <w:i w:val="0"/>
          <w:sz w:val="18"/>
        </w:rPr>
        <w:t>, Vol. 100, No. 3, pp. 291–298.</w:t>
      </w:r>
    </w:p>
    <w:sectPr w:rsidR="00714632" w:rsidRPr="00396902" w:rsidSect="00AA0815">
      <w:type w:val="continuous"/>
      <w:pgSz w:w="11906" w:h="16838" w:code="9"/>
      <w:pgMar w:top="1418" w:right="1134" w:bottom="851" w:left="1134" w:header="1134" w:footer="397" w:gutter="0"/>
      <w:cols w:num="2" w:space="425" w:equalWidth="1"/>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57F37" w14:textId="77777777" w:rsidR="000C0F7C" w:rsidRDefault="000C0F7C">
      <w:r>
        <w:separator/>
      </w:r>
    </w:p>
  </w:endnote>
  <w:endnote w:type="continuationSeparator" w:id="0">
    <w:p w14:paraId="7570F877" w14:textId="77777777" w:rsidR="000C0F7C" w:rsidRDefault="000C0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panose1 w:val="020B0609000101010101"/>
    <w:charset w:val="81"/>
    <w:family w:val="modern"/>
    <w:pitch w:val="fixed"/>
    <w:sig w:usb0="B00002AF" w:usb1="69D77CFB" w:usb2="00000030" w:usb3="00000000" w:csb0="0008009F" w:csb1="00000000"/>
  </w:font>
  <w:font w:name="휴먼머리견출명조">
    <w:altName w:val="바탕"/>
    <w:charset w:val="81"/>
    <w:family w:val="roman"/>
    <w:pitch w:val="variable"/>
    <w:sig w:usb0="800002A7" w:usb1="09D77CFB" w:usb2="00000010" w:usb3="00000000" w:csb0="00080000" w:csb1="00000000"/>
  </w:font>
  <w:font w:name="HY견명조">
    <w:panose1 w:val="02030600000101010101"/>
    <w:charset w:val="81"/>
    <w:family w:val="roman"/>
    <w:pitch w:val="variable"/>
    <w:sig w:usb0="900002A7" w:usb1="29D77CF9"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0" w:usb1="09060000" w:usb2="00000010" w:usb3="00000000" w:csb0="00080000" w:csb1="00000000"/>
  </w:font>
  <w:font w:name="휴먼엑스포">
    <w:panose1 w:val="02030504000101010101"/>
    <w:charset w:val="81"/>
    <w:family w:val="roman"/>
    <w:pitch w:val="variable"/>
    <w:sig w:usb0="800002A7" w:usb1="29D77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HY Sinmyeongjo">
    <w:altName w:val="Times New Roman"/>
    <w:panose1 w:val="00000000000000000000"/>
    <w:charset w:val="00"/>
    <w:family w:val="roman"/>
    <w:notTrueType/>
    <w:pitch w:val="default"/>
    <w:sig w:usb0="00000003" w:usb1="00000000" w:usb2="00000000" w:usb3="00000000" w:csb0="00000001" w:csb1="00000000"/>
  </w:font>
  <w:font w:name="신명 중고딕">
    <w:altName w:val="바탕"/>
    <w:panose1 w:val="00000000000000000000"/>
    <w:charset w:val="81"/>
    <w:family w:val="roman"/>
    <w:notTrueType/>
    <w:pitch w:val="default"/>
    <w:sig w:usb0="00000001" w:usb1="09060000"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명조">
    <w:altName w:val="바탕"/>
    <w:panose1 w:val="00000000000000000000"/>
    <w:charset w:val="81"/>
    <w:family w:val="roman"/>
    <w:notTrueType/>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EE09" w14:textId="77777777" w:rsidR="00685E38" w:rsidRDefault="00CE52DE">
    <w:pPr>
      <w:pStyle w:val="a9"/>
      <w:framePr w:wrap="around" w:vAnchor="text" w:hAnchor="margin" w:xAlign="center" w:y="1"/>
      <w:rPr>
        <w:rStyle w:val="aa"/>
      </w:rPr>
    </w:pPr>
    <w:r>
      <w:rPr>
        <w:rStyle w:val="aa"/>
      </w:rPr>
      <w:fldChar w:fldCharType="begin"/>
    </w:r>
    <w:r w:rsidR="00685E38">
      <w:rPr>
        <w:rStyle w:val="aa"/>
      </w:rPr>
      <w:instrText xml:space="preserve">PAGE  </w:instrText>
    </w:r>
    <w:r>
      <w:rPr>
        <w:rStyle w:val="aa"/>
      </w:rPr>
      <w:fldChar w:fldCharType="separate"/>
    </w:r>
    <w:r w:rsidR="00685E38">
      <w:rPr>
        <w:rStyle w:val="aa"/>
        <w:noProof/>
      </w:rPr>
      <w:t>780</w:t>
    </w:r>
    <w:r>
      <w:rPr>
        <w:rStyle w:val="aa"/>
      </w:rPr>
      <w:fldChar w:fldCharType="end"/>
    </w:r>
  </w:p>
  <w:p w14:paraId="10DC89A4" w14:textId="77777777" w:rsidR="00685E38" w:rsidRDefault="00685E38">
    <w:pPr>
      <w:pStyle w:val="a9"/>
    </w:pPr>
  </w:p>
</w:ftr>
</file>

<file path=word/footer2.xml><?xml version="1.0" encoding="utf-8"?>
<w:ftr xmlns:w="http://schemas.openxmlformats.org/wordprocessingml/2006/main" xmlns:r="http://schemas.openxmlformats.org/officeDocument/2006/relationships">
  <w:p>
    <w:pPr>
      <w:jc w:val="center"/>
    </w:pPr>
    <w:r>
      <w:rPr>
        <w:rFonts w:ascii="Times New Roman" w:hAnsi="Times New Roman"/>
        <w:sz w:val="18"/>
        <w:szCs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3.xml><?xml version="1.0" encoding="utf-8"?>
<w:ftr xmlns:w="http://schemas.openxmlformats.org/wordprocessingml/2006/main" xmlns:r="http://schemas.openxmlformats.org/officeDocument/2006/relationships">
  <w:p>
    <w:pPr>
      <w:jc w:val="center"/>
    </w:pPr>
    <w:r>
      <w:rPr>
        <w:rFonts w:ascii="Times New Roman" w:hAnsi="Times New Roman"/>
        <w:sz w:val="18"/>
        <w:szCs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9941077"/>
      <w:docPartObj>
        <w:docPartGallery w:val="Page Numbers (Bottom of Page)"/>
        <w:docPartUnique/>
      </w:docPartObj>
    </w:sdtPr>
    <w:sdtEndPr>
      <w:rPr>
        <w:sz w:val="16"/>
        <w:szCs w:val="16"/>
      </w:rPr>
    </w:sdtEndPr>
    <w:sdtContent>
      <w:p w14:paraId="3C3229BC" w14:textId="5FCBB13F" w:rsidR="002656EC" w:rsidRPr="002656EC" w:rsidRDefault="002656EC">
        <w:pPr>
          <w:pStyle w:val="a9"/>
          <w:jc w:val="center"/>
          <w:rPr>
            <w:sz w:val="16"/>
            <w:szCs w:val="16"/>
          </w:rPr>
        </w:pPr>
        <w:r w:rsidRPr="002656EC">
          <w:rPr>
            <w:sz w:val="16"/>
            <w:szCs w:val="16"/>
          </w:rPr>
          <w:fldChar w:fldCharType="begin"/>
        </w:r>
        <w:r w:rsidRPr="002656EC">
          <w:rPr>
            <w:sz w:val="16"/>
            <w:szCs w:val="16"/>
          </w:rPr>
          <w:instrText>PAGE   \* MERGEFORMAT</w:instrText>
        </w:r>
        <w:r w:rsidRPr="002656EC">
          <w:rPr>
            <w:sz w:val="16"/>
            <w:szCs w:val="16"/>
          </w:rPr>
          <w:fldChar w:fldCharType="separate"/>
        </w:r>
        <w:r w:rsidRPr="002656EC">
          <w:rPr>
            <w:sz w:val="16"/>
            <w:szCs w:val="16"/>
            <w:lang w:val="ko-KR"/>
          </w:rPr>
          <w:t>2</w:t>
        </w:r>
        <w:r w:rsidRPr="002656EC">
          <w:rPr>
            <w:sz w:val="16"/>
            <w:szCs w:val="16"/>
          </w:rPr>
          <w:fldChar w:fldCharType="end"/>
        </w:r>
      </w:p>
    </w:sdtContent>
  </w:sdt>
  <w:p w14:paraId="7FAD14F0" w14:textId="77777777" w:rsidR="00685E38" w:rsidRDefault="00685E38" w:rsidP="002656EC">
    <w:pPr>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87AA" w14:textId="77777777" w:rsidR="00685E38" w:rsidRDefault="00685E38">
    <w:pPr>
      <w:pStyle w:val="a9"/>
    </w:pPr>
    <w:r>
      <w:rPr>
        <w:rFonts w:hint="eastAsia"/>
      </w:rPr>
      <w:tab/>
    </w:r>
    <w:r>
      <w:rPr>
        <w:rFonts w:hint="eastAsia"/>
      </w:rPr>
      <w:tab/>
    </w:r>
  </w:p>
  <w:p w14:paraId="22EB425A" w14:textId="77777777" w:rsidR="00685E38" w:rsidRDefault="00685E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D4C00" w14:textId="77777777" w:rsidR="000C0F7C" w:rsidRDefault="000C0F7C">
      <w:r>
        <w:separator/>
      </w:r>
    </w:p>
  </w:footnote>
  <w:footnote w:type="continuationSeparator" w:id="0">
    <w:p w14:paraId="76CD603E" w14:textId="77777777" w:rsidR="000C0F7C" w:rsidRDefault="000C0F7C">
      <w:r>
        <w:continuationSeparator/>
      </w:r>
    </w:p>
  </w:footnote>
</w:footnotes>
</file>

<file path=word/header1.xml><?xml version="1.0" encoding="utf-8"?>
<w:hdr xmlns:w="http://schemas.openxmlformats.org/wordprocessingml/2006/main" xmlns:r="http://schemas.openxmlformats.org/officeDocument/2006/relationships">
  <w:p>
    <w:pPr>
      <w:jc w:val="center"/>
    </w:pPr>
    <w:r>
      <w:rPr>
        <w:rFonts w:ascii="Times New Roman" w:hAnsi="Times New Roman"/>
        <w:i/>
        <w:sz w:val="16"/>
      </w:rPr>
      <w:t>J. Korean Appl. Artif. Intell.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2B74" w14:textId="3512CF60" w:rsidR="00685E38" w:rsidRPr="00A015D7" w:rsidRDefault="00685E38" w:rsidP="00F630AD">
    <w:pPr>
      <w:pStyle w:val="ab"/>
      <w:framePr w:wrap="around" w:vAnchor="text" w:hAnchor="margin" w:xAlign="outside" w:y="1"/>
      <w:ind w:rightChars="20" w:right="40" w:firstLine="0"/>
      <w:jc w:val="right"/>
      <w:rPr>
        <w:rStyle w:val="aa"/>
        <w:rFonts w:eastAsia="휴먼머리견출명조"/>
      </w:rPr>
    </w:pP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552"/>
      <w:gridCol w:w="2032"/>
      <w:gridCol w:w="2219"/>
    </w:tblGrid>
    <w:tr w:rsidR="00650874" w:rsidRPr="008F5873" w14:paraId="77289F88" w14:textId="77777777" w:rsidTr="00C80010">
      <w:tc>
        <w:tcPr>
          <w:tcW w:w="2835" w:type="dxa"/>
          <w:tcBorders>
            <w:bottom w:val="single" w:sz="36" w:space="0" w:color="F95B2B"/>
          </w:tcBorders>
        </w:tcPr>
        <w:p w14:paraId="6F08470A" w14:textId="72F09A13" w:rsidR="00650874" w:rsidRDefault="00650874" w:rsidP="00B532C4">
          <w:pPr>
            <w:pStyle w:val="ab"/>
            <w:ind w:firstLine="0"/>
            <w:rPr>
              <w:b/>
            </w:rPr>
          </w:pPr>
          <w:r w:rsidRPr="00650874">
            <w:rPr>
              <w:b/>
              <w:noProof/>
            </w:rPr>
            <w:drawing>
              <wp:inline distT="0" distB="0" distL="0" distR="0" wp14:anchorId="1353BFDE" wp14:editId="046371EE">
                <wp:extent cx="1603582" cy="518886"/>
                <wp:effectExtent l="0" t="0" r="0" b="0"/>
                <wp:docPr id="330758296" name="그림 5" descr="폰트, 그래픽, 로고, 그래픽 디자인이(가) 표시된 사진&#10;&#10;AI 생성 콘텐츠는 정확하지 않을 수 있습니다.">
                  <a:extLst xmlns:a="http://schemas.openxmlformats.org/drawingml/2006/main">
                    <a:ext uri="{FF2B5EF4-FFF2-40B4-BE49-F238E27FC236}">
                      <a16:creationId xmlns:a16="http://schemas.microsoft.com/office/drawing/2014/main" id="{C0DD04BB-D135-9018-FDD0-5FD8B9421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폰트, 그래픽, 로고, 그래픽 디자인이(가) 표시된 사진&#10;&#10;AI 생성 콘텐츠는 정확하지 않을 수 있습니다.">
                          <a:extLst>
                            <a:ext uri="{FF2B5EF4-FFF2-40B4-BE49-F238E27FC236}">
                              <a16:creationId xmlns:a16="http://schemas.microsoft.com/office/drawing/2014/main" id="{C0DD04BB-D135-9018-FDD0-5FD8B9421730}"/>
                            </a:ext>
                          </a:extLst>
                        </pic:cNvPr>
                        <pic:cNvPicPr>
                          <a:picLocks noChangeAspect="1"/>
                        </pic:cNvPicPr>
                      </pic:nvPicPr>
                      <pic:blipFill>
                        <a:blip r:embed="rId1"/>
                        <a:stretch>
                          <a:fillRect/>
                        </a:stretch>
                      </pic:blipFill>
                      <pic:spPr>
                        <a:xfrm>
                          <a:off x="0" y="0"/>
                          <a:ext cx="1644247" cy="532044"/>
                        </a:xfrm>
                        <a:prstGeom prst="rect">
                          <a:avLst/>
                        </a:prstGeom>
                      </pic:spPr>
                    </pic:pic>
                  </a:graphicData>
                </a:graphic>
              </wp:inline>
            </w:drawing>
          </w:r>
        </w:p>
      </w:tc>
      <w:tc>
        <w:tcPr>
          <w:tcW w:w="2552" w:type="dxa"/>
          <w:tcBorders>
            <w:bottom w:val="single" w:sz="36" w:space="0" w:color="F8865E"/>
          </w:tcBorders>
        </w:tcPr>
        <w:p w14:paraId="21EB76BC" w14:textId="14A260EE" w:rsidR="00650874" w:rsidRPr="00C80010" w:rsidRDefault="00650874" w:rsidP="00B532C4">
          <w:pPr>
            <w:pStyle w:val="ab"/>
            <w:ind w:firstLine="0"/>
            <w:rPr>
              <w:rFonts w:ascii="Arial" w:hAnsi="Arial" w:cs="Arial"/>
              <w:b/>
            </w:rPr>
          </w:pPr>
        </w:p>
      </w:tc>
      <w:tc>
        <w:tcPr>
          <w:tcW w:w="4251" w:type="dxa"/>
          <w:gridSpan w:val="2"/>
          <w:tcBorders>
            <w:bottom w:val="single" w:sz="36" w:space="0" w:color="F79648"/>
          </w:tcBorders>
        </w:tcPr>
        <w:p w14:paraId="051997F9" w14:textId="77777777" w:rsidR="00650874" w:rsidRPr="00C80010" w:rsidRDefault="00650874" w:rsidP="00650874">
          <w:pPr>
            <w:pStyle w:val="ab"/>
            <w:ind w:firstLine="0"/>
            <w:jc w:val="right"/>
            <w:rPr>
              <w:bCs/>
              <w:sz w:val="16"/>
              <w:szCs w:val="16"/>
            </w:rPr>
          </w:pPr>
          <w:r w:rsidRPr="00C80010">
            <w:rPr>
              <w:rFonts w:hint="eastAsia"/>
              <w:bCs/>
              <w:sz w:val="16"/>
              <w:szCs w:val="16"/>
            </w:rPr>
            <w:t>E-ISSN 3091-5902</w:t>
          </w:r>
        </w:p>
        <w:p w14:paraId="6A5FC5D6" w14:textId="77777777" w:rsidR="00650874" w:rsidRPr="00C80010" w:rsidRDefault="00650874" w:rsidP="008F5873">
          <w:pPr>
            <w:pStyle w:val="ab"/>
            <w:ind w:firstLine="0"/>
            <w:jc w:val="right"/>
            <w:rPr>
              <w:bCs/>
              <w:sz w:val="16"/>
              <w:szCs w:val="16"/>
            </w:rPr>
          </w:pPr>
          <w:r w:rsidRPr="00C80010">
            <w:rPr>
              <w:rFonts w:hint="eastAsia"/>
              <w:bCs/>
              <w:sz w:val="16"/>
              <w:szCs w:val="16"/>
            </w:rPr>
            <w:t>Journal of Korean Applied Artificial Intelligence</w:t>
          </w:r>
        </w:p>
        <w:p w14:paraId="2D934F26" w14:textId="77777777" w:rsidR="005A4820" w:rsidRDefault="005A4820" w:rsidP="008F5873">
          <w:pPr>
            <w:pStyle w:val="ab"/>
            <w:ind w:firstLine="0"/>
            <w:jc w:val="right"/>
            <w:rPr>
              <w:bCs/>
              <w:sz w:val="16"/>
              <w:szCs w:val="16"/>
            </w:rPr>
          </w:pPr>
          <w:r w:rsidRPr="00C80010">
            <w:rPr>
              <w:bCs/>
              <w:sz w:val="16"/>
              <w:szCs w:val="16"/>
            </w:rPr>
            <w:t>V</w:t>
          </w:r>
          <w:r w:rsidRPr="00C80010">
            <w:rPr>
              <w:rFonts w:hint="eastAsia"/>
              <w:bCs/>
              <w:sz w:val="16"/>
              <w:szCs w:val="16"/>
            </w:rPr>
            <w:t>ol. 00, No.00, pp. 00-00m Month 2026</w:t>
          </w:r>
        </w:p>
        <w:p w14:paraId="5852AFA1" w14:textId="621163EF" w:rsidR="00C80010" w:rsidRPr="0092303C" w:rsidRDefault="0092303C" w:rsidP="008F5873">
          <w:pPr>
            <w:pStyle w:val="ab"/>
            <w:ind w:firstLine="0"/>
            <w:jc w:val="right"/>
            <w:rPr>
              <w:bCs/>
              <w:sz w:val="16"/>
              <w:szCs w:val="16"/>
            </w:rPr>
          </w:pPr>
          <w:r w:rsidRPr="0092303C">
            <w:rPr>
              <w:rFonts w:hint="eastAsia"/>
              <w:bCs/>
              <w:sz w:val="16"/>
              <w:szCs w:val="16"/>
            </w:rPr>
            <w:t>http://doi.org/10.23343/JAAI.2026.00000</w:t>
          </w:r>
        </w:p>
      </w:tc>
    </w:tr>
    <w:tr w:rsidR="00650874" w14:paraId="26C234B5" w14:textId="77777777" w:rsidTr="00C80010">
      <w:tc>
        <w:tcPr>
          <w:tcW w:w="2835" w:type="dxa"/>
          <w:tcBorders>
            <w:top w:val="single" w:sz="36" w:space="0" w:color="F95B2B"/>
          </w:tcBorders>
        </w:tcPr>
        <w:p w14:paraId="6C7D21C2" w14:textId="77777777" w:rsidR="00650874" w:rsidRDefault="00650874" w:rsidP="00B532C4">
          <w:pPr>
            <w:pStyle w:val="ab"/>
            <w:ind w:firstLine="0"/>
            <w:rPr>
              <w:b/>
            </w:rPr>
          </w:pPr>
        </w:p>
      </w:tc>
      <w:tc>
        <w:tcPr>
          <w:tcW w:w="2552" w:type="dxa"/>
          <w:tcBorders>
            <w:top w:val="single" w:sz="36" w:space="0" w:color="F8865E"/>
          </w:tcBorders>
        </w:tcPr>
        <w:p w14:paraId="0D7F9692" w14:textId="77777777" w:rsidR="00650874" w:rsidRDefault="00650874" w:rsidP="00B532C4">
          <w:pPr>
            <w:pStyle w:val="ab"/>
            <w:ind w:firstLine="0"/>
            <w:rPr>
              <w:b/>
            </w:rPr>
          </w:pPr>
        </w:p>
      </w:tc>
      <w:tc>
        <w:tcPr>
          <w:tcW w:w="2032" w:type="dxa"/>
          <w:tcBorders>
            <w:top w:val="single" w:sz="36" w:space="0" w:color="F79648"/>
          </w:tcBorders>
        </w:tcPr>
        <w:p w14:paraId="17850B56" w14:textId="6136C710" w:rsidR="00650874" w:rsidRDefault="00650874" w:rsidP="00B532C4">
          <w:pPr>
            <w:pStyle w:val="ab"/>
            <w:ind w:firstLine="0"/>
            <w:rPr>
              <w:b/>
            </w:rPr>
          </w:pPr>
        </w:p>
      </w:tc>
      <w:tc>
        <w:tcPr>
          <w:tcW w:w="2219" w:type="dxa"/>
          <w:tcBorders>
            <w:top w:val="single" w:sz="36" w:space="0" w:color="F79648"/>
          </w:tcBorders>
        </w:tcPr>
        <w:p w14:paraId="66109F75" w14:textId="77777777" w:rsidR="00650874" w:rsidRPr="005A4820" w:rsidRDefault="00650874" w:rsidP="00B532C4">
          <w:pPr>
            <w:pStyle w:val="ab"/>
            <w:ind w:firstLine="0"/>
            <w:rPr>
              <w:b/>
            </w:rPr>
          </w:pPr>
        </w:p>
      </w:tc>
    </w:tr>
  </w:tbl>
  <w:p w14:paraId="395DB91D" w14:textId="77777777" w:rsidR="00685E38" w:rsidRPr="00F7716A" w:rsidRDefault="00685E38" w:rsidP="00B532C4">
    <w:pPr>
      <w:pStyle w:val="ab"/>
      <w:ind w:firstLine="0"/>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CFD4" w14:textId="77777777" w:rsidR="00685E38" w:rsidRDefault="00685E38" w:rsidP="00FB20B3">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7B7F"/>
    <w:multiLevelType w:val="multilevel"/>
    <w:tmpl w:val="0409001D"/>
    <w:name w:val="eq"/>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3A1C0B70"/>
    <w:multiLevelType w:val="singleLevel"/>
    <w:tmpl w:val="866EBB6C"/>
    <w:lvl w:ilvl="0">
      <w:start w:val="1"/>
      <w:numFmt w:val="none"/>
      <w:pStyle w:val="a"/>
      <w:lvlText w:val="%1Key Words :"/>
      <w:lvlJc w:val="left"/>
      <w:pPr>
        <w:tabs>
          <w:tab w:val="num" w:pos="1474"/>
        </w:tabs>
        <w:ind w:left="1474" w:hanging="1474"/>
      </w:pPr>
      <w:rPr>
        <w:rFonts w:ascii="Times New Roman" w:hAnsi="Times New Roman" w:hint="default"/>
        <w:b/>
        <w:i w:val="0"/>
        <w:sz w:val="22"/>
      </w:rPr>
    </w:lvl>
  </w:abstractNum>
  <w:abstractNum w:abstractNumId="2" w15:restartNumberingAfterBreak="0">
    <w:nsid w:val="44CD400E"/>
    <w:multiLevelType w:val="hybridMultilevel"/>
    <w:tmpl w:val="7668EDB4"/>
    <w:lvl w:ilvl="0" w:tplc="F08A830A">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CF25B2"/>
    <w:multiLevelType w:val="multilevel"/>
    <w:tmpl w:val="D4FA316A"/>
    <w:lvl w:ilvl="0">
      <w:start w:val="1"/>
      <w:numFmt w:val="decimal"/>
      <w:pStyle w:val="a0"/>
      <w:lvlText w:val="%1."/>
      <w:lvlJc w:val="left"/>
      <w:pPr>
        <w:tabs>
          <w:tab w:val="num" w:pos="425"/>
        </w:tabs>
        <w:ind w:left="425" w:hanging="425"/>
      </w:pPr>
      <w:rPr>
        <w:rFonts w:hint="default"/>
      </w:rPr>
    </w:lvl>
    <w:lvl w:ilvl="1">
      <w:start w:val="1"/>
      <w:numFmt w:val="decimal"/>
      <w:pStyle w:val="a1"/>
      <w:lvlText w:val="%1.%2"/>
      <w:lvlJc w:val="left"/>
      <w:pPr>
        <w:tabs>
          <w:tab w:val="num" w:pos="567"/>
        </w:tabs>
        <w:ind w:left="567" w:hanging="567"/>
      </w:pPr>
      <w:rPr>
        <w:rFonts w:ascii="Times New Roman" w:hAnsi="Times New Roman" w:hint="default"/>
      </w:rPr>
    </w:lvl>
    <w:lvl w:ilvl="2">
      <w:start w:val="1"/>
      <w:numFmt w:val="decimal"/>
      <w:pStyle w:val="a2"/>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554C7A85"/>
    <w:multiLevelType w:val="singleLevel"/>
    <w:tmpl w:val="340884A8"/>
    <w:lvl w:ilvl="0">
      <w:start w:val="1"/>
      <w:numFmt w:val="decimal"/>
      <w:pStyle w:val="a3"/>
      <w:lvlText w:val="Fig. %1"/>
      <w:lvlJc w:val="center"/>
      <w:pPr>
        <w:tabs>
          <w:tab w:val="num" w:pos="360"/>
        </w:tabs>
        <w:ind w:left="336" w:hanging="336"/>
      </w:pPr>
      <w:rPr>
        <w:rFonts w:ascii="Times New Roman" w:hAnsi="Times New Roman" w:hint="default"/>
        <w:b/>
        <w:i w:val="0"/>
      </w:rPr>
    </w:lvl>
  </w:abstractNum>
  <w:abstractNum w:abstractNumId="5" w15:restartNumberingAfterBreak="0">
    <w:nsid w:val="6C7D395D"/>
    <w:multiLevelType w:val="singleLevel"/>
    <w:tmpl w:val="8C3C85F2"/>
    <w:lvl w:ilvl="0">
      <w:start w:val="1"/>
      <w:numFmt w:val="decimal"/>
      <w:pStyle w:val="a4"/>
      <w:lvlText w:val="(%1)"/>
      <w:lvlJc w:val="left"/>
      <w:pPr>
        <w:tabs>
          <w:tab w:val="num" w:pos="2260"/>
        </w:tabs>
        <w:ind w:left="2070" w:hanging="170"/>
      </w:pPr>
      <w:rPr>
        <w:rFonts w:hint="eastAsia"/>
      </w:rPr>
    </w:lvl>
  </w:abstractNum>
  <w:num w:numId="1" w16cid:durableId="249121492">
    <w:abstractNumId w:val="3"/>
  </w:num>
  <w:num w:numId="2" w16cid:durableId="284315467">
    <w:abstractNumId w:val="5"/>
  </w:num>
  <w:num w:numId="3" w16cid:durableId="1142886643">
    <w:abstractNumId w:val="1"/>
  </w:num>
  <w:num w:numId="4" w16cid:durableId="1071001050">
    <w:abstractNumId w:val="4"/>
  </w:num>
  <w:num w:numId="5" w16cid:durableId="110608000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80"/>
    <w:rsid w:val="00002A0A"/>
    <w:rsid w:val="00015B4C"/>
    <w:rsid w:val="00023262"/>
    <w:rsid w:val="00042A14"/>
    <w:rsid w:val="000718E6"/>
    <w:rsid w:val="00077C8A"/>
    <w:rsid w:val="0008380B"/>
    <w:rsid w:val="00083BB1"/>
    <w:rsid w:val="000A3460"/>
    <w:rsid w:val="000B4EAE"/>
    <w:rsid w:val="000B5819"/>
    <w:rsid w:val="000C0F7C"/>
    <w:rsid w:val="000D66F9"/>
    <w:rsid w:val="000D7A72"/>
    <w:rsid w:val="000E0080"/>
    <w:rsid w:val="00107826"/>
    <w:rsid w:val="0011207D"/>
    <w:rsid w:val="0017108C"/>
    <w:rsid w:val="001754BF"/>
    <w:rsid w:val="00196DAB"/>
    <w:rsid w:val="001C0F1C"/>
    <w:rsid w:val="001C778E"/>
    <w:rsid w:val="001E0A36"/>
    <w:rsid w:val="00207C77"/>
    <w:rsid w:val="00213C6E"/>
    <w:rsid w:val="00214F44"/>
    <w:rsid w:val="0024568E"/>
    <w:rsid w:val="0025068E"/>
    <w:rsid w:val="0025203D"/>
    <w:rsid w:val="00252AC8"/>
    <w:rsid w:val="002551CC"/>
    <w:rsid w:val="0025558B"/>
    <w:rsid w:val="002656EC"/>
    <w:rsid w:val="002661EE"/>
    <w:rsid w:val="002830C0"/>
    <w:rsid w:val="00291BE7"/>
    <w:rsid w:val="002A3E65"/>
    <w:rsid w:val="002C29E5"/>
    <w:rsid w:val="002C3768"/>
    <w:rsid w:val="002C5130"/>
    <w:rsid w:val="002D27CE"/>
    <w:rsid w:val="002F2904"/>
    <w:rsid w:val="00302489"/>
    <w:rsid w:val="0031070E"/>
    <w:rsid w:val="00313C98"/>
    <w:rsid w:val="00326DC5"/>
    <w:rsid w:val="00327ACD"/>
    <w:rsid w:val="0034470D"/>
    <w:rsid w:val="00370B72"/>
    <w:rsid w:val="00396902"/>
    <w:rsid w:val="003B37F0"/>
    <w:rsid w:val="003B4711"/>
    <w:rsid w:val="003C1191"/>
    <w:rsid w:val="003D694E"/>
    <w:rsid w:val="003E1612"/>
    <w:rsid w:val="003E63BD"/>
    <w:rsid w:val="003E66C8"/>
    <w:rsid w:val="003F198F"/>
    <w:rsid w:val="004074B8"/>
    <w:rsid w:val="00432726"/>
    <w:rsid w:val="00452F86"/>
    <w:rsid w:val="004546FA"/>
    <w:rsid w:val="0045546D"/>
    <w:rsid w:val="00492AAD"/>
    <w:rsid w:val="0049509D"/>
    <w:rsid w:val="004C05E8"/>
    <w:rsid w:val="004C4304"/>
    <w:rsid w:val="004D3C8E"/>
    <w:rsid w:val="004D3F92"/>
    <w:rsid w:val="004D7F2D"/>
    <w:rsid w:val="004E10EE"/>
    <w:rsid w:val="004E636F"/>
    <w:rsid w:val="004F2C36"/>
    <w:rsid w:val="005129F4"/>
    <w:rsid w:val="00521BBF"/>
    <w:rsid w:val="00551428"/>
    <w:rsid w:val="00566060"/>
    <w:rsid w:val="00574951"/>
    <w:rsid w:val="0057757B"/>
    <w:rsid w:val="00595575"/>
    <w:rsid w:val="005A4820"/>
    <w:rsid w:val="005A6A48"/>
    <w:rsid w:val="005B1730"/>
    <w:rsid w:val="005B2EEA"/>
    <w:rsid w:val="005D72C2"/>
    <w:rsid w:val="006021B2"/>
    <w:rsid w:val="0060709E"/>
    <w:rsid w:val="00610231"/>
    <w:rsid w:val="006212B5"/>
    <w:rsid w:val="0063025D"/>
    <w:rsid w:val="00650874"/>
    <w:rsid w:val="006529CB"/>
    <w:rsid w:val="00656ACA"/>
    <w:rsid w:val="00667710"/>
    <w:rsid w:val="006710D2"/>
    <w:rsid w:val="00685E38"/>
    <w:rsid w:val="0069032E"/>
    <w:rsid w:val="006A218B"/>
    <w:rsid w:val="006A243E"/>
    <w:rsid w:val="006C26E6"/>
    <w:rsid w:val="006E0D30"/>
    <w:rsid w:val="006F1259"/>
    <w:rsid w:val="00710A07"/>
    <w:rsid w:val="00714632"/>
    <w:rsid w:val="00737B60"/>
    <w:rsid w:val="00753759"/>
    <w:rsid w:val="00757DB7"/>
    <w:rsid w:val="007903C7"/>
    <w:rsid w:val="007A2919"/>
    <w:rsid w:val="007A55F6"/>
    <w:rsid w:val="007B0002"/>
    <w:rsid w:val="007B0A33"/>
    <w:rsid w:val="00822278"/>
    <w:rsid w:val="008420D0"/>
    <w:rsid w:val="00842ECC"/>
    <w:rsid w:val="0085278A"/>
    <w:rsid w:val="00854A8D"/>
    <w:rsid w:val="008770EC"/>
    <w:rsid w:val="00895CE7"/>
    <w:rsid w:val="008B7A80"/>
    <w:rsid w:val="008C2F0F"/>
    <w:rsid w:val="008C7A22"/>
    <w:rsid w:val="008D3D52"/>
    <w:rsid w:val="008D6F14"/>
    <w:rsid w:val="008E5BCC"/>
    <w:rsid w:val="008F5873"/>
    <w:rsid w:val="009139CC"/>
    <w:rsid w:val="00920660"/>
    <w:rsid w:val="0092303C"/>
    <w:rsid w:val="009352C1"/>
    <w:rsid w:val="009518B3"/>
    <w:rsid w:val="009877C8"/>
    <w:rsid w:val="00991524"/>
    <w:rsid w:val="009A4694"/>
    <w:rsid w:val="009C2EAA"/>
    <w:rsid w:val="009E28FB"/>
    <w:rsid w:val="009F0DF5"/>
    <w:rsid w:val="00A07F09"/>
    <w:rsid w:val="00A53EED"/>
    <w:rsid w:val="00A62DC3"/>
    <w:rsid w:val="00A66890"/>
    <w:rsid w:val="00A9603B"/>
    <w:rsid w:val="00A97B13"/>
    <w:rsid w:val="00AA0815"/>
    <w:rsid w:val="00AA19B4"/>
    <w:rsid w:val="00AB5B0A"/>
    <w:rsid w:val="00AB7AC6"/>
    <w:rsid w:val="00AC6BFA"/>
    <w:rsid w:val="00AD2B82"/>
    <w:rsid w:val="00AE5354"/>
    <w:rsid w:val="00AF7F42"/>
    <w:rsid w:val="00B1204D"/>
    <w:rsid w:val="00B26E06"/>
    <w:rsid w:val="00B31EE6"/>
    <w:rsid w:val="00B44A7A"/>
    <w:rsid w:val="00B532C4"/>
    <w:rsid w:val="00B64F0A"/>
    <w:rsid w:val="00B66B9A"/>
    <w:rsid w:val="00B809F6"/>
    <w:rsid w:val="00B8164A"/>
    <w:rsid w:val="00B82AF0"/>
    <w:rsid w:val="00BA09AE"/>
    <w:rsid w:val="00BA6B65"/>
    <w:rsid w:val="00BB3B32"/>
    <w:rsid w:val="00BD682E"/>
    <w:rsid w:val="00BD7826"/>
    <w:rsid w:val="00BE3CED"/>
    <w:rsid w:val="00BF2887"/>
    <w:rsid w:val="00BF638E"/>
    <w:rsid w:val="00BF778C"/>
    <w:rsid w:val="00C066EE"/>
    <w:rsid w:val="00C15C5F"/>
    <w:rsid w:val="00C3058C"/>
    <w:rsid w:val="00C44904"/>
    <w:rsid w:val="00C61822"/>
    <w:rsid w:val="00C80010"/>
    <w:rsid w:val="00C919E4"/>
    <w:rsid w:val="00CA457C"/>
    <w:rsid w:val="00CC3F9C"/>
    <w:rsid w:val="00CD5E78"/>
    <w:rsid w:val="00CE52DE"/>
    <w:rsid w:val="00D03E04"/>
    <w:rsid w:val="00D12BD9"/>
    <w:rsid w:val="00D33580"/>
    <w:rsid w:val="00D37C09"/>
    <w:rsid w:val="00D67968"/>
    <w:rsid w:val="00D74CBF"/>
    <w:rsid w:val="00D817F5"/>
    <w:rsid w:val="00D96A2F"/>
    <w:rsid w:val="00DA1109"/>
    <w:rsid w:val="00DD205E"/>
    <w:rsid w:val="00DF79A9"/>
    <w:rsid w:val="00E03E77"/>
    <w:rsid w:val="00E07D19"/>
    <w:rsid w:val="00E123C4"/>
    <w:rsid w:val="00E23DC5"/>
    <w:rsid w:val="00E3576F"/>
    <w:rsid w:val="00E37498"/>
    <w:rsid w:val="00E44B93"/>
    <w:rsid w:val="00E51404"/>
    <w:rsid w:val="00E52CEE"/>
    <w:rsid w:val="00E62F66"/>
    <w:rsid w:val="00E93384"/>
    <w:rsid w:val="00EA24B1"/>
    <w:rsid w:val="00EA495B"/>
    <w:rsid w:val="00EB1454"/>
    <w:rsid w:val="00EB24A9"/>
    <w:rsid w:val="00EB37CB"/>
    <w:rsid w:val="00EC4500"/>
    <w:rsid w:val="00EF214E"/>
    <w:rsid w:val="00F01118"/>
    <w:rsid w:val="00F01E60"/>
    <w:rsid w:val="00F048CB"/>
    <w:rsid w:val="00F163D4"/>
    <w:rsid w:val="00F3034B"/>
    <w:rsid w:val="00F5092C"/>
    <w:rsid w:val="00F50C8D"/>
    <w:rsid w:val="00F603DF"/>
    <w:rsid w:val="00F630AD"/>
    <w:rsid w:val="00F66400"/>
    <w:rsid w:val="00F67E0F"/>
    <w:rsid w:val="00F7716A"/>
    <w:rsid w:val="00F84805"/>
    <w:rsid w:val="00F85444"/>
    <w:rsid w:val="00F95DE7"/>
    <w:rsid w:val="00FA00FB"/>
    <w:rsid w:val="00FB20B3"/>
    <w:rsid w:val="00FC14AD"/>
    <w:rsid w:val="00FC2F78"/>
    <w:rsid w:val="00FC77D7"/>
    <w:rsid w:val="00FE12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EEE80"/>
  <w15:docId w15:val="{5280144D-BDDE-4E7F-8F3A-31E75581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6710D2"/>
    <w:pPr>
      <w:widowControl w:val="0"/>
      <w:wordWrap w:val="0"/>
      <w:ind w:firstLine="284"/>
      <w:jc w:val="both"/>
    </w:pPr>
    <w:rPr>
      <w:kern w:val="2"/>
    </w:rPr>
  </w:style>
  <w:style w:type="paragraph" w:styleId="1">
    <w:name w:val="heading 1"/>
    <w:basedOn w:val="a5"/>
    <w:next w:val="a5"/>
    <w:qFormat/>
    <w:rsid w:val="006710D2"/>
    <w:pPr>
      <w:keepNext/>
      <w:outlineLvl w:val="0"/>
    </w:pPr>
    <w:rPr>
      <w:rFonts w:ascii="Arial" w:eastAsia="돋움체" w:hAnsi="Arial"/>
      <w:sz w:val="28"/>
    </w:rPr>
  </w:style>
  <w:style w:type="paragraph" w:styleId="2">
    <w:name w:val="heading 2"/>
    <w:basedOn w:val="a5"/>
    <w:next w:val="a5"/>
    <w:qFormat/>
    <w:rsid w:val="006710D2"/>
    <w:pPr>
      <w:keepNext/>
      <w:outlineLvl w:val="1"/>
    </w:pPr>
    <w:rPr>
      <w:rFonts w:ascii="Arial" w:eastAsia="돋움체" w:hAnsi="Arial"/>
    </w:rPr>
  </w:style>
  <w:style w:type="paragraph" w:styleId="3">
    <w:name w:val="heading 3"/>
    <w:basedOn w:val="a5"/>
    <w:next w:val="a5"/>
    <w:qFormat/>
    <w:rsid w:val="006710D2"/>
    <w:pPr>
      <w:keepNext/>
      <w:ind w:left="851"/>
      <w:outlineLvl w:val="2"/>
    </w:pPr>
    <w:rPr>
      <w:rFonts w:ascii="Arial" w:eastAsia="돋움체" w:hAnsi="Arial"/>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footer"/>
    <w:basedOn w:val="a5"/>
    <w:link w:val="Char"/>
    <w:uiPriority w:val="99"/>
    <w:rsid w:val="006710D2"/>
    <w:pPr>
      <w:tabs>
        <w:tab w:val="center" w:pos="4252"/>
        <w:tab w:val="right" w:pos="8504"/>
      </w:tabs>
      <w:snapToGrid w:val="0"/>
    </w:pPr>
  </w:style>
  <w:style w:type="character" w:styleId="aa">
    <w:name w:val="page number"/>
    <w:rsid w:val="00521BBF"/>
    <w:rPr>
      <w:rFonts w:ascii="휴먼머리견출명조" w:hAnsi="휴먼머리견출명조"/>
      <w:i/>
      <w:sz w:val="20"/>
    </w:rPr>
  </w:style>
  <w:style w:type="paragraph" w:styleId="ab">
    <w:name w:val="header"/>
    <w:basedOn w:val="a5"/>
    <w:link w:val="Char0"/>
    <w:rsid w:val="006710D2"/>
    <w:pPr>
      <w:tabs>
        <w:tab w:val="center" w:pos="4252"/>
        <w:tab w:val="right" w:pos="8504"/>
      </w:tabs>
      <w:snapToGrid w:val="0"/>
    </w:pPr>
  </w:style>
  <w:style w:type="paragraph" w:customStyle="1" w:styleId="Abstract">
    <w:name w:val="Abstract(제목)"/>
    <w:basedOn w:val="a5"/>
    <w:next w:val="a5"/>
    <w:rsid w:val="006710D2"/>
    <w:pPr>
      <w:spacing w:before="360" w:after="360"/>
      <w:jc w:val="center"/>
    </w:pPr>
    <w:rPr>
      <w:b/>
      <w:sz w:val="22"/>
    </w:rPr>
  </w:style>
  <w:style w:type="paragraph" w:customStyle="1" w:styleId="ac">
    <w:name w:val="저자 이름"/>
    <w:basedOn w:val="a5"/>
    <w:next w:val="a5"/>
    <w:rsid w:val="006710D2"/>
    <w:pPr>
      <w:ind w:firstLine="0"/>
      <w:jc w:val="center"/>
    </w:pPr>
    <w:rPr>
      <w:rFonts w:eastAsia="돋움체"/>
      <w:sz w:val="24"/>
    </w:rPr>
  </w:style>
  <w:style w:type="paragraph" w:customStyle="1" w:styleId="ad">
    <w:name w:val="저자 이름 구분점"/>
    <w:basedOn w:val="ac"/>
    <w:next w:val="a5"/>
    <w:rsid w:val="006710D2"/>
    <w:rPr>
      <w:sz w:val="16"/>
    </w:rPr>
  </w:style>
  <w:style w:type="paragraph" w:customStyle="1" w:styleId="ae">
    <w:name w:val="저자명 주석 별표"/>
    <w:basedOn w:val="ac"/>
    <w:next w:val="a5"/>
    <w:rsid w:val="006710D2"/>
    <w:rPr>
      <w:sz w:val="28"/>
      <w:vertAlign w:val="superscript"/>
    </w:rPr>
  </w:style>
  <w:style w:type="paragraph" w:customStyle="1" w:styleId="af">
    <w:name w:val="저자 소속"/>
    <w:basedOn w:val="a5"/>
    <w:next w:val="a5"/>
    <w:rsid w:val="006710D2"/>
    <w:rPr>
      <w:sz w:val="18"/>
    </w:rPr>
  </w:style>
  <w:style w:type="paragraph" w:customStyle="1" w:styleId="af0">
    <w:name w:val="영어 논문 제목"/>
    <w:basedOn w:val="af1"/>
    <w:next w:val="a5"/>
    <w:rsid w:val="006710D2"/>
    <w:rPr>
      <w:sz w:val="28"/>
    </w:rPr>
  </w:style>
  <w:style w:type="paragraph" w:customStyle="1" w:styleId="af1">
    <w:name w:val="논문 제목"/>
    <w:basedOn w:val="a5"/>
    <w:next w:val="a5"/>
    <w:link w:val="Char1"/>
    <w:rsid w:val="006710D2"/>
    <w:pPr>
      <w:ind w:firstLine="0"/>
      <w:jc w:val="center"/>
    </w:pPr>
    <w:rPr>
      <w:rFonts w:eastAsia="HY견명조"/>
      <w:sz w:val="32"/>
    </w:rPr>
  </w:style>
  <w:style w:type="character" w:customStyle="1" w:styleId="Char1">
    <w:name w:val="논문 제목 Char"/>
    <w:link w:val="af1"/>
    <w:rsid w:val="00F048CB"/>
    <w:rPr>
      <w:rFonts w:eastAsia="HY견명조"/>
      <w:kern w:val="2"/>
      <w:sz w:val="32"/>
      <w:lang w:val="en-US" w:eastAsia="ko-KR" w:bidi="ar-SA"/>
    </w:rPr>
  </w:style>
  <w:style w:type="paragraph" w:customStyle="1" w:styleId="af2">
    <w:name w:val="영어 저자 이름"/>
    <w:basedOn w:val="ac"/>
    <w:next w:val="a5"/>
    <w:rsid w:val="006710D2"/>
    <w:rPr>
      <w:sz w:val="26"/>
    </w:rPr>
  </w:style>
  <w:style w:type="paragraph" w:customStyle="1" w:styleId="a">
    <w:name w:val="키워드 항목"/>
    <w:basedOn w:val="a5"/>
    <w:next w:val="a5"/>
    <w:rsid w:val="006710D2"/>
    <w:pPr>
      <w:spacing w:before="360"/>
      <w:jc w:val="left"/>
    </w:pPr>
    <w:rPr>
      <w:sz w:val="22"/>
    </w:rPr>
  </w:style>
  <w:style w:type="paragraph" w:styleId="af3">
    <w:name w:val="footnote text"/>
    <w:basedOn w:val="a5"/>
    <w:semiHidden/>
    <w:rsid w:val="006710D2"/>
    <w:pPr>
      <w:snapToGrid w:val="0"/>
      <w:ind w:firstLine="0"/>
      <w:jc w:val="left"/>
    </w:pPr>
    <w:rPr>
      <w:sz w:val="18"/>
    </w:rPr>
  </w:style>
  <w:style w:type="paragraph" w:customStyle="1" w:styleId="Abstract0">
    <w:name w:val="Abstract(내용)"/>
    <w:basedOn w:val="a5"/>
    <w:next w:val="a5"/>
    <w:rsid w:val="006710D2"/>
    <w:pPr>
      <w:spacing w:after="360" w:line="288" w:lineRule="auto"/>
      <w:ind w:left="397" w:right="397"/>
    </w:pPr>
  </w:style>
  <w:style w:type="paragraph" w:customStyle="1" w:styleId="af4">
    <w:name w:val="기호설명"/>
    <w:basedOn w:val="a5"/>
    <w:next w:val="a5"/>
    <w:rsid w:val="006710D2"/>
    <w:pPr>
      <w:spacing w:before="240"/>
      <w:jc w:val="center"/>
    </w:pPr>
    <w:rPr>
      <w:rFonts w:eastAsia="돋움체"/>
    </w:rPr>
  </w:style>
  <w:style w:type="paragraph" w:customStyle="1" w:styleId="a0">
    <w:name w:val="논문의 각 장"/>
    <w:basedOn w:val="1"/>
    <w:next w:val="a1"/>
    <w:rsid w:val="006710D2"/>
    <w:pPr>
      <w:spacing w:before="240" w:after="120" w:line="360" w:lineRule="auto"/>
      <w:jc w:val="center"/>
    </w:pPr>
    <w:rPr>
      <w:sz w:val="24"/>
    </w:rPr>
  </w:style>
  <w:style w:type="paragraph" w:customStyle="1" w:styleId="a1">
    <w:name w:val="본문 단락:논문용"/>
    <w:basedOn w:val="af5"/>
    <w:rsid w:val="006710D2"/>
    <w:pPr>
      <w:snapToGrid w:val="0"/>
      <w:spacing w:after="0" w:line="264" w:lineRule="auto"/>
    </w:pPr>
  </w:style>
  <w:style w:type="paragraph" w:styleId="af5">
    <w:name w:val="Body Text First Indent"/>
    <w:basedOn w:val="a5"/>
    <w:next w:val="a1"/>
    <w:rsid w:val="006710D2"/>
    <w:pPr>
      <w:spacing w:after="180"/>
      <w:ind w:firstLine="210"/>
    </w:pPr>
  </w:style>
  <w:style w:type="paragraph" w:customStyle="1" w:styleId="af6">
    <w:name w:val="수식"/>
    <w:basedOn w:val="a5"/>
    <w:rsid w:val="006710D2"/>
    <w:pPr>
      <w:tabs>
        <w:tab w:val="left" w:pos="0"/>
        <w:tab w:val="center" w:pos="1701"/>
        <w:tab w:val="right" w:pos="4253"/>
      </w:tabs>
      <w:spacing w:before="60" w:after="60"/>
      <w:ind w:firstLine="0"/>
      <w:jc w:val="center"/>
    </w:pPr>
  </w:style>
  <w:style w:type="paragraph" w:customStyle="1" w:styleId="af7">
    <w:name w:val="논문의 각 절"/>
    <w:basedOn w:val="2"/>
    <w:next w:val="a1"/>
    <w:rsid w:val="006710D2"/>
    <w:pPr>
      <w:tabs>
        <w:tab w:val="num" w:pos="567"/>
      </w:tabs>
      <w:spacing w:before="120"/>
      <w:ind w:left="567" w:hanging="567"/>
      <w:jc w:val="left"/>
    </w:pPr>
  </w:style>
  <w:style w:type="paragraph" w:customStyle="1" w:styleId="a2">
    <w:name w:val="논문의 각 항"/>
    <w:basedOn w:val="3"/>
    <w:next w:val="a1"/>
    <w:rsid w:val="006710D2"/>
    <w:pPr>
      <w:spacing w:before="120"/>
      <w:jc w:val="left"/>
    </w:pPr>
  </w:style>
  <w:style w:type="paragraph" w:customStyle="1" w:styleId="af8">
    <w:name w:val="후기(제목)"/>
    <w:basedOn w:val="a5"/>
    <w:next w:val="a1"/>
    <w:rsid w:val="006710D2"/>
    <w:pPr>
      <w:spacing w:before="240" w:after="120" w:line="360" w:lineRule="auto"/>
      <w:jc w:val="center"/>
    </w:pPr>
    <w:rPr>
      <w:rFonts w:ascii="Arial" w:eastAsia="돋움체" w:hAnsi="Arial"/>
      <w:sz w:val="24"/>
    </w:rPr>
  </w:style>
  <w:style w:type="paragraph" w:customStyle="1" w:styleId="af9">
    <w:name w:val="참고문헌(제목)"/>
    <w:basedOn w:val="a5"/>
    <w:next w:val="a4"/>
    <w:rsid w:val="006710D2"/>
    <w:pPr>
      <w:spacing w:before="240" w:after="120" w:line="360" w:lineRule="auto"/>
      <w:jc w:val="center"/>
    </w:pPr>
    <w:rPr>
      <w:rFonts w:eastAsia="돋움체"/>
      <w:sz w:val="24"/>
    </w:rPr>
  </w:style>
  <w:style w:type="paragraph" w:customStyle="1" w:styleId="a4">
    <w:name w:val="참고문헌(내용)"/>
    <w:basedOn w:val="a5"/>
    <w:rsid w:val="006710D2"/>
    <w:pPr/>
  </w:style>
  <w:style w:type="paragraph" w:customStyle="1" w:styleId="a3">
    <w:name w:val="그림 번호/설명"/>
    <w:basedOn w:val="a5"/>
    <w:next w:val="a5"/>
    <w:rsid w:val="006710D2"/>
    <w:pPr>
      <w:jc w:val="center"/>
    </w:pPr>
  </w:style>
  <w:style w:type="character" w:styleId="afa">
    <w:name w:val="footnote reference"/>
    <w:semiHidden/>
    <w:rsid w:val="006710D2"/>
    <w:rPr>
      <w:sz w:val="24"/>
      <w:vertAlign w:val="superscript"/>
    </w:rPr>
  </w:style>
  <w:style w:type="paragraph" w:styleId="afb">
    <w:name w:val="caption"/>
    <w:basedOn w:val="a5"/>
    <w:next w:val="a5"/>
    <w:qFormat/>
    <w:rsid w:val="006710D2"/>
    <w:pPr>
      <w:spacing w:before="120" w:after="240"/>
    </w:pPr>
    <w:rPr>
      <w:b/>
      <w:bCs/>
    </w:rPr>
  </w:style>
  <w:style w:type="paragraph" w:customStyle="1" w:styleId="hs1">
    <w:name w:val="hs1"/>
    <w:basedOn w:val="a5"/>
    <w:rsid w:val="006710D2"/>
    <w:pPr>
      <w:widowControl/>
      <w:wordWrap/>
      <w:spacing w:line="227" w:lineRule="atLeast"/>
      <w:ind w:left="76" w:hanging="76"/>
    </w:pPr>
    <w:rPr>
      <w:rFonts w:ascii="바탕체" w:hAnsi="바탕체" w:cs="Arial Unicode MS" w:hint="eastAsia"/>
      <w:color w:val="000000"/>
      <w:kern w:val="0"/>
      <w:sz w:val="15"/>
      <w:szCs w:val="15"/>
    </w:rPr>
  </w:style>
  <w:style w:type="character" w:styleId="afc">
    <w:name w:val="Strong"/>
    <w:qFormat/>
    <w:rsid w:val="00521BBF"/>
    <w:rPr>
      <w:b/>
      <w:bCs/>
    </w:rPr>
  </w:style>
  <w:style w:type="paragraph" w:styleId="afd">
    <w:name w:val="Normal (Web)"/>
    <w:basedOn w:val="a5"/>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bstract1">
    <w:name w:val="abstract(내용)"/>
    <w:basedOn w:val="a5"/>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fe">
    <w:name w:val="바탕글"/>
    <w:basedOn w:val="a5"/>
    <w:rsid w:val="00F048CB"/>
    <w:pPr>
      <w:widowControl/>
      <w:wordWrap/>
      <w:snapToGrid w:val="0"/>
      <w:spacing w:line="384" w:lineRule="auto"/>
      <w:ind w:firstLine="0"/>
    </w:pPr>
    <w:rPr>
      <w:rFonts w:ascii="한양신명조" w:eastAsia="한양신명조" w:hAnsi="한양신명조" w:cs="굴림"/>
      <w:color w:val="000000"/>
      <w:kern w:val="0"/>
    </w:rPr>
  </w:style>
  <w:style w:type="table" w:styleId="aff">
    <w:name w:val="Table Grid"/>
    <w:basedOn w:val="a7"/>
    <w:rsid w:val="00F048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TEquationSection">
    <w:name w:val="MTEquationSection"/>
    <w:rsid w:val="00F048CB"/>
    <w:rPr>
      <w:rFonts w:ascii="휴먼엑스포" w:eastAsia="휴먼엑스포"/>
      <w:vanish/>
      <w:color w:val="FF0000"/>
      <w:sz w:val="24"/>
    </w:rPr>
  </w:style>
  <w:style w:type="paragraph" w:styleId="aff0">
    <w:name w:val="Balloon Text"/>
    <w:basedOn w:val="a5"/>
    <w:semiHidden/>
    <w:rsid w:val="00667710"/>
    <w:rPr>
      <w:rFonts w:ascii="Arial" w:eastAsia="돋움" w:hAnsi="Arial"/>
      <w:sz w:val="18"/>
      <w:szCs w:val="18"/>
    </w:rPr>
  </w:style>
  <w:style w:type="paragraph" w:styleId="aff1">
    <w:name w:val="Body Text"/>
    <w:basedOn w:val="a5"/>
    <w:link w:val="Char2"/>
    <w:rsid w:val="00667710"/>
    <w:pPr>
      <w:spacing w:after="180"/>
    </w:pPr>
  </w:style>
  <w:style w:type="paragraph" w:customStyle="1" w:styleId="hstyle0">
    <w:name w:val="hstyle0"/>
    <w:basedOn w:val="a5"/>
    <w:rsid w:val="00667710"/>
    <w:pPr>
      <w:widowControl/>
      <w:wordWrap/>
      <w:spacing w:line="360" w:lineRule="auto"/>
      <w:ind w:firstLine="0"/>
    </w:pPr>
    <w:rPr>
      <w:rFonts w:ascii="HY Sinmyeongjo" w:eastAsia="굴림" w:hAnsi="HY Sinmyeongjo" w:cs="굴림"/>
      <w:color w:val="000000"/>
      <w:kern w:val="0"/>
      <w:sz w:val="18"/>
      <w:szCs w:val="18"/>
    </w:rPr>
  </w:style>
  <w:style w:type="paragraph" w:customStyle="1" w:styleId="hstyle1">
    <w:name w:val="hstyle1"/>
    <w:basedOn w:val="a5"/>
    <w:rsid w:val="00667710"/>
    <w:pPr>
      <w:widowControl/>
      <w:wordWrap/>
      <w:spacing w:line="312" w:lineRule="auto"/>
      <w:ind w:firstLine="0"/>
      <w:jc w:val="center"/>
    </w:pPr>
    <w:rPr>
      <w:rFonts w:ascii="신명 중고딕" w:eastAsia="신명 중고딕" w:hAnsi="굴림" w:cs="굴림"/>
      <w:color w:val="000000"/>
      <w:spacing w:val="6"/>
      <w:kern w:val="0"/>
      <w:sz w:val="17"/>
      <w:szCs w:val="17"/>
    </w:rPr>
  </w:style>
  <w:style w:type="character" w:styleId="aff2">
    <w:name w:val="Hyperlink"/>
    <w:rsid w:val="00667710"/>
    <w:rPr>
      <w:color w:val="0000FF"/>
      <w:u w:val="single"/>
    </w:rPr>
  </w:style>
  <w:style w:type="character" w:customStyle="1" w:styleId="Char0">
    <w:name w:val="머리글 Char"/>
    <w:link w:val="ab"/>
    <w:rsid w:val="00B8164A"/>
    <w:rPr>
      <w:rFonts w:eastAsia="바탕체"/>
      <w:kern w:val="2"/>
      <w:lang w:val="en-US" w:eastAsia="ko-KR" w:bidi="ar-SA"/>
    </w:rPr>
  </w:style>
  <w:style w:type="character" w:customStyle="1" w:styleId="10">
    <w:name w:val="확인되지 않은 멘션1"/>
    <w:uiPriority w:val="99"/>
    <w:semiHidden/>
    <w:unhideWhenUsed/>
    <w:rsid w:val="000718E6"/>
    <w:rPr>
      <w:color w:val="605E5C"/>
      <w:shd w:val="clear" w:color="auto" w:fill="E1DFDD"/>
    </w:rPr>
  </w:style>
  <w:style w:type="paragraph" w:customStyle="1" w:styleId="CorrespondingAuthor">
    <w:name w:val="Corresponding Author"/>
    <w:basedOn w:val="a5"/>
    <w:rsid w:val="000718E6"/>
    <w:pPr>
      <w:autoSpaceDE w:val="0"/>
      <w:autoSpaceDN w:val="0"/>
      <w:snapToGrid w:val="0"/>
      <w:spacing w:line="288" w:lineRule="auto"/>
      <w:ind w:firstLine="0"/>
      <w:textAlignment w:val="baseline"/>
    </w:pPr>
    <w:rPr>
      <w:rFonts w:ascii="굴림" w:eastAsia="굴림" w:hAnsi="굴림" w:cs="굴림"/>
      <w:color w:val="000000"/>
      <w:kern w:val="0"/>
      <w:sz w:val="18"/>
      <w:szCs w:val="18"/>
    </w:rPr>
  </w:style>
  <w:style w:type="paragraph" w:customStyle="1" w:styleId="aff3">
    <w:name w:val="본문 단락: 논문용"/>
    <w:basedOn w:val="a5"/>
    <w:rsid w:val="0024568E"/>
    <w:pPr>
      <w:autoSpaceDE w:val="0"/>
      <w:autoSpaceDN w:val="0"/>
      <w:snapToGrid w:val="0"/>
      <w:spacing w:line="360" w:lineRule="auto"/>
      <w:ind w:firstLine="200"/>
      <w:textAlignment w:val="baseline"/>
    </w:pPr>
    <w:rPr>
      <w:rFonts w:ascii="굴림" w:eastAsia="굴림" w:hAnsi="굴림" w:cs="굴림"/>
      <w:color w:val="000000"/>
      <w:kern w:val="0"/>
    </w:rPr>
  </w:style>
  <w:style w:type="paragraph" w:customStyle="1" w:styleId="aff4">
    <w:name w:val="참고서적 내용"/>
    <w:basedOn w:val="a5"/>
    <w:rsid w:val="0024568E"/>
    <w:pPr>
      <w:autoSpaceDE w:val="0"/>
      <w:autoSpaceDN w:val="0"/>
      <w:snapToGrid w:val="0"/>
      <w:spacing w:line="360" w:lineRule="auto"/>
      <w:ind w:left="200" w:hanging="100"/>
      <w:textAlignment w:val="baseline"/>
    </w:pPr>
    <w:rPr>
      <w:rFonts w:ascii="굴림" w:eastAsia="굴림" w:hAnsi="굴림" w:cs="굴림"/>
      <w:color w:val="000000"/>
      <w:kern w:val="0"/>
    </w:rPr>
  </w:style>
  <w:style w:type="paragraph" w:customStyle="1" w:styleId="aff5">
    <w:name w:val="논문본문"/>
    <w:basedOn w:val="a5"/>
    <w:rsid w:val="0024568E"/>
    <w:pPr>
      <w:autoSpaceDE w:val="0"/>
      <w:autoSpaceDN w:val="0"/>
      <w:snapToGrid w:val="0"/>
      <w:spacing w:line="360" w:lineRule="auto"/>
      <w:ind w:firstLine="200"/>
      <w:textAlignment w:val="baseline"/>
    </w:pPr>
    <w:rPr>
      <w:rFonts w:ascii="굴림" w:eastAsia="굴림" w:hAnsi="굴림" w:cs="굴림"/>
      <w:color w:val="000000"/>
      <w:spacing w:val="-10"/>
      <w:w w:val="95"/>
      <w:kern w:val="0"/>
      <w:sz w:val="18"/>
      <w:szCs w:val="18"/>
    </w:rPr>
  </w:style>
  <w:style w:type="paragraph" w:customStyle="1" w:styleId="9">
    <w:name w:val="본문(휴명 9)"/>
    <w:basedOn w:val="a5"/>
    <w:rsid w:val="00710A07"/>
    <w:pPr>
      <w:autoSpaceDE w:val="0"/>
      <w:autoSpaceDN w:val="0"/>
      <w:spacing w:line="384" w:lineRule="auto"/>
      <w:ind w:firstLine="0"/>
      <w:textAlignment w:val="baseline"/>
    </w:pPr>
    <w:rPr>
      <w:rFonts w:ascii="굴림" w:eastAsia="굴림" w:hAnsi="굴림" w:cs="굴림"/>
      <w:color w:val="000000"/>
      <w:kern w:val="0"/>
      <w:sz w:val="18"/>
      <w:szCs w:val="18"/>
    </w:rPr>
  </w:style>
  <w:style w:type="character" w:styleId="aff6">
    <w:name w:val="annotation reference"/>
    <w:basedOn w:val="a6"/>
    <w:semiHidden/>
    <w:unhideWhenUsed/>
    <w:rsid w:val="0008380B"/>
    <w:rPr>
      <w:sz w:val="18"/>
      <w:szCs w:val="18"/>
    </w:rPr>
  </w:style>
  <w:style w:type="paragraph" w:styleId="aff7">
    <w:name w:val="annotation text"/>
    <w:basedOn w:val="a5"/>
    <w:link w:val="Char3"/>
    <w:semiHidden/>
    <w:unhideWhenUsed/>
    <w:rsid w:val="0008380B"/>
    <w:pPr>
      <w:jc w:val="left"/>
    </w:pPr>
  </w:style>
  <w:style w:type="character" w:customStyle="1" w:styleId="Char3">
    <w:name w:val="메모 텍스트 Char"/>
    <w:basedOn w:val="a6"/>
    <w:link w:val="aff7"/>
    <w:semiHidden/>
    <w:rsid w:val="0008380B"/>
    <w:rPr>
      <w:kern w:val="2"/>
    </w:rPr>
  </w:style>
  <w:style w:type="paragraph" w:styleId="aff8">
    <w:name w:val="annotation subject"/>
    <w:basedOn w:val="aff7"/>
    <w:next w:val="aff7"/>
    <w:link w:val="Char4"/>
    <w:semiHidden/>
    <w:unhideWhenUsed/>
    <w:rsid w:val="0008380B"/>
    <w:rPr>
      <w:b/>
      <w:bCs/>
    </w:rPr>
  </w:style>
  <w:style w:type="character" w:customStyle="1" w:styleId="Char4">
    <w:name w:val="메모 주제 Char"/>
    <w:basedOn w:val="Char3"/>
    <w:link w:val="aff8"/>
    <w:semiHidden/>
    <w:rsid w:val="0008380B"/>
    <w:rPr>
      <w:b/>
      <w:bCs/>
      <w:kern w:val="2"/>
    </w:rPr>
  </w:style>
  <w:style w:type="character" w:customStyle="1" w:styleId="Char2">
    <w:name w:val="본문 Char"/>
    <w:link w:val="aff1"/>
    <w:rsid w:val="005129F4"/>
    <w:rPr>
      <w:kern w:val="2"/>
    </w:rPr>
  </w:style>
  <w:style w:type="paragraph" w:customStyle="1" w:styleId="Keywords">
    <w:name w:val="Key words(내용)"/>
    <w:basedOn w:val="a5"/>
    <w:rsid w:val="00AB5B0A"/>
    <w:pPr>
      <w:autoSpaceDE w:val="0"/>
      <w:autoSpaceDN w:val="0"/>
      <w:snapToGrid w:val="0"/>
      <w:spacing w:line="360" w:lineRule="auto"/>
      <w:ind w:left="2600" w:hanging="1300"/>
      <w:textAlignment w:val="baseline"/>
    </w:pPr>
    <w:rPr>
      <w:rFonts w:ascii="한양신명조" w:eastAsia="굴림" w:hAnsi="굴림" w:cs="굴림"/>
      <w:color w:val="000000"/>
      <w:kern w:val="0"/>
      <w:sz w:val="22"/>
      <w:szCs w:val="22"/>
    </w:rPr>
  </w:style>
  <w:style w:type="character" w:styleId="aff9">
    <w:name w:val="line number"/>
    <w:basedOn w:val="a6"/>
    <w:semiHidden/>
    <w:unhideWhenUsed/>
    <w:rsid w:val="001C778E"/>
  </w:style>
  <w:style w:type="character" w:customStyle="1" w:styleId="Char">
    <w:name w:val="바닥글 Char"/>
    <w:basedOn w:val="a6"/>
    <w:link w:val="a9"/>
    <w:uiPriority w:val="99"/>
    <w:rsid w:val="002656EC"/>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33719">
      <w:bodyDiv w:val="1"/>
      <w:marLeft w:val="0"/>
      <w:marRight w:val="0"/>
      <w:marTop w:val="0"/>
      <w:marBottom w:val="0"/>
      <w:divBdr>
        <w:top w:val="none" w:sz="0" w:space="0" w:color="auto"/>
        <w:left w:val="none" w:sz="0" w:space="0" w:color="auto"/>
        <w:bottom w:val="none" w:sz="0" w:space="0" w:color="auto"/>
        <w:right w:val="none" w:sz="0" w:space="0" w:color="auto"/>
      </w:divBdr>
    </w:div>
    <w:div w:id="179976827">
      <w:bodyDiv w:val="1"/>
      <w:marLeft w:val="0"/>
      <w:marRight w:val="0"/>
      <w:marTop w:val="0"/>
      <w:marBottom w:val="0"/>
      <w:divBdr>
        <w:top w:val="none" w:sz="0" w:space="0" w:color="auto"/>
        <w:left w:val="none" w:sz="0" w:space="0" w:color="auto"/>
        <w:bottom w:val="none" w:sz="0" w:space="0" w:color="auto"/>
        <w:right w:val="none" w:sz="0" w:space="0" w:color="auto"/>
      </w:divBdr>
    </w:div>
    <w:div w:id="248974546">
      <w:bodyDiv w:val="1"/>
      <w:marLeft w:val="0"/>
      <w:marRight w:val="0"/>
      <w:marTop w:val="0"/>
      <w:marBottom w:val="0"/>
      <w:divBdr>
        <w:top w:val="none" w:sz="0" w:space="0" w:color="auto"/>
        <w:left w:val="none" w:sz="0" w:space="0" w:color="auto"/>
        <w:bottom w:val="none" w:sz="0" w:space="0" w:color="auto"/>
        <w:right w:val="none" w:sz="0" w:space="0" w:color="auto"/>
      </w:divBdr>
    </w:div>
    <w:div w:id="392853359">
      <w:bodyDiv w:val="1"/>
      <w:marLeft w:val="0"/>
      <w:marRight w:val="0"/>
      <w:marTop w:val="0"/>
      <w:marBottom w:val="0"/>
      <w:divBdr>
        <w:top w:val="none" w:sz="0" w:space="0" w:color="auto"/>
        <w:left w:val="none" w:sz="0" w:space="0" w:color="auto"/>
        <w:bottom w:val="none" w:sz="0" w:space="0" w:color="auto"/>
        <w:right w:val="none" w:sz="0" w:space="0" w:color="auto"/>
      </w:divBdr>
    </w:div>
    <w:div w:id="1007749517">
      <w:bodyDiv w:val="1"/>
      <w:marLeft w:val="0"/>
      <w:marRight w:val="0"/>
      <w:marTop w:val="0"/>
      <w:marBottom w:val="0"/>
      <w:divBdr>
        <w:top w:val="none" w:sz="0" w:space="0" w:color="auto"/>
        <w:left w:val="none" w:sz="0" w:space="0" w:color="auto"/>
        <w:bottom w:val="none" w:sz="0" w:space="0" w:color="auto"/>
        <w:right w:val="none" w:sz="0" w:space="0" w:color="auto"/>
      </w:divBdr>
    </w:div>
    <w:div w:id="1023049100">
      <w:bodyDiv w:val="1"/>
      <w:marLeft w:val="0"/>
      <w:marRight w:val="0"/>
      <w:marTop w:val="0"/>
      <w:marBottom w:val="0"/>
      <w:divBdr>
        <w:top w:val="none" w:sz="0" w:space="0" w:color="auto"/>
        <w:left w:val="none" w:sz="0" w:space="0" w:color="auto"/>
        <w:bottom w:val="none" w:sz="0" w:space="0" w:color="auto"/>
        <w:right w:val="none" w:sz="0" w:space="0" w:color="auto"/>
      </w:divBdr>
    </w:div>
    <w:div w:id="1028217915">
      <w:bodyDiv w:val="1"/>
      <w:marLeft w:val="0"/>
      <w:marRight w:val="0"/>
      <w:marTop w:val="0"/>
      <w:marBottom w:val="0"/>
      <w:divBdr>
        <w:top w:val="none" w:sz="0" w:space="0" w:color="auto"/>
        <w:left w:val="none" w:sz="0" w:space="0" w:color="auto"/>
        <w:bottom w:val="none" w:sz="0" w:space="0" w:color="auto"/>
        <w:right w:val="none" w:sz="0" w:space="0" w:color="auto"/>
      </w:divBdr>
    </w:div>
    <w:div w:id="1029261568">
      <w:bodyDiv w:val="1"/>
      <w:marLeft w:val="0"/>
      <w:marRight w:val="0"/>
      <w:marTop w:val="0"/>
      <w:marBottom w:val="0"/>
      <w:divBdr>
        <w:top w:val="none" w:sz="0" w:space="0" w:color="auto"/>
        <w:left w:val="none" w:sz="0" w:space="0" w:color="auto"/>
        <w:bottom w:val="none" w:sz="0" w:space="0" w:color="auto"/>
        <w:right w:val="none" w:sz="0" w:space="0" w:color="auto"/>
      </w:divBdr>
    </w:div>
    <w:div w:id="1146894469">
      <w:bodyDiv w:val="1"/>
      <w:marLeft w:val="0"/>
      <w:marRight w:val="0"/>
      <w:marTop w:val="0"/>
      <w:marBottom w:val="0"/>
      <w:divBdr>
        <w:top w:val="none" w:sz="0" w:space="0" w:color="auto"/>
        <w:left w:val="none" w:sz="0" w:space="0" w:color="auto"/>
        <w:bottom w:val="none" w:sz="0" w:space="0" w:color="auto"/>
        <w:right w:val="none" w:sz="0" w:space="0" w:color="auto"/>
      </w:divBdr>
    </w:div>
    <w:div w:id="1216048382">
      <w:bodyDiv w:val="1"/>
      <w:marLeft w:val="0"/>
      <w:marRight w:val="0"/>
      <w:marTop w:val="0"/>
      <w:marBottom w:val="0"/>
      <w:divBdr>
        <w:top w:val="none" w:sz="0" w:space="0" w:color="auto"/>
        <w:left w:val="none" w:sz="0" w:space="0" w:color="auto"/>
        <w:bottom w:val="none" w:sz="0" w:space="0" w:color="auto"/>
        <w:right w:val="none" w:sz="0" w:space="0" w:color="auto"/>
      </w:divBdr>
    </w:div>
    <w:div w:id="1520970132">
      <w:bodyDiv w:val="1"/>
      <w:marLeft w:val="0"/>
      <w:marRight w:val="0"/>
      <w:marTop w:val="0"/>
      <w:marBottom w:val="0"/>
      <w:divBdr>
        <w:top w:val="none" w:sz="0" w:space="0" w:color="auto"/>
        <w:left w:val="none" w:sz="0" w:space="0" w:color="auto"/>
        <w:bottom w:val="none" w:sz="0" w:space="0" w:color="auto"/>
        <w:right w:val="none" w:sz="0" w:space="0" w:color="auto"/>
      </w:divBdr>
    </w:div>
    <w:div w:id="1557856762">
      <w:bodyDiv w:val="1"/>
      <w:marLeft w:val="0"/>
      <w:marRight w:val="0"/>
      <w:marTop w:val="0"/>
      <w:marBottom w:val="0"/>
      <w:divBdr>
        <w:top w:val="none" w:sz="0" w:space="0" w:color="auto"/>
        <w:left w:val="none" w:sz="0" w:space="0" w:color="auto"/>
        <w:bottom w:val="none" w:sz="0" w:space="0" w:color="auto"/>
        <w:right w:val="none" w:sz="0" w:space="0" w:color="auto"/>
      </w:divBdr>
    </w:div>
    <w:div w:id="1615400193">
      <w:bodyDiv w:val="1"/>
      <w:marLeft w:val="0"/>
      <w:marRight w:val="0"/>
      <w:marTop w:val="0"/>
      <w:marBottom w:val="0"/>
      <w:divBdr>
        <w:top w:val="none" w:sz="0" w:space="0" w:color="auto"/>
        <w:left w:val="none" w:sz="0" w:space="0" w:color="auto"/>
        <w:bottom w:val="none" w:sz="0" w:space="0" w:color="auto"/>
        <w:right w:val="none" w:sz="0" w:space="0" w:color="auto"/>
      </w:divBdr>
    </w:div>
    <w:div w:id="1766994165">
      <w:bodyDiv w:val="1"/>
      <w:marLeft w:val="0"/>
      <w:marRight w:val="0"/>
      <w:marTop w:val="0"/>
      <w:marBottom w:val="0"/>
      <w:divBdr>
        <w:top w:val="none" w:sz="0" w:space="0" w:color="auto"/>
        <w:left w:val="none" w:sz="0" w:space="0" w:color="auto"/>
        <w:bottom w:val="none" w:sz="0" w:space="0" w:color="auto"/>
        <w:right w:val="none" w:sz="0" w:space="0" w:color="auto"/>
      </w:divBdr>
    </w:div>
    <w:div w:id="1887179229">
      <w:bodyDiv w:val="1"/>
      <w:marLeft w:val="0"/>
      <w:marRight w:val="0"/>
      <w:marTop w:val="0"/>
      <w:marBottom w:val="0"/>
      <w:divBdr>
        <w:top w:val="none" w:sz="0" w:space="0" w:color="auto"/>
        <w:left w:val="none" w:sz="0" w:space="0" w:color="auto"/>
        <w:bottom w:val="none" w:sz="0" w:space="0" w:color="auto"/>
        <w:right w:val="none" w:sz="0" w:space="0" w:color="auto"/>
      </w:divBdr>
    </w:div>
    <w:div w:id="1895388449">
      <w:bodyDiv w:val="1"/>
      <w:marLeft w:val="0"/>
      <w:marRight w:val="0"/>
      <w:marTop w:val="0"/>
      <w:marBottom w:val="0"/>
      <w:divBdr>
        <w:top w:val="none" w:sz="0" w:space="0" w:color="auto"/>
        <w:left w:val="none" w:sz="0" w:space="0" w:color="auto"/>
        <w:bottom w:val="none" w:sz="0" w:space="0" w:color="auto"/>
        <w:right w:val="none" w:sz="0" w:space="0" w:color="auto"/>
      </w:divBdr>
    </w:div>
    <w:div w:id="1906715671">
      <w:bodyDiv w:val="1"/>
      <w:marLeft w:val="0"/>
      <w:marRight w:val="0"/>
      <w:marTop w:val="0"/>
      <w:marBottom w:val="0"/>
      <w:divBdr>
        <w:top w:val="none" w:sz="0" w:space="0" w:color="auto"/>
        <w:left w:val="none" w:sz="0" w:space="0" w:color="auto"/>
        <w:bottom w:val="none" w:sz="0" w:space="0" w:color="auto"/>
        <w:right w:val="none" w:sz="0" w:space="0" w:color="auto"/>
      </w:divBdr>
    </w:div>
    <w:div w:id="2002073369">
      <w:bodyDiv w:val="1"/>
      <w:marLeft w:val="0"/>
      <w:marRight w:val="0"/>
      <w:marTop w:val="0"/>
      <w:marBottom w:val="0"/>
      <w:divBdr>
        <w:top w:val="none" w:sz="0" w:space="0" w:color="auto"/>
        <w:left w:val="none" w:sz="0" w:space="0" w:color="auto"/>
        <w:bottom w:val="none" w:sz="0" w:space="0" w:color="auto"/>
        <w:right w:val="none" w:sz="0" w:space="0" w:color="auto"/>
      </w:divBdr>
    </w:div>
    <w:div w:id="2074156114">
      <w:bodyDiv w:val="1"/>
      <w:marLeft w:val="0"/>
      <w:marRight w:val="0"/>
      <w:marTop w:val="0"/>
      <w:marBottom w:val="0"/>
      <w:divBdr>
        <w:top w:val="none" w:sz="0" w:space="0" w:color="auto"/>
        <w:left w:val="none" w:sz="0" w:space="0" w:color="auto"/>
        <w:bottom w:val="none" w:sz="0" w:space="0" w:color="auto"/>
        <w:right w:val="none" w:sz="0" w:space="0" w:color="auto"/>
      </w:divBdr>
    </w:div>
    <w:div w:id="212345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9" Type="http://schemas.openxmlformats.org/officeDocument/2006/relationships/image" Target="media/image3.png"/><Relationship Id="rId21" Type="http://schemas.openxmlformats.org/officeDocument/2006/relationships/image" Target="media/image5.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923B9-46E7-4A44-B443-B89A280DE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298</Words>
  <Characters>1700</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재민 김</cp:lastModifiedBy>
  <cp:revision>3</cp:revision>
  <cp:lastPrinted>2026-04-02T17:22:00Z</cp:lastPrinted>
  <dcterms:created xsi:type="dcterms:W3CDTF">2026-04-15T04:19:00Z</dcterms:created>
  <dcterms:modified xsi:type="dcterms:W3CDTF">2026-04-15T05:09:00Z</dcterms:modified>
</cp:coreProperties>
</file>