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741d6ef8d560933d6266a2fa5c02942f593b3f"/>
    <w:p>
      <w:pPr>
        <w:pStyle w:val="Heading1"/>
      </w:pPr>
      <w:r>
        <w:t xml:space="preserve">Response to Reviewers — Revision Round 1 (JAAI)</w:t>
      </w:r>
    </w:p>
    <w:p>
      <w:pPr>
        <w:pStyle w:val="Compact"/>
        <w:numPr>
          <w:ilvl w:val="0"/>
          <w:numId w:val="1001"/>
        </w:numPr>
      </w:pPr>
      <w:r>
        <w:rPr>
          <w:b/>
          <w:bCs/>
        </w:rPr>
        <w:t xml:space="preserve">원고</w:t>
      </w:r>
      <w:r>
        <w:t xml:space="preserve">: Automated Indoor CFD from a Single 2D Image via VLM Abstraction</w:t>
      </w:r>
    </w:p>
    <w:p>
      <w:pPr>
        <w:pStyle w:val="Compact"/>
        <w:numPr>
          <w:ilvl w:val="0"/>
          <w:numId w:val="1001"/>
        </w:numPr>
      </w:pPr>
      <w:r>
        <w:rPr>
          <w:b/>
          <w:bCs/>
        </w:rPr>
        <w:t xml:space="preserve">수정 표기</w:t>
      </w:r>
      <w:r>
        <w:t xml:space="preserve">: 주요 수정 부분은 blinded 원고(</w:t>
      </w:r>
      <w:r>
        <w:rPr>
          <w:rStyle w:val="VerbatimChar"/>
        </w:rPr>
        <w:t xml:space="preserve">Image-to-CFD_JAAI_r1_blinded_highlighted.docx</w:t>
      </w:r>
      <w:r>
        <w:t xml:space="preserve">)에</w:t>
      </w:r>
      <w:r>
        <w:t xml:space="preserve"> </w:t>
      </w:r>
      <w:r>
        <w:rPr>
          <w:b/>
          <w:bCs/>
        </w:rPr>
        <w:t xml:space="preserve">붉은색</w:t>
      </w:r>
      <w:r>
        <w:t xml:space="preserve">으로 표시하였으며, 각 답변 아래에 해당 수정 섹션을 명시함.</w:t>
      </w:r>
    </w:p>
    <w:p>
      <w:r>
        <w:pict>
          <v:rect style="width:0;height:1.5pt" o:hralign="center" o:hrstd="t" o:hr="t"/>
        </w:pict>
      </w:r>
    </w:p>
    <w:p>
      <w:pPr>
        <w:pStyle w:val="FirstParagraph"/>
      </w:pPr>
      <w:r>
        <w:t xml:space="preserve">심사위원님들의 세심한 검토와 건설적인 제언에 깊이 감사드립니다. 지적해 주신 사항을 아래와 같이 반영하였으며, 주요 수정 부분은 개정 원고에 붉은색으로 표시하였습니다. 각 답변 말미에 원고에서 수정된 섹션을 명시합니다.</w:t>
      </w:r>
    </w:p>
    <w:p>
      <w:r>
        <w:pict>
          <v:rect style="width:0;height:1.5pt" o:hralign="center" o:hrstd="t" o:hr="t"/>
        </w:pict>
      </w:r>
    </w:p>
    <w:bookmarkStart w:id="13" w:name="심사위원-1"/>
    <w:p>
      <w:pPr>
        <w:pStyle w:val="Heading2"/>
      </w:pPr>
      <w:r>
        <w:t xml:space="preserve">심사위원 #1</w:t>
      </w:r>
    </w:p>
    <w:bookmarkStart w:id="9" w:name="X50b9480873fe450827ca79322c8f0a903e3f98c"/>
    <w:p>
      <w:pPr>
        <w:pStyle w:val="Heading3"/>
      </w:pPr>
      <w:r>
        <w:t xml:space="preserve">1-1. CFD 평균 0.477 vs 0.453 불일치 / structural·CFD 평가 대상 수</w:t>
      </w:r>
    </w:p>
    <w:p>
      <w:pPr>
        <w:pStyle w:val="FirstParagraph"/>
      </w:pPr>
      <w:r>
        <w:rPr>
          <w:b/>
          <w:bCs/>
        </w:rPr>
        <w:t xml:space="preserve">지적 요지</w:t>
      </w:r>
      <w:r>
        <w:t xml:space="preserve">: 본문·Table 5의 CFD agreement 평균(0.477)과 Fig. 7의 overall mean(0.453)이 불일치하며, Table 3(n=100)과 Table 5(n=97)의 평가 대상 수가 다르게 보임.</w:t>
      </w:r>
    </w:p>
    <w:p>
      <w:pPr>
        <w:pStyle w:val="BodyText"/>
      </w:pPr>
      <w:r>
        <w:rPr>
          <w:b/>
          <w:bCs/>
        </w:rPr>
        <w:t xml:space="preserve">저자 응답</w:t>
      </w:r>
      <w:r>
        <w:t xml:space="preserve">: 지적해 주신 두 값의 불일치는 표기 오류였습니다. Fig. 7은 reference-predicted 쌍의 solver preset(입구 속도)이 일치되기 이전 단계의 집계 데이터(당시 overall 0.454)로 생성된 구버전 그림이었고, 본문·Table 5의 0.477은 preset 일치 후의 최종 집계값입니다. Fig. 7을 최종 집계 데이터로 재생성하여 overall mean을 0.477로 통일하였고, 캡션에 산정 기준(성분 평균은 해당 필드 데이터가 존재하는 케이스에 대해 계산되며, 종합 점수는 누락 성분을 0.0으로 처리)을 명시하였습니다.</w:t>
      </w:r>
    </w:p>
    <w:p>
      <w:pPr>
        <w:pStyle w:val="BodyText"/>
      </w:pPr>
      <w:r>
        <w:t xml:space="preserve">평가 대상 수 규약도 다음과 같이 통일하여 모든 표·그림·본문에 명시하였습니다.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산정 대상</w:t>
            </w:r>
          </w:p>
        </w:tc>
      </w:tr>
      <w:tr>
        <w:tc>
          <w:tcPr/>
          <w:p>
            <w:pPr>
              <w:pStyle w:val="Compact"/>
            </w:pPr>
            <w:r>
              <w:t xml:space="preserve">Structural score, CFD agreement score</w:t>
            </w:r>
          </w:p>
        </w:tc>
        <w:tc>
          <w:tcPr/>
          <w:p>
            <w:pPr>
              <w:pStyle w:val="Compact"/>
            </w:pPr>
            <w:r>
              <w:t xml:space="preserve">수렴 케이스 n = 97 (conditional)</w:t>
            </w:r>
          </w:p>
        </w:tc>
      </w:tr>
      <w:tr>
        <w:tc>
          <w:tcPr/>
          <w:p>
            <w:pPr>
              <w:pStyle w:val="Compact"/>
            </w:pPr>
            <w:r>
              <w:t xml:space="preserve">Room-kind / opening-wall match rate</w:t>
            </w:r>
          </w:p>
        </w:tc>
        <w:tc>
          <w:tcPr/>
          <w:p>
            <w:pPr>
              <w:pStyle w:val="Compact"/>
            </w:pPr>
            <w:r>
              <w:t xml:space="preserve">유효 예측 전체 n = 100 (CFD 수렴 불요)</w:t>
            </w:r>
          </w:p>
        </w:tc>
      </w:tr>
      <w:tr>
        <w:tc>
          <w:tcPr/>
          <w:p>
            <w:pPr>
              <w:pStyle w:val="Compact"/>
            </w:pPr>
            <w:r>
              <w:t xml:space="preserve">Unconditional 점수 (실패 3건 = 0 처리)</w:t>
            </w:r>
          </w:p>
        </w:tc>
        <w:tc>
          <w:tcPr/>
          <w:p>
            <w:pPr>
              <w:pStyle w:val="Compact"/>
            </w:pPr>
            <w:r>
              <w:t xml:space="preserve">structural 0.758, CFD 0.463 (투명성 목적 병기)</w:t>
            </w:r>
          </w:p>
        </w:tc>
      </w:tr>
    </w:tbl>
    <w:p>
      <w:pPr>
        <w:pStyle w:val="BodyText"/>
      </w:pPr>
      <w:r>
        <w:t xml:space="preserve">Table 3 캡션에는 VLM structural(n=97)과 naive baseline structural(CFD 해석이 없으므로 n=100)의 산정 대상 차이도 명시하였습니다.</w:t>
      </w:r>
    </w:p>
    <w:p>
      <w:pPr>
        <w:pStyle w:val="BodyText"/>
      </w:pPr>
      <w:r>
        <w:rPr>
          <w:b/>
          <w:bCs/>
        </w:rPr>
        <w:t xml:space="preserve">▶ 원고 수정 섹션 (blinded highlighted docx에 붉은색 표기):</w:t>
      </w:r>
      <w:r>
        <w:t xml:space="preserve"> </w:t>
      </w:r>
      <w:r>
        <w:t xml:space="preserve">Fig. 7(재생성) 및 캡션, Table 3 캡션, Table 5 캡션·행, 4.1절, Abstract.</w:t>
      </w:r>
    </w:p>
    <w:bookmarkEnd w:id="9"/>
    <w:bookmarkStart w:id="10" w:name="X18ca964d9aeea25778bfdadc45cdfd51e313eca"/>
    <w:p>
      <w:pPr>
        <w:pStyle w:val="Heading3"/>
      </w:pPr>
      <w:r>
        <w:t xml:space="preserve">1-2. Section 6 실제 평면도 사례의 inlet/outlet 지정 근거</w:t>
      </w:r>
    </w:p>
    <w:p>
      <w:pPr>
        <w:pStyle w:val="FirstParagraph"/>
      </w:pPr>
      <w:r>
        <w:rPr>
          <w:b/>
          <w:bCs/>
        </w:rPr>
        <w:t xml:space="preserve">지적 요지</w:t>
      </w:r>
      <w:r>
        <w:t xml:space="preserve">: 문=inlet/창=outlet 지정이 영상으로부터 확인된 결과인지, 해석을 위한 가정인지 불명확.</w:t>
      </w:r>
    </w:p>
    <w:p>
      <w:pPr>
        <w:pStyle w:val="BodyText"/>
      </w:pPr>
      <w:r>
        <w:rPr>
          <w:b/>
          <w:bCs/>
        </w:rPr>
        <w:t xml:space="preserve">저자 응답</w:t>
      </w:r>
      <w:r>
        <w:t xml:space="preserve">: 해당 지정은 VLM이 직접 생성한 출력입니다. 프롬프트(Appendix A)는 각 장면에 정확히 1개의 inlet과 1개의 outlet을 외벽에 배치하도록 요구하며, 어느 개구가 inlet인지의 판정은 VLM이 수행합니다. 다만 흐름 방향은 도면에서 관찰 불가능하므로, "문=급기"라는 방향 지정은 이미지에서 검증된 조건이 아니라 모델이 생성한 스크리닝 가정임을 6절에 명시하였습니다. 아울러 실제 적용 시에는 개구의 급기/배기 역할과 강도를 급배기 풍량, 차압 또는 HVAC 운전정보와 같은 추가 조건으로 지정해야 함을 한 문장으로 추가하였습니다.</w:t>
      </w:r>
    </w:p>
    <w:p>
      <w:pPr>
        <w:pStyle w:val="BodyText"/>
      </w:pPr>
      <w:r>
        <w:rPr>
          <w:b/>
          <w:bCs/>
        </w:rPr>
        <w:t xml:space="preserve">▶ 원고 수정 섹션 (blinded highlighted docx에 붉은색 표기):</w:t>
      </w:r>
      <w:r>
        <w:t xml:space="preserve"> </w:t>
      </w:r>
      <w:r>
        <w:t xml:space="preserve">6절 (첫 사례 문단 + 종합 문단).</w:t>
      </w:r>
    </w:p>
    <w:bookmarkEnd w:id="10"/>
    <w:bookmarkStart w:id="11" w:name="X70a84915cb4f9a4d72585ef7aad41a927520e60"/>
    <w:p>
      <w:pPr>
        <w:pStyle w:val="Heading3"/>
      </w:pPr>
      <w:r>
        <w:t xml:space="preserve">1-3. Fig. 13 수치 불일치 / Table 7 "less than 5%" 표현</w:t>
      </w:r>
    </w:p>
    <w:p>
      <w:pPr>
        <w:pStyle w:val="FirstParagraph"/>
      </w:pPr>
      <w:r>
        <w:rPr>
          <w:b/>
          <w:bCs/>
        </w:rPr>
        <w:t xml:space="preserve">저자 응답 (Fig. 13)</w:t>
      </w:r>
      <w:r>
        <w:t xml:space="preserve">: 확인 결과 그림 내부 수치와 본문 5.3절의 수치(A4-02: structural 0.813, CFD 0.346; A4-04: structural 0.917, CFD 0.302)는 해당 사례(bird's-eye view)의 정확한 평가값이었고,</w:t>
      </w:r>
      <w:r>
        <w:t xml:space="preserve"> </w:t>
      </w:r>
      <w:r>
        <w:rPr>
          <w:b/>
          <w:bCs/>
        </w:rPr>
        <w:t xml:space="preserve">캡션의 수치(0.938·1.000 / 0.409·0.458)가 다른 사례의 값으로 잘못 기재</w:t>
      </w:r>
      <w:r>
        <w:t xml:space="preserve">된 것이었습니다. 캡션을 그림·본문과 일치하도록 수정하고 사례명과 뷰를 명기하였습니다.</w:t>
      </w:r>
    </w:p>
    <w:p>
      <w:pPr>
        <w:pStyle w:val="BodyText"/>
      </w:pPr>
      <w:r>
        <w:rPr>
          <w:b/>
          <w:bCs/>
        </w:rPr>
        <w:t xml:space="preserve">저자 응답 (Table 7)</w:t>
      </w:r>
      <w:r>
        <w:t xml:space="preserve">: "less than 5%"는 composite agreement score가 아니라</w:t>
      </w:r>
      <w:r>
        <w:t xml:space="preserve"> </w:t>
      </w:r>
      <w:r>
        <w:rPr>
          <w:b/>
          <w:bCs/>
        </w:rPr>
        <w:t xml:space="preserve">도메인 평균 유속(bulk velocity magnitude)</w:t>
      </w:r>
      <w:r>
        <w:t xml:space="preserve"> </w:t>
      </w:r>
      <w:r>
        <w:t xml:space="preserve">기준이었습니다. 격자 독립성 원자료 기준, 단순형상 사례(A1-01)의 도메인 평균 유속 변화는 0.25→0.18 m에서 1.4%, 0.18→0.10 m에서 1.9%입니다. 반면 composite agreement score는 정규화 차분 기반의 더 엄격한 지표로, 0.18→0.10 m 사이 최대 0.046(약 8%)까지 변동하며 이는 지적하신 대로 5%를 초과할 수 있습니다. 본문을 두 지표를 구분하여 서술하도록 수정하였습니다(2.2절의 "&lt;5%" 표현도 "도메인 평균 유속 &lt;2%"로 정정).</w:t>
      </w:r>
    </w:p>
    <w:p>
      <w:pPr>
        <w:pStyle w:val="BodyText"/>
      </w:pPr>
      <w:r>
        <w:rPr>
          <w:b/>
          <w:bCs/>
        </w:rPr>
        <w:t xml:space="preserve">▶ 원고 수정 섹션 (blinded highlighted docx에 붉은색 표기):</w:t>
      </w:r>
      <w:r>
        <w:t xml:space="preserve"> </w:t>
      </w:r>
      <w:r>
        <w:t xml:space="preserve">Fig. 13 캡션, 2.2절, 5.7절 (Table 7 문단).</w:t>
      </w:r>
    </w:p>
    <w:bookmarkEnd w:id="11"/>
    <w:bookmarkStart w:id="12" w:name="X81d048e753c6c566561df49b952e6a621a24822"/>
    <w:p>
      <w:pPr>
        <w:pStyle w:val="Heading3"/>
      </w:pPr>
      <w:r>
        <w:t xml:space="preserve">1-4. 체적유량 vs 입구 속도</w:t>
      </w:r>
    </w:p>
    <w:p>
      <w:pPr>
        <w:pStyle w:val="FirstParagraph"/>
      </w:pPr>
      <w:r>
        <w:rPr>
          <w:b/>
          <w:bCs/>
        </w:rPr>
        <w:t xml:space="preserve">지적 요지</w:t>
      </w:r>
      <w:r>
        <w:t xml:space="preserve">: 2.2절은 동일 체적유량(입구 면적에 따라 속도 변동), 5.5절은 동일 inlet velocity로 읽혀 상충됨.</w:t>
      </w:r>
    </w:p>
    <w:p>
      <w:pPr>
        <w:pStyle w:val="BodyText"/>
      </w:pPr>
      <w:r>
        <w:rPr>
          <w:b/>
          <w:bCs/>
        </w:rPr>
        <w:t xml:space="preserve">저자 응답</w:t>
      </w:r>
      <w:r>
        <w:t xml:space="preserve">: 구현 코드를 재확인한 결과, 실제로 일치시킨 조건은</w:t>
      </w:r>
      <w:r>
        <w:t xml:space="preserve"> </w:t>
      </w:r>
      <w:r>
        <w:rPr>
          <w:b/>
          <w:bCs/>
        </w:rPr>
        <w:t xml:space="preserve">입구 속도</w:t>
      </w:r>
      <w:r>
        <w:t xml:space="preserve">이며 2.2절의 "체적유량 0.05 m³/s" 서술이 구현과 불일치한 오류였습니다(안정화 preset 중 하나의 입구 속도 0.05 m/s가 체적유량 0.05 m³/s로 잘못 기재된 것입니다). 실제 구현은 입구에 균일 고정 속도(fixedValue)를 부과하며, 그 크기는 solver robustness preset이 결정합니다(baseline 0.5, conservative 0.05, robust 0.02, ultra-robust 0.005, laminar-fallback 0.01 m/s). Predicted 케이스와 reference 케이스는 동일 preset으로 해석되므로(5.5절) 비교쌍 내에서 입구 속도가 동일합니다. 2.2절을 이에 맞게 전면 재작성하고, 체적유량은 각 케이스의 개구 면적에 따라 달라짐을 명시하였으며, 5.5절에도 "일치시킨 물리량은 입구 속도"임을 명확히 하였습니다.</w:t>
      </w:r>
    </w:p>
    <w:p>
      <w:pPr>
        <w:pStyle w:val="BodyText"/>
      </w:pPr>
      <w:r>
        <w:rPr>
          <w:b/>
          <w:bCs/>
        </w:rPr>
        <w:t xml:space="preserve">▶ 원고 수정 섹션 (blinded highlighted docx에 붉은색 표기):</w:t>
      </w:r>
      <w:r>
        <w:t xml:space="preserve"> </w:t>
      </w:r>
      <w:r>
        <w:t xml:space="preserve">2.2절 (경계조건 표 및 이하 문단), 5.5절.</w:t>
      </w:r>
    </w:p>
    <w:p>
      <w:r>
        <w:pict>
          <v:rect style="width:0;height:1.5pt" o:hralign="center" o:hrstd="t" o:hr="t"/>
        </w:pict>
      </w:r>
    </w:p>
    <w:bookmarkEnd w:id="12"/>
    <w:bookmarkEnd w:id="13"/>
    <w:bookmarkStart w:id="19" w:name="심사위원-2"/>
    <w:p>
      <w:pPr>
        <w:pStyle w:val="Heading2"/>
      </w:pPr>
      <w:r>
        <w:t xml:space="preserve">심사위원 #2</w:t>
      </w:r>
    </w:p>
    <w:bookmarkStart w:id="15" w:name="Xf9c16b0b5fe3326c451898936902e125063ede3"/>
    <w:p>
      <w:pPr>
        <w:pStyle w:val="Heading3"/>
      </w:pPr>
      <w:r>
        <w:t xml:space="preserve">2-1. Opening Type F1 과대평가 / IoU 임계값 근거</w:t>
      </w:r>
    </w:p>
    <w:p>
      <w:pPr>
        <w:pStyle w:val="FirstParagraph"/>
      </w:pPr>
      <w:r>
        <w:rPr>
          <w:b/>
          <w:bCs/>
        </w:rPr>
        <w:t xml:space="preserve">저자 응답 (Opening type F1)</w:t>
      </w:r>
      <w:r>
        <w:t xml:space="preserve">: 지적에 동의합니다. 본 벤치마크는 케이스당 1 inlet/1 outlet 구성이어서 opening type F1이 항상 1.0이 되고, 이 성분이 종합 점수에 고정 기여(+0.25)를 합니다. 이를 명시적으로 드러내기 위해 다음과 같이 수정하였습니다.</w:t>
      </w:r>
    </w:p>
    <w:p>
      <w:pPr>
        <w:pStyle w:val="Compact"/>
        <w:numPr>
          <w:ilvl w:val="0"/>
          <w:numId w:val="1002"/>
        </w:numPr>
      </w:pPr>
      <w:r>
        <w:rPr>
          <w:b/>
          <w:bCs/>
        </w:rPr>
        <w:t xml:space="preserve">포함/제외 점수 병기</w:t>
      </w:r>
      <w:r>
        <w:t xml:space="preserve">: opening type F1을 제외한 3성분 평균은 0.708 ± 0.201 (VLM), 0.495 (naive baseline)로, 상대 개선 폭은 포함 시 +25.8%, 제외 시 약 +43%입니다. 이 값을 4.1절과 Table 5에 병기하였습니다. Opening type F1이 전 케이스에서 1.0이므로 두 종합 점수는 정확한 선형변환 관계에 있으며 조건·뷰 순위가 완전히 보존됨을 명시하였습니다(뷰별 3성분 점수도 4.2절에 병기: floor plan 0.845 → section 0.572).</w:t>
      </w:r>
    </w:p>
    <w:p>
      <w:pPr>
        <w:pStyle w:val="Compact"/>
        <w:numPr>
          <w:ilvl w:val="0"/>
          <w:numId w:val="1002"/>
        </w:numPr>
      </w:pPr>
      <w:r>
        <w:rPr>
          <w:b/>
          <w:bCs/>
        </w:rPr>
        <w:t xml:space="preserve">가중 점수 대안</w:t>
      </w:r>
      <w:r>
        <w:t xml:space="preserve">: 응용 목적별 가중 종합 점수(예: 환기 경로 스크리닝 시 opening-wall 가중 강화)의 필요성을 4.1절 논의에 추가하였습니다.</w:t>
      </w:r>
    </w:p>
    <w:p>
      <w:pPr>
        <w:pStyle w:val="Compact"/>
        <w:numPr>
          <w:ilvl w:val="0"/>
          <w:numId w:val="1002"/>
        </w:numPr>
      </w:pPr>
      <w:r>
        <w:rPr>
          <w:b/>
          <w:bCs/>
        </w:rPr>
        <w:t xml:space="preserve">한계 명시</w:t>
      </w:r>
      <w:r>
        <w:t xml:space="preserve">: 2.3.1절에 이 성분이 본 벤치마크 내에서는 비변별적이며 일반 스키마와의 정합성을 위해 유지됨을 명시하고, 개구 유형·개수가 가변인 벤치마크로의 확장을 향후 과제로 기술하였습니다. 참고로 단일 급기/단일 배기 구성은 실내 환기 CFD의 표준 벤치마크(Nielsen et al. 1978의 단일 슬롯 급배기 환기실, cross-ventilation generic 형상 등, 기존 인용 문헌)에서도 통용되는 구성입니다.</w:t>
      </w:r>
    </w:p>
    <w:p>
      <w:pPr>
        <w:pStyle w:val="FirstParagraph"/>
      </w:pPr>
      <w:r>
        <w:rPr>
          <w:b/>
          <w:bCs/>
        </w:rPr>
        <w:t xml:space="preserve">저자 응답 (IoU 임계값)</w:t>
      </w:r>
      <w:r>
        <w:t xml:space="preserve">: room 0.2 / obstacle 0.1 임계값의 근거를 보강하였습니다. 실내 3D 객체 검출의 표준 평가 기준이</w:t>
      </w:r>
      <w:r>
        <w:t xml:space="preserve"> </w:t>
      </w:r>
      <w:hyperlink r:id="rId14">
        <w:r>
          <w:rPr>
            <w:rStyle w:val="Hyperlink"/>
          </w:rPr>
          <w:t xml:space="preserve">mAP@0.25</w:t>
        </w:r>
      </w:hyperlink>
      <w:r>
        <w:t xml:space="preserve"> </w:t>
      </w:r>
      <w:r>
        <w:t xml:space="preserve">IoU임(VoteNet, ScanNet, SUN RGB-D — 신규 인용 3건 추가)을 고려하면 room 0.2는 이 표준에 근접한 값이며, obstacle 0.1은 깊이 정보가 없는 단일 영상으로부터 가구 규모 객체를 추정하는 난이도를 반영한 의도적 완화 기준입니다. 이를 2.3.1절과 Appendix B에 서술하였고, Appendix B의 임계값 민감도 분석(0.05–0.50)에서 뷰·카테고리 순위가 임계값 전 구간에서 보존됨을 재확인하였습니다.</w:t>
      </w:r>
    </w:p>
    <w:p>
      <w:pPr>
        <w:pStyle w:val="BodyText"/>
      </w:pPr>
      <w:r>
        <w:rPr>
          <w:b/>
          <w:bCs/>
        </w:rPr>
        <w:t xml:space="preserve">▶ 원고 수정 섹션 (blinded highlighted docx에 붉은색 표기):</w:t>
      </w:r>
      <w:r>
        <w:t xml:space="preserve"> </w:t>
      </w:r>
      <w:r>
        <w:t xml:space="preserve">2.3.1절, 4.1절 (Table 4 인접 문단), 4.2절, Table 5, Appendix B, 참고문헌 3건 추가.</w:t>
      </w:r>
    </w:p>
    <w:bookmarkEnd w:id="15"/>
    <w:bookmarkStart w:id="16" w:name="X3acd63fee92b881bf8896454eca19e7b12ee18d"/>
    <w:p>
      <w:pPr>
        <w:pStyle w:val="Heading3"/>
      </w:pPr>
      <w:r>
        <w:t xml:space="preserve">2-2. n = 97 vs 100 / 초록·결론의 표기</w:t>
      </w:r>
    </w:p>
    <w:p>
      <w:pPr>
        <w:pStyle w:val="FirstParagraph"/>
      </w:pPr>
      <w:r>
        <w:rPr>
          <w:b/>
          <w:bCs/>
        </w:rPr>
        <w:t xml:space="preserve">저자 응답</w:t>
      </w:r>
      <w:r>
        <w:t xml:space="preserve">: 1-1 응답과 같이 규약을 통일하였습니다. 종전 원고에서 "실패 3건이 structural 통계에 포함된다"고 한 서술은 부정확했으며, 최종 집계에서 structural score와 CFD agreement score는 모두 수렴 케이스(n=97) 기준의 conditional 평균입니다(match rate만 n=100). 초록을 "100케이스 중 97케이스 수렴; 수렴 케이스 기준 structural 0.781, CFD 0.477 (실패를 0으로 처리한 unconditional 값은 0.758, 0.463)"로 수정하고, 결론도 동일 규약으로 수정하였습니다.</w:t>
      </w:r>
    </w:p>
    <w:p>
      <w:pPr>
        <w:pStyle w:val="BodyText"/>
      </w:pPr>
      <w:r>
        <w:rPr>
          <w:b/>
          <w:bCs/>
        </w:rPr>
        <w:t xml:space="preserve">▶ 원고 수정 섹션 (blinded highlighted docx에 붉은색 표기):</w:t>
      </w:r>
      <w:r>
        <w:t xml:space="preserve"> </w:t>
      </w:r>
      <w:r>
        <w:t xml:space="preserve">Abstract, 4.1절 (Table 5 및 해당 문단), Conclusion.</w:t>
      </w:r>
    </w:p>
    <w:bookmarkEnd w:id="16"/>
    <w:bookmarkStart w:id="17" w:name="X5f1df93c26a1d5f826332dcfb7f0ff199b4d8ca"/>
    <w:p>
      <w:pPr>
        <w:pStyle w:val="Heading3"/>
      </w:pPr>
      <w:r>
        <w:t xml:space="preserve">2-3. 동일 체적유량 vs 동일 입구 속도의 동시 만족 가능성</w:t>
      </w:r>
    </w:p>
    <w:p>
      <w:pPr>
        <w:pStyle w:val="FirstParagraph"/>
      </w:pPr>
      <w:r>
        <w:rPr>
          <w:b/>
          <w:bCs/>
        </w:rPr>
        <w:t xml:space="preserve">저자 응답</w:t>
      </w:r>
      <w:r>
        <w:t xml:space="preserve">: 정확한 지적입니다. Predicted와 reference의 개구 면적이 다르면 체적유량과 입구 속도를 동시에 일치시킬 수 없습니다. 본 연구가 일치시킨 것은</w:t>
      </w:r>
      <w:r>
        <w:t xml:space="preserve"> </w:t>
      </w:r>
      <w:r>
        <w:rPr>
          <w:b/>
          <w:bCs/>
        </w:rPr>
        <w:t xml:space="preserve">(preset을 통한) 입구 속도</w:t>
      </w:r>
      <w:r>
        <w:t xml:space="preserve">이며, 체적유량은 각 형상의 개구 면적에 따라 달라집니다. 종전 2.2절의 "동일 체적유량" 서술은 구현과 불일치한 오류였기에 정정하였습니다(1-4 응답 참조). 입구 속도를 일치시키는 선택은 유입 운동량 스케일과 입구 난류량(k, ω는 U_in으로부터 산정)을 비교쌍 내에서 동일하게 유지하기 위한 것으로, 이 경우 유동장 차이는 개구 크기 오차를 포함한 형상 차이에서 기인함을 2.2절과 5.5절에 명시하였습니다.</w:t>
      </w:r>
    </w:p>
    <w:p>
      <w:pPr>
        <w:pStyle w:val="BodyText"/>
      </w:pPr>
      <w:r>
        <w:rPr>
          <w:b/>
          <w:bCs/>
        </w:rPr>
        <w:t xml:space="preserve">▶ 원고 수정 섹션 (blinded highlighted docx에 붉은색 표기):</w:t>
      </w:r>
      <w:r>
        <w:t xml:space="preserve"> </w:t>
      </w:r>
      <w:r>
        <w:t xml:space="preserve">2.2절, 5.5절.</w:t>
      </w:r>
    </w:p>
    <w:bookmarkEnd w:id="17"/>
    <w:bookmarkStart w:id="18" w:name="Xe7afe4b3bc59c9c794a479ead235eb1018c15e7"/>
    <w:p>
      <w:pPr>
        <w:pStyle w:val="Heading3"/>
      </w:pPr>
      <w:r>
        <w:t xml:space="preserve">2-4. 개구 크기 대비 격자 조밀도</w:t>
      </w:r>
    </w:p>
    <w:p>
      <w:pPr>
        <w:pStyle w:val="FirstParagraph"/>
      </w:pPr>
      <w:r>
        <w:rPr>
          <w:b/>
          <w:bCs/>
        </w:rPr>
        <w:t xml:space="preserve">저자 응답</w:t>
      </w:r>
      <w:r>
        <w:t xml:space="preserve">: 지적에 동의합니다. Nominal 셀 크기 0.18 m 기준으로 개구 치수(0.3–1.0 m)는 변당 약 1.7–5.6셀에 해당하며, 최소 개구는 1~2셀만 걸치게 되어 개구 근방의 제트 발달과 속도 구배를 정확히 해상할 수 없습니다. 본 연구는 개구 국소 격자 미세화를 적용하지 않았으며, 이는 벌크 유동량이 근사 수렴한 경우에도 개구·인접 가구 근방 국소 유동 정확도를 제한합니다. 이를 5.7절에 명시적 한계로 추가하고, 본 프레임워크의 결과가 벌크 유동 패턴 식별을 위한 screening-level 추정임을 재확인하였으며(결론에도 반영), 개구 적응형 국소 미세화를 향후 과제로 명시하였습니다.</w:t>
      </w:r>
    </w:p>
    <w:p>
      <w:pPr>
        <w:pStyle w:val="BodyText"/>
      </w:pPr>
      <w:r>
        <w:rPr>
          <w:b/>
          <w:bCs/>
        </w:rPr>
        <w:t xml:space="preserve">▶ 원고 수정 섹션 (blinded highlighted docx에 붉은색 표기):</w:t>
      </w:r>
      <w:r>
        <w:t xml:space="preserve"> </w:t>
      </w:r>
      <w:r>
        <w:t xml:space="preserve">5.7절 (신규 한계 문단), Conclusion.</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mailto:mAP@0.25" TargetMode="External" /></Relationships>
</file>

<file path=word/_rels/footnotes.xml.rels><?xml version="1.0" encoding="UTF-8"?><Relationships xmlns="http://schemas.openxmlformats.org/package/2006/relationships"><Relationship Type="http://schemas.openxmlformats.org/officeDocument/2006/relationships/hyperlink" Id="rId14" Target="mailto:mAP@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2026-07-23T22:44:45Z</dcterms:created>
  <dcterms:modified xsi:type="dcterms:W3CDTF">2026-07-23T22:44:45Z</dcterms:modified>
</cp:coreProperties>
</file>

<file path=docProps/custom.xml><?xml version="1.0" encoding="utf-8"?>
<Properties xmlns="http://schemas.openxmlformats.org/officeDocument/2006/custom-properties" xmlns:vt="http://schemas.openxmlformats.org/officeDocument/2006/docPropsVTypes"/>
</file>