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single 2D image is converted to a steady-state indoor CFD solution via VLM geometric abstraction</w:t>
      </w:r>
    </w:p>
    <w:p>
      <w:pPr>
        <w:pStyle w:val="Compact"/>
        <w:numPr>
          <w:ilvl w:val="0"/>
          <w:numId w:val="1001"/>
        </w:numPr>
      </w:pPr>
      <w:r>
        <w:t xml:space="preserve">A 100-case benchmark (4 complexity levels × 5 view types) with independent reference CFD is provided</w:t>
      </w:r>
    </w:p>
    <w:p>
      <w:pPr>
        <w:pStyle w:val="Compact"/>
        <w:numPr>
          <w:ilvl w:val="0"/>
          <w:numId w:val="1001"/>
        </w:numPr>
      </w:pPr>
      <w:r>
        <w:t xml:space="preserve">Floor-plan inputs achieve structural score 0.884 and CFD agreement 0.572 with 100% opening-wall match</w:t>
      </w:r>
    </w:p>
    <w:p>
      <w:pPr>
        <w:pStyle w:val="Compact"/>
        <w:numPr>
          <w:ilvl w:val="0"/>
          <w:numId w:val="1001"/>
        </w:numPr>
      </w:pPr>
      <w:r>
        <w:t xml:space="preserve">Three failure modes are identified: composite-room collapse, obstacle hallucination, structure-fidelity gap</w:t>
      </w:r>
    </w:p>
    <w:p>
      <w:pPr>
        <w:pStyle w:val="Compact"/>
        <w:numPr>
          <w:ilvl w:val="0"/>
          <w:numId w:val="1001"/>
        </w:numPr>
      </w:pPr>
      <w:r>
        <w:t xml:space="preserve">End-to-end pipeline runs in 3–8 minutes per case, replacing hours of manual geometry preparation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2026-03-26T01:51:35Z</dcterms:created>
  <dcterms:modified xsi:type="dcterms:W3CDTF">2026-03-26T01:51:35Z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