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Fonts w:ascii="Roboto" w:cs="Roboto" w:eastAsia="Roboto" w:hAnsi="Roboto"/>
          <w:color w:val="252424"/>
          <w:sz w:val="21"/>
          <w:szCs w:val="21"/>
          <w:highlight w:val="white"/>
          <w:rtl w:val="0"/>
        </w:rPr>
        <w:t xml:space="preserve">To implement Principal Component Analysis (PCA).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