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包装回收 异店归还 活动执行要求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STORE06，SUP30，SKU059、SKU060。场景：包装回收 / 异店归还。本件为活动执行要求，用途是明确本次商业决定、证据与未授权边界。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模拟：活动借用周转物应记录领还，不把赠品包装混作押金物。</w:t>
      </w:r>
    </w:p>
    <w:p>
      <w:pPr>
        <w:pStyle w:val="Heading1"/>
      </w:pPr>
      <w:r>
        <w:t>适用条件与处置</w:t>
      </w:r>
    </w:p>
    <w:p>
      <w:r>
        <w:t>模拟：当顾客到非领用店退回周转箱时，活动负责人遇到异店归还时采用：按跨店归还授权处理，先查原领用。已作出的用户承诺另核原版本，未核实部分暂停新增宣传，恢复前要更新并复核对客说明。</w:t>
      </w:r>
    </w:p>
    <w:p>
      <w:pPr>
        <w:pStyle w:val="Heading1"/>
      </w:pPr>
      <w:r>
        <w:t>所需材料与数量口径</w:t>
      </w:r>
    </w:p>
    <w:p>
      <w:r>
        <w:t>模拟：需要领用凭证和跨店规则，在恢复宣传前由活动负责人核对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模拟：同品牌门店不一定可办理退押。真实厂商、行业和法律要求应另查可核实原始指引；这里没有生成相关阈值。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30为STORE06提供SKU059和SKU060；这只是本场景供货联系。本活动执行要求适用于这两个商品的包装回收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