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破损归还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STORE02，SUP10，SKU179、SKU180。场景：包装回收 / 破损归还。本件为活动执行要求，用途是明确本次商业决定、证据与未授权边界。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模拟：活动借用周转物应记录领还，不把赠品包装混作押金物。</w:t>
      </w:r>
    </w:p>
    <w:p>
      <w:pPr>
        <w:pStyle w:val="Heading1"/>
      </w:pPr>
      <w:r>
        <w:t>适用条件与处置</w:t>
      </w:r>
    </w:p>
    <w:p>
      <w:r>
        <w:t>模拟：当容器有损伤且顾客要求全额退押时，活动负责人遇到破损归还时采用：按已约定损伤规则复核并说明。已作出的用户承诺另核原版本，未核实部分暂停新增宣传，恢复前要更新并复核对客说明。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损伤记录和借用协议，在恢复宣传前由活动负责人核对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模拟：不能现场编造罚款标准。真实厂商、行业和法律要求应另查可核实原始指引；这里没有生成相关阈值。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10为STORE02提供SKU179和SKU180；这只是本场景供货联系。本活动执行要求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