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退押离线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STORE06，SUP30，SKU299、SKU300。场景：包装回收 / 退押离线。本件为活动执行要求，用途是明确本次商业决定、证据与未授权边界。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模拟：活动借用周转物应记录领还，不把赠品包装混作押金物。</w:t>
      </w:r>
    </w:p>
    <w:p>
      <w:pPr>
        <w:pStyle w:val="Heading1"/>
      </w:pPr>
      <w:r>
        <w:t>适用条件与处置</w:t>
      </w:r>
    </w:p>
    <w:p>
      <w:r>
        <w:t>模拟：当容器已收到但退款系统不可用时，活动负责人遇到退押离线时采用：出具接收待退款凭证，恢复后核账。已作出的用户承诺另核原版本，未核实部分暂停新增宣传，恢复前要更新并复核对客说明。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接收记录与后续退款流水，在恢复宣传前由活动负责人核对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模拟：实物接收不等于资金已经退回。真实厂商、行业和法律要求应另查可核实原始指引；这里没有生成相关阈值。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299和SKU300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