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封膜适配 杯材更新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STORE06，SUP38，SKU075、SKU076。场景：封膜适配 / 杯材更新。本件为商品与包装说明，用途是明确本次商业决定、证据与未授权边界。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模拟：膜宽匹配只说明可装机，热封参数依厂商确认不在模拟中编造。</w:t>
      </w:r>
    </w:p>
    <w:p>
      <w:pPr>
        <w:pStyle w:val="Heading1"/>
      </w:pPr>
      <w:r>
        <w:t>适用条件与处置</w:t>
      </w:r>
    </w:p>
    <w:p>
      <w:r>
        <w:t>模拟：当供应杯材改变但机器与膜未变时，使用者面对杯材更新时，须将商品用途限定为已核实范围：暂停沿用旧组合，要求厂商确认适用性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新杯材说明与旧组合批准，作为型号与适用范围的核对依据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模拟：尺寸相同不能替代材料兼容确认。真实厂商、行业和法律要求应另查可核实原始指引；这里没有生成相关阈值。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38为STORE06提供SKU075和SKU076；这只是本场景供货联系。本商品与包装说明适用于这两个商品的封膜适配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