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参数无据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STORE08，SUP08，SKU255、SKU256。场景：封膜适配 / 参数无据。本件为商品与包装说明，用途是明确本次商业决定、证据与未授权边界。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模拟：膜宽匹配只说明可装机，热封参数依厂商确认不在模拟中编造。</w:t>
      </w:r>
    </w:p>
    <w:p>
      <w:pPr>
        <w:pStyle w:val="Heading1"/>
      </w:pPr>
      <w:r>
        <w:t>适用条件与处置</w:t>
      </w:r>
    </w:p>
    <w:p>
      <w:r>
        <w:t>模拟：当店员提供经验参数而无厂商依据时，使用者面对参数无据时，须将商品用途限定为已核实范围：不将经验值写为标准，获取正式说明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设备型号和厂商参数页，作为型号与适用范围的核对依据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模拟：其他门店成功记录只能作线索不能作授权。真实厂商、行业和法律要求应另查可核实原始指引；这里没有生成相关阈值。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08为STORE08提供SKU255和SKU256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